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37FDF97">
      <w:pPr>
        <w:spacing w:after="0" w:line="360" w:lineRule="auto"/>
        <w:ind w:left="-178" w:leftChars="-85" w:right="119"/>
        <w:jc w:val="left"/>
        <w:rPr>
          <w:rFonts w:ascii="宋体" w:hAnsi="宋体"/>
          <w:b/>
          <w:bCs/>
          <w:sz w:val="24"/>
          <w:highlight w:val="none"/>
        </w:rPr>
      </w:pPr>
      <w:r>
        <w:drawing>
          <wp:inline distT="0" distB="0" distL="114300" distR="114300">
            <wp:extent cx="2377440" cy="386080"/>
            <wp:effectExtent l="0" t="0" r="1016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4"/>
                    <a:stretch>
                      <a:fillRect/>
                    </a:stretch>
                  </pic:blipFill>
                  <pic:spPr>
                    <a:xfrm>
                      <a:off x="0" y="0"/>
                      <a:ext cx="2377440" cy="386516"/>
                    </a:xfrm>
                    <a:prstGeom prst="rect">
                      <a:avLst/>
                    </a:prstGeom>
                  </pic:spPr>
                </pic:pic>
              </a:graphicData>
            </a:graphic>
          </wp:inline>
        </w:drawing>
      </w:r>
    </w:p>
    <w:p w14:paraId="018574E1">
      <w:pPr>
        <w:spacing w:line="360" w:lineRule="auto"/>
        <w:jc w:val="left"/>
        <w:rPr>
          <w:rFonts w:ascii="宋体" w:hAnsi="宋体"/>
          <w:highlight w:val="none"/>
        </w:rPr>
      </w:pPr>
    </w:p>
    <w:p w14:paraId="6586B677">
      <w:pPr>
        <w:spacing w:line="360" w:lineRule="auto"/>
        <w:jc w:val="center"/>
        <w:rPr>
          <w:rFonts w:ascii="宋体" w:hAnsi="宋体"/>
          <w:b/>
          <w:bCs/>
          <w:sz w:val="52"/>
          <w:szCs w:val="52"/>
          <w:highlight w:val="none"/>
        </w:rPr>
      </w:pPr>
    </w:p>
    <w:p w14:paraId="1937D787">
      <w:pPr>
        <w:spacing w:line="360" w:lineRule="auto"/>
        <w:jc w:val="center"/>
        <w:rPr>
          <w:rFonts w:hint="eastAsia" w:ascii="宋体" w:hAnsi="宋体"/>
          <w:b/>
          <w:bCs/>
          <w:sz w:val="48"/>
          <w:szCs w:val="48"/>
          <w:highlight w:val="none"/>
        </w:rPr>
      </w:pPr>
    </w:p>
    <w:p w14:paraId="44AAE4F5">
      <w:pPr>
        <w:adjustRightInd w:val="0"/>
        <w:snapToGrid w:val="0"/>
        <w:spacing w:line="360" w:lineRule="auto"/>
        <w:jc w:val="center"/>
        <w:rPr>
          <w:rFonts w:hint="eastAsia" w:ascii="宋体" w:hAnsi="宋体"/>
          <w:b/>
          <w:bCs/>
          <w:spacing w:val="-20"/>
          <w:sz w:val="40"/>
          <w:szCs w:val="40"/>
          <w:highlight w:val="none"/>
          <w:lang w:val="en-US" w:eastAsia="zh-CN"/>
        </w:rPr>
      </w:pPr>
      <w:r>
        <w:rPr>
          <w:rFonts w:hint="eastAsia" w:ascii="宋体" w:hAnsi="宋体"/>
          <w:b/>
          <w:bCs/>
          <w:spacing w:val="-20"/>
          <w:sz w:val="40"/>
          <w:szCs w:val="40"/>
          <w:highlight w:val="none"/>
          <w:lang w:val="en-US" w:eastAsia="zh-CN"/>
        </w:rPr>
        <w:t>国家电投国际投资开发（几内亚）有限责任公司</w:t>
      </w:r>
    </w:p>
    <w:p w14:paraId="0E4A9C44">
      <w:pPr>
        <w:adjustRightInd w:val="0"/>
        <w:snapToGrid w:val="0"/>
        <w:spacing w:line="360" w:lineRule="auto"/>
        <w:jc w:val="center"/>
        <w:rPr>
          <w:rFonts w:hint="eastAsia" w:ascii="宋体" w:hAnsi="宋体"/>
          <w:b/>
          <w:bCs/>
          <w:spacing w:val="-20"/>
          <w:sz w:val="40"/>
          <w:szCs w:val="40"/>
          <w:highlight w:val="none"/>
          <w:lang w:val="en-US" w:eastAsia="zh-CN"/>
        </w:rPr>
      </w:pPr>
      <w:r>
        <w:rPr>
          <w:rFonts w:hint="eastAsia" w:ascii="宋体" w:hAnsi="宋体"/>
          <w:b/>
          <w:bCs/>
          <w:spacing w:val="-20"/>
          <w:sz w:val="40"/>
          <w:szCs w:val="40"/>
          <w:highlight w:val="none"/>
          <w:lang w:val="en-US" w:eastAsia="zh-CN"/>
        </w:rPr>
        <w:t>国际机票代理服务采购项目</w:t>
      </w:r>
    </w:p>
    <w:p w14:paraId="6233672E">
      <w:pPr>
        <w:adjustRightInd w:val="0"/>
        <w:snapToGrid w:val="0"/>
        <w:spacing w:line="360" w:lineRule="auto"/>
        <w:jc w:val="center"/>
        <w:rPr>
          <w:rFonts w:hint="default" w:ascii="宋体" w:hAnsi="宋体"/>
          <w:b/>
          <w:bCs/>
          <w:sz w:val="44"/>
          <w:szCs w:val="44"/>
          <w:highlight w:val="none"/>
          <w:lang w:val="en-US" w:eastAsia="zh-CN"/>
        </w:rPr>
      </w:pPr>
      <w:r>
        <w:rPr>
          <w:rFonts w:hint="eastAsia" w:ascii="宋体" w:hAnsi="宋体"/>
          <w:b/>
          <w:bCs/>
          <w:spacing w:val="-20"/>
          <w:sz w:val="40"/>
          <w:szCs w:val="40"/>
          <w:highlight w:val="none"/>
          <w:lang w:val="en-US" w:eastAsia="zh-CN"/>
        </w:rPr>
        <w:t>谈判采购文件</w:t>
      </w:r>
      <w:bookmarkStart w:id="147" w:name="_GoBack"/>
      <w:bookmarkEnd w:id="147"/>
    </w:p>
    <w:p w14:paraId="691AB104">
      <w:pPr>
        <w:adjustRightInd w:val="0"/>
        <w:snapToGrid w:val="0"/>
        <w:spacing w:line="360" w:lineRule="auto"/>
        <w:jc w:val="center"/>
        <w:rPr>
          <w:rFonts w:hint="default" w:ascii="宋体" w:hAnsi="宋体"/>
          <w:b/>
          <w:bCs/>
          <w:sz w:val="44"/>
          <w:szCs w:val="44"/>
          <w:highlight w:val="none"/>
          <w:lang w:val="en-US" w:eastAsia="zh-CN"/>
        </w:rPr>
      </w:pPr>
      <w:r>
        <w:rPr>
          <w:rFonts w:hint="eastAsia" w:ascii="Times New Roman" w:hAnsi="Times New Roman" w:eastAsia="宋体" w:cs="Times New Roman"/>
          <w:b/>
          <w:bCs/>
          <w:spacing w:val="-20"/>
          <w:sz w:val="40"/>
          <w:szCs w:val="40"/>
          <w:highlight w:val="none"/>
          <w:lang w:val="en-US" w:eastAsia="zh-CN"/>
        </w:rPr>
        <w:t>Procédure d'achat par négociation pour le projet de fourniture de services d'agence de billets aériens internationaux – SPIC International Investment &amp; Development(Guinea) Co.,Ltd</w:t>
      </w:r>
    </w:p>
    <w:p w14:paraId="6636B9F2">
      <w:pPr>
        <w:jc w:val="both"/>
        <w:rPr>
          <w:rFonts w:hint="eastAsia" w:ascii="宋体" w:hAnsi="宋体"/>
          <w:highlight w:val="none"/>
        </w:rPr>
      </w:pPr>
    </w:p>
    <w:p w14:paraId="6CC0CBD4">
      <w:pPr>
        <w:jc w:val="center"/>
        <w:rPr>
          <w:rFonts w:ascii="宋体" w:hAnsi="宋体"/>
          <w:highlight w:val="none"/>
        </w:rPr>
      </w:pPr>
    </w:p>
    <w:p w14:paraId="6F649035">
      <w:pPr>
        <w:jc w:val="center"/>
        <w:rPr>
          <w:rFonts w:ascii="宋体" w:hAnsi="宋体"/>
          <w:highlight w:val="none"/>
        </w:rPr>
      </w:pPr>
    </w:p>
    <w:p w14:paraId="7CF7BEBD">
      <w:pPr>
        <w:jc w:val="center"/>
        <w:rPr>
          <w:rFonts w:hint="eastAsia" w:ascii="宋体" w:hAnsi="宋体"/>
          <w:highlight w:val="none"/>
        </w:rPr>
      </w:pPr>
    </w:p>
    <w:tbl>
      <w:tblPr>
        <w:tblStyle w:val="33"/>
        <w:tblW w:w="0" w:type="auto"/>
        <w:jc w:val="center"/>
        <w:tblLayout w:type="fixed"/>
        <w:tblCellMar>
          <w:top w:w="0" w:type="dxa"/>
          <w:left w:w="108" w:type="dxa"/>
          <w:bottom w:w="0" w:type="dxa"/>
          <w:right w:w="108" w:type="dxa"/>
        </w:tblCellMar>
      </w:tblPr>
      <w:tblGrid>
        <w:gridCol w:w="2717"/>
        <w:gridCol w:w="6463"/>
      </w:tblGrid>
      <w:tr w14:paraId="2A56C1BD">
        <w:tblPrEx>
          <w:tblCellMar>
            <w:top w:w="0" w:type="dxa"/>
            <w:left w:w="108" w:type="dxa"/>
            <w:bottom w:w="0" w:type="dxa"/>
            <w:right w:w="108" w:type="dxa"/>
          </w:tblCellMar>
        </w:tblPrEx>
        <w:trPr>
          <w:jc w:val="center"/>
        </w:trPr>
        <w:tc>
          <w:tcPr>
            <w:tcW w:w="2717" w:type="dxa"/>
            <w:noWrap w:val="0"/>
            <w:vAlign w:val="center"/>
          </w:tcPr>
          <w:p w14:paraId="2DF56F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distribute"/>
              <w:textAlignment w:val="auto"/>
              <w:outlineLvl w:val="9"/>
              <w:rPr>
                <w:rFonts w:ascii="宋体" w:hAnsi="宋体"/>
                <w:sz w:val="24"/>
                <w:szCs w:val="21"/>
                <w:highlight w:val="none"/>
              </w:rPr>
            </w:pPr>
            <w:r>
              <w:rPr>
                <w:rFonts w:ascii="宋体" w:hAnsi="宋体"/>
                <w:b/>
                <w:sz w:val="28"/>
                <w:szCs w:val="21"/>
                <w:highlight w:val="none"/>
              </w:rPr>
              <w:t>采  购  人：</w:t>
            </w:r>
          </w:p>
          <w:p w14:paraId="706DA19C">
            <w:pPr>
              <w:keepLines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ascii="宋体" w:hAnsi="宋体"/>
                <w:sz w:val="24"/>
                <w:szCs w:val="21"/>
                <w:highlight w:val="none"/>
              </w:rPr>
            </w:pPr>
            <w:r>
              <w:rPr>
                <w:rFonts w:ascii="Times New Roman" w:hAnsi="Times New Roman" w:cs="Times New Roman"/>
                <w:b/>
                <w:sz w:val="28"/>
                <w:szCs w:val="21"/>
                <w:highlight w:val="none"/>
              </w:rPr>
              <w:t>Acheteur :</w:t>
            </w:r>
          </w:p>
        </w:tc>
        <w:tc>
          <w:tcPr>
            <w:tcW w:w="6463" w:type="dxa"/>
            <w:noWrap w:val="0"/>
            <w:vAlign w:val="center"/>
          </w:tcPr>
          <w:p w14:paraId="607E1DE4">
            <w:pPr>
              <w:jc w:val="distribute"/>
              <w:outlineLvl w:val="9"/>
              <w:rPr>
                <w:rFonts w:hint="eastAsia" w:ascii="宋体" w:hAnsi="宋体" w:eastAsia="宋体" w:cs="Times New Roman"/>
                <w:b/>
                <w:color w:val="auto"/>
                <w:kern w:val="2"/>
                <w:sz w:val="28"/>
                <w:szCs w:val="21"/>
                <w:highlight w:val="none"/>
                <w:lang w:val="en-US" w:eastAsia="zh-CN" w:bidi="ar"/>
              </w:rPr>
            </w:pPr>
            <w:r>
              <w:rPr>
                <w:rFonts w:hint="eastAsia" w:ascii="宋体" w:hAnsi="宋体" w:eastAsia="宋体" w:cs="Times New Roman"/>
                <w:b/>
                <w:color w:val="auto"/>
                <w:kern w:val="2"/>
                <w:sz w:val="28"/>
                <w:szCs w:val="21"/>
                <w:highlight w:val="none"/>
                <w:lang w:val="en-US" w:eastAsia="zh-CN" w:bidi="ar"/>
              </w:rPr>
              <w:t>国家电投集团铝电投资有限公司</w:t>
            </w:r>
          </w:p>
          <w:p w14:paraId="38D0C19C">
            <w:pPr>
              <w:keepLines w:val="0"/>
              <w:widowControl/>
              <w:kinsoku/>
              <w:wordWrap/>
              <w:overflowPunct/>
              <w:topLinePunct w:val="0"/>
              <w:autoSpaceDE/>
              <w:autoSpaceDN/>
              <w:bidi w:val="0"/>
              <w:adjustRightInd/>
              <w:snapToGrid/>
              <w:spacing w:line="240" w:lineRule="auto"/>
              <w:ind w:left="0" w:leftChars="0" w:right="0" w:rightChars="0" w:firstLine="0" w:firstLineChars="0"/>
              <w:jc w:val="distribute"/>
              <w:textAlignment w:val="auto"/>
              <w:outlineLvl w:val="9"/>
              <w:rPr>
                <w:rFonts w:hint="default" w:ascii="宋体" w:hAnsi="宋体" w:eastAsia="宋体"/>
                <w:b/>
                <w:sz w:val="28"/>
                <w:szCs w:val="21"/>
                <w:highlight w:val="none"/>
                <w:lang w:val="en-US" w:eastAsia="zh-CN"/>
              </w:rPr>
            </w:pPr>
            <w:r>
              <w:rPr>
                <w:rFonts w:hint="eastAsia" w:ascii="宋体" w:hAnsi="宋体"/>
                <w:b/>
                <w:sz w:val="28"/>
                <w:szCs w:val="21"/>
                <w:highlight w:val="none"/>
                <w:lang w:val="en-US" w:eastAsia="zh-CN"/>
              </w:rPr>
              <w:t>SPIC Aluminum &amp; Power Investment Co., Ltd</w:t>
            </w:r>
          </w:p>
        </w:tc>
      </w:tr>
      <w:tr w14:paraId="066FA6FF">
        <w:tblPrEx>
          <w:tblCellMar>
            <w:top w:w="0" w:type="dxa"/>
            <w:left w:w="108" w:type="dxa"/>
            <w:bottom w:w="0" w:type="dxa"/>
            <w:right w:w="108" w:type="dxa"/>
          </w:tblCellMar>
        </w:tblPrEx>
        <w:trPr>
          <w:jc w:val="center"/>
        </w:trPr>
        <w:tc>
          <w:tcPr>
            <w:tcW w:w="2717" w:type="dxa"/>
            <w:noWrap w:val="0"/>
            <w:vAlign w:val="center"/>
          </w:tcPr>
          <w:p w14:paraId="2D5EFA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distribute"/>
              <w:textAlignment w:val="auto"/>
              <w:outlineLvl w:val="9"/>
              <w:rPr>
                <w:rFonts w:ascii="宋体" w:hAnsi="宋体"/>
                <w:sz w:val="24"/>
                <w:szCs w:val="21"/>
                <w:highlight w:val="none"/>
              </w:rPr>
            </w:pPr>
            <w:r>
              <w:rPr>
                <w:rFonts w:hint="eastAsia" w:ascii="宋体" w:hAnsi="宋体"/>
                <w:b/>
                <w:sz w:val="28"/>
                <w:szCs w:val="21"/>
                <w:highlight w:val="none"/>
                <w:lang w:val="en-US" w:eastAsia="zh-CN"/>
              </w:rPr>
              <w:t>项目单位</w:t>
            </w:r>
            <w:r>
              <w:rPr>
                <w:rFonts w:ascii="宋体" w:hAnsi="宋体"/>
                <w:b/>
                <w:sz w:val="28"/>
                <w:szCs w:val="21"/>
                <w:highlight w:val="none"/>
              </w:rPr>
              <w:t>：</w:t>
            </w:r>
          </w:p>
          <w:p w14:paraId="31FA3820">
            <w:pPr>
              <w:keepLines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ascii="宋体" w:hAnsi="宋体"/>
                <w:sz w:val="24"/>
                <w:szCs w:val="21"/>
                <w:highlight w:val="none"/>
              </w:rPr>
            </w:pPr>
            <w:r>
              <w:rPr>
                <w:rFonts w:hint="eastAsia" w:ascii="Times New Roman" w:hAnsi="Times New Roman" w:cs="Times New Roman"/>
                <w:b/>
                <w:sz w:val="28"/>
                <w:szCs w:val="21"/>
                <w:highlight w:val="none"/>
                <w:lang w:val="en-US" w:eastAsia="zh-CN"/>
              </w:rPr>
              <w:t>Unité du projet :</w:t>
            </w:r>
          </w:p>
        </w:tc>
        <w:tc>
          <w:tcPr>
            <w:tcW w:w="6463" w:type="dxa"/>
            <w:noWrap w:val="0"/>
            <w:vAlign w:val="center"/>
          </w:tcPr>
          <w:p w14:paraId="10F9B1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distribute"/>
              <w:textAlignment w:val="auto"/>
              <w:outlineLvl w:val="9"/>
              <w:rPr>
                <w:rFonts w:ascii="宋体" w:hAnsi="宋体"/>
                <w:sz w:val="24"/>
                <w:szCs w:val="21"/>
                <w:highlight w:val="none"/>
              </w:rPr>
            </w:pPr>
            <w:r>
              <w:rPr>
                <w:rFonts w:hint="eastAsia" w:ascii="宋体" w:hAnsi="宋体"/>
                <w:b/>
                <w:sz w:val="28"/>
                <w:szCs w:val="21"/>
                <w:highlight w:val="none"/>
                <w:lang w:val="en-US" w:eastAsia="zh-CN"/>
              </w:rPr>
              <w:t>国家电投国际投资开发（几内亚）有限责任公司</w:t>
            </w:r>
          </w:p>
          <w:p w14:paraId="3D8E8B9F">
            <w:pPr>
              <w:keepLines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ascii="宋体" w:hAnsi="宋体"/>
                <w:sz w:val="24"/>
                <w:szCs w:val="21"/>
                <w:highlight w:val="none"/>
              </w:rPr>
            </w:pPr>
            <w:r>
              <w:rPr>
                <w:rFonts w:hint="eastAsia" w:ascii="Times New Roman" w:hAnsi="Times New Roman" w:cs="Times New Roman"/>
                <w:b/>
                <w:sz w:val="28"/>
                <w:szCs w:val="21"/>
                <w:highlight w:val="none"/>
                <w:lang w:val="en-US" w:eastAsia="zh-CN"/>
              </w:rPr>
              <w:t>SPIC International Investment &amp; Development(Guinea) Co.,Ltd</w:t>
            </w:r>
          </w:p>
        </w:tc>
      </w:tr>
    </w:tbl>
    <w:p w14:paraId="2FD3DDAF">
      <w:pPr>
        <w:jc w:val="center"/>
        <w:rPr>
          <w:rFonts w:ascii="宋体" w:hAnsi="宋体"/>
          <w:b/>
          <w:kern w:val="0"/>
          <w:sz w:val="24"/>
          <w:szCs w:val="18"/>
          <w:highlight w:val="none"/>
        </w:rPr>
      </w:pPr>
    </w:p>
    <w:p w14:paraId="186C060B">
      <w:pPr>
        <w:jc w:val="center"/>
        <w:rPr>
          <w:rFonts w:ascii="宋体" w:hAnsi="宋体"/>
          <w:b/>
          <w:sz w:val="24"/>
          <w:szCs w:val="24"/>
          <w:highlight w:val="none"/>
        </w:rPr>
      </w:pPr>
      <w:r>
        <w:rPr>
          <w:rFonts w:hint="eastAsia" w:ascii="宋体" w:hAnsi="宋体"/>
          <w:b/>
          <w:sz w:val="24"/>
          <w:szCs w:val="24"/>
          <w:highlight w:val="none"/>
        </w:rPr>
        <w:t xml:space="preserve">2026 年 </w:t>
      </w:r>
      <w:r>
        <w:rPr>
          <w:rFonts w:hint="eastAsia" w:ascii="宋体" w:hAnsi="宋体"/>
          <w:b/>
          <w:sz w:val="24"/>
          <w:szCs w:val="24"/>
          <w:highlight w:val="none"/>
          <w:lang w:val="en-US" w:eastAsia="zh-CN"/>
        </w:rPr>
        <w:t>11</w:t>
      </w:r>
      <w:r>
        <w:rPr>
          <w:rFonts w:hint="eastAsia" w:ascii="宋体" w:hAnsi="宋体"/>
          <w:b/>
          <w:sz w:val="24"/>
          <w:szCs w:val="24"/>
          <w:highlight w:val="none"/>
        </w:rPr>
        <w:t xml:space="preserve"> 月</w:t>
      </w:r>
    </w:p>
    <w:p w14:paraId="23ED980D">
      <w:pPr>
        <w:keepLines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b/>
          <w:sz w:val="24"/>
          <w:szCs w:val="24"/>
          <w:highlight w:val="none"/>
          <w:lang w:val="en-US" w:eastAsia="zh-CN"/>
        </w:rPr>
      </w:pPr>
      <w:r>
        <w:rPr>
          <w:rFonts w:hint="eastAsia" w:ascii="Times New Roman" w:hAnsi="Times New Roman" w:cs="Times New Roman"/>
          <w:b/>
          <w:sz w:val="24"/>
          <w:szCs w:val="24"/>
          <w:highlight w:val="none"/>
          <w:lang w:val="en-US" w:eastAsia="zh-CN"/>
        </w:rPr>
        <w:t>Novembre 2026</w:t>
      </w:r>
    </w:p>
    <w:p w14:paraId="6BB95702">
      <w:pPr>
        <w:pStyle w:val="8"/>
        <w:rPr>
          <w:rFonts w:hint="eastAsia"/>
          <w:highlight w:val="none"/>
        </w:rPr>
      </w:pPr>
    </w:p>
    <w:p w14:paraId="2BB96014">
      <w:pPr>
        <w:pStyle w:val="24"/>
        <w:tabs>
          <w:tab w:val="right" w:leader="dot" w:pos="9354"/>
        </w:tabs>
        <w:jc w:val="center"/>
        <w:rPr>
          <w:rFonts w:hint="eastAsia" w:ascii="仿宋_GB2312" w:hAnsi="宋体" w:eastAsia="仿宋_GB2312" w:cs="宋体"/>
          <w:b/>
          <w:sz w:val="36"/>
          <w:szCs w:val="36"/>
          <w:highlight w:val="none"/>
          <w:lang w:val="en-US" w:eastAsia="zh-CN"/>
        </w:rPr>
        <w:sectPr>
          <w:headerReference r:id="rId5" w:type="first"/>
          <w:headerReference r:id="rId3" w:type="default"/>
          <w:headerReference r:id="rId4" w:type="even"/>
          <w:footerReference r:id="rId6" w:type="even"/>
          <w:pgSz w:w="11906" w:h="16838"/>
          <w:pgMar w:top="1417" w:right="1134" w:bottom="1134" w:left="1417" w:header="851" w:footer="850" w:gutter="0"/>
          <w:pgBorders>
            <w:top w:val="none" w:sz="0" w:space="0"/>
            <w:left w:val="none" w:sz="0" w:space="0"/>
            <w:bottom w:val="none" w:sz="0" w:space="0"/>
            <w:right w:val="none" w:sz="0" w:space="0"/>
          </w:pgBorders>
          <w:pgNumType w:fmt="decimal" w:start="1"/>
          <w:cols w:space="720" w:num="1"/>
          <w:titlePg/>
          <w:rtlGutter w:val="0"/>
          <w:docGrid w:linePitch="312" w:charSpace="0"/>
        </w:sectPr>
      </w:pPr>
      <w:bookmarkStart w:id="0" w:name="_Toc30176"/>
    </w:p>
    <w:p w14:paraId="61BECEB4">
      <w:pPr>
        <w:spacing w:line="360" w:lineRule="auto"/>
        <w:jc w:val="center"/>
        <w:rPr>
          <w:rFonts w:hint="eastAsia" w:ascii="仿宋_GB2312" w:hAnsi="宋体" w:eastAsia="仿宋_GB2312" w:cs="宋体"/>
          <w:b/>
          <w:sz w:val="36"/>
          <w:szCs w:val="36"/>
          <w:highlight w:val="none"/>
          <w:lang w:val="en-US" w:eastAsia="zh-CN"/>
        </w:rPr>
      </w:pPr>
      <w:r>
        <w:rPr>
          <w:b/>
          <w:sz w:val="28"/>
          <w:szCs w:val="28"/>
          <w:highlight w:val="none"/>
        </w:rPr>
        <w:t>目 录</w:t>
      </w:r>
    </w:p>
    <w:p w14:paraId="72206179">
      <w:pPr>
        <w:spacing w:line="360" w:lineRule="auto"/>
        <w:jc w:val="center"/>
        <w:rPr>
          <w:rFonts w:hint="eastAsia" w:ascii="仿宋_GB2312" w:hAnsi="宋体" w:eastAsia="仿宋_GB2312" w:cs="宋体"/>
          <w:b/>
          <w:sz w:val="36"/>
          <w:szCs w:val="36"/>
          <w:highlight w:val="none"/>
          <w:lang w:val="en-US" w:eastAsia="zh-CN"/>
        </w:rPr>
      </w:pPr>
      <w:r>
        <w:rPr>
          <w:rFonts w:ascii="Times New Roman" w:hAnsi="Times New Roman" w:cs="Times New Roman"/>
          <w:b/>
          <w:sz w:val="28"/>
          <w:szCs w:val="28"/>
          <w:highlight w:val="none"/>
        </w:rPr>
        <w:t>TABLE DES MATIÈRES</w:t>
      </w:r>
    </w:p>
    <w:p w14:paraId="64A6FA22">
      <w:pPr>
        <w:pStyle w:val="24"/>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第一章 响应人须知</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2</w:t>
      </w:r>
    </w:p>
    <w:p w14:paraId="0C9064A1">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Chapitre I – Instructions aux soumissionnaires</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2</w:t>
      </w:r>
    </w:p>
    <w:p w14:paraId="4104A62A">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响应人须知前附表</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2</w:t>
      </w:r>
    </w:p>
    <w:p w14:paraId="3C292264">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Tableau préliminaire des instructions aux soumissionnaires</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2</w:t>
      </w:r>
    </w:p>
    <w:p w14:paraId="6987A632">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1.总则</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4</w:t>
      </w:r>
    </w:p>
    <w:p w14:paraId="78FC9DAA">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1. Dispositions générales</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4</w:t>
      </w:r>
    </w:p>
    <w:p w14:paraId="7312A26D">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2.谈判文件组成</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5</w:t>
      </w:r>
    </w:p>
    <w:p w14:paraId="2BBC3D72">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2. Composition du dossier de consultation</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5</w:t>
      </w:r>
    </w:p>
    <w:p w14:paraId="3DA3C09F">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3.谈判说明</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5</w:t>
      </w:r>
    </w:p>
    <w:p w14:paraId="79364C2D">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3. Modalités de la négociation</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5</w:t>
      </w:r>
    </w:p>
    <w:p w14:paraId="1CC17EAE">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4.合同签订</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10</w:t>
      </w:r>
    </w:p>
    <w:p w14:paraId="55B263C9">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4. Conclusion du contrat</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10</w:t>
      </w:r>
    </w:p>
    <w:p w14:paraId="0C5C6BA4">
      <w:pPr>
        <w:pStyle w:val="24"/>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第二章 委托人要求</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12</w:t>
      </w:r>
    </w:p>
    <w:p w14:paraId="01ED42A8">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Chapitre II – Exigences de l’Acheteur</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12</w:t>
      </w:r>
    </w:p>
    <w:p w14:paraId="6068B2EF">
      <w:pPr>
        <w:pStyle w:val="24"/>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第三章 合同</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14</w:t>
      </w:r>
    </w:p>
    <w:p w14:paraId="06A28373">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Chapitre III – Contrat</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14</w:t>
      </w:r>
    </w:p>
    <w:p w14:paraId="5A0B6CF9">
      <w:pPr>
        <w:pStyle w:val="24"/>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第四章 响应文件格式</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26</w:t>
      </w:r>
    </w:p>
    <w:p w14:paraId="2EB0986C">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Chapitre IV – Format du dossier de réponse</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26</w:t>
      </w:r>
    </w:p>
    <w:p w14:paraId="4FCF0F6A">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响应文件A</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27</w:t>
      </w:r>
    </w:p>
    <w:p w14:paraId="17F2BFDE">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Dossier de réponse A</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27</w:t>
      </w:r>
    </w:p>
    <w:p w14:paraId="1B38653A">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目  录</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29</w:t>
      </w:r>
    </w:p>
    <w:p w14:paraId="12F76503">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TABLE DES MATIÈRES</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29</w:t>
      </w:r>
    </w:p>
    <w:p w14:paraId="3D7186EA">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一、法定代表人（单位负责人）身份证明</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30</w:t>
      </w:r>
    </w:p>
    <w:p w14:paraId="5BFDFBDA">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I. Attestation d’identité du représentant légal (responsable de l’entité)</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30</w:t>
      </w:r>
    </w:p>
    <w:p w14:paraId="6F783599">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二、授权委托书</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31</w:t>
      </w:r>
    </w:p>
    <w:p w14:paraId="63EC94D8">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II. Procuration</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31</w:t>
      </w:r>
    </w:p>
    <w:p w14:paraId="0618BCB9">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三、商务和技术偏差表</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33</w:t>
      </w:r>
    </w:p>
    <w:p w14:paraId="57FAFD96">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III. Tableau des écarts commerciaux et techniques</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33</w:t>
      </w:r>
    </w:p>
    <w:p w14:paraId="6C20549A">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四、资格审查资料</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33</w:t>
      </w:r>
    </w:p>
    <w:p w14:paraId="33C027CD">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IV. Documents de qualification</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33</w:t>
      </w:r>
    </w:p>
    <w:p w14:paraId="3F00B64B">
      <w:pPr>
        <w:pStyle w:val="28"/>
        <w:tabs>
          <w:tab w:val="right" w:leader="dot" w:pos="9355"/>
        </w:tabs>
        <w:rPr>
          <w:kern w:val="2"/>
          <w:highlight w:val="none"/>
          <w:lang w:val="en-US" w:eastAsia="zh-CN" w:bidi="ar-SA"/>
        </w:rPr>
      </w:pPr>
    </w:p>
    <w:p w14:paraId="7FAC114F">
      <w:pPr>
        <w:pStyle w:val="28"/>
        <w:tabs>
          <w:tab w:val="right" w:leader="dot" w:pos="9355"/>
        </w:tabs>
        <w:rPr>
          <w:kern w:val="2"/>
          <w:highlight w:val="none"/>
          <w:lang w:val="en-US" w:eastAsia="zh-CN" w:bidi="ar-SA"/>
        </w:rPr>
      </w:pPr>
    </w:p>
    <w:p w14:paraId="2E8FE191">
      <w:pPr>
        <w:pStyle w:val="28"/>
        <w:tabs>
          <w:tab w:val="right" w:leader="dot" w:pos="9355"/>
        </w:tabs>
        <w:rPr>
          <w:kern w:val="2"/>
          <w:highlight w:val="none"/>
          <w:lang w:val="en-US" w:eastAsia="zh-CN" w:bidi="ar-SA"/>
        </w:rPr>
      </w:pPr>
    </w:p>
    <w:p w14:paraId="5E94A181">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响应文件B</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43</w:t>
      </w:r>
    </w:p>
    <w:p w14:paraId="612612C1">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Dossier de réponse B</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43</w:t>
      </w:r>
    </w:p>
    <w:p w14:paraId="64A85882">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目  录</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44</w:t>
      </w:r>
    </w:p>
    <w:p w14:paraId="119B5E45">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TABLE DES MATIÈRES</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44</w:t>
      </w:r>
    </w:p>
    <w:p w14:paraId="6387C138">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一、响应函</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45</w:t>
      </w:r>
    </w:p>
    <w:p w14:paraId="4FFA4460">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I. Lettre de réponse</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45</w:t>
      </w:r>
    </w:p>
    <w:p w14:paraId="05E8306B">
      <w:pPr>
        <w:pStyle w:val="28"/>
        <w:tabs>
          <w:tab w:val="right" w:leader="dot" w:pos="9355"/>
        </w:tabs>
        <w:rPr>
          <w:kern w:val="2"/>
          <w:highlight w:val="none"/>
          <w:lang w:val="en-US" w:eastAsia="zh-CN" w:bidi="ar-SA"/>
        </w:rPr>
      </w:pPr>
      <w:r>
        <w:rPr>
          <w:rFonts w:hint="eastAsia" w:ascii="仿宋_GB2312" w:hAnsi="宋体" w:eastAsia="仿宋_GB2312" w:cs="宋体"/>
          <w:kern w:val="2"/>
          <w:szCs w:val="36"/>
          <w:highlight w:val="none"/>
          <w:lang w:val="en-US" w:eastAsia="zh-CN" w:bidi="ar-SA"/>
        </w:rPr>
        <w:t>二、报价格式</w:t>
      </w:r>
      <w:r>
        <w:rPr>
          <w:rFonts w:hint="eastAsia" w:ascii="仿宋_GB2312" w:hAnsi="宋体" w:eastAsia="仿宋_GB2312" w:cs="宋体"/>
          <w:kern w:val="2"/>
          <w:szCs w:val="36"/>
          <w:highlight w:val="none"/>
          <w:lang w:val="en-US" w:eastAsia="zh-CN" w:bidi="ar-SA"/>
        </w:rPr>
        <w:tab/>
      </w:r>
      <w:r>
        <w:rPr>
          <w:rFonts w:hint="eastAsia" w:ascii="仿宋_GB2312" w:hAnsi="宋体" w:eastAsia="仿宋_GB2312" w:cs="宋体"/>
          <w:kern w:val="2"/>
          <w:szCs w:val="36"/>
          <w:highlight w:val="none"/>
          <w:lang w:val="en-US" w:eastAsia="zh-CN" w:bidi="ar-SA"/>
        </w:rPr>
        <w:t>46</w:t>
      </w:r>
    </w:p>
    <w:p w14:paraId="5AA37E7F">
      <w:pPr>
        <w:tabs>
          <w:tab w:val="right" w:leader="dot" w:pos="9355"/>
        </w:tabs>
        <w:rPr>
          <w:kern w:val="2"/>
          <w:highlight w:val="none"/>
          <w:lang w:val="en-US" w:eastAsia="zh-CN" w:bidi="ar-SA"/>
        </w:rPr>
      </w:pPr>
      <w:r>
        <w:rPr>
          <w:rFonts w:hint="eastAsia" w:ascii="Times New Roman" w:hAnsi="Times New Roman" w:eastAsia="仿宋_GB2312" w:cs="Times New Roman"/>
          <w:kern w:val="2"/>
          <w:szCs w:val="36"/>
          <w:highlight w:val="none"/>
          <w:lang w:val="en-US" w:eastAsia="zh-CN" w:bidi="ar-SA"/>
        </w:rPr>
        <w:t>II. Format de l’offre financière</w:t>
      </w:r>
      <w:r>
        <w:rPr>
          <w:rFonts w:hint="eastAsia" w:ascii="Times New Roman" w:hAnsi="Times New Roman" w:eastAsia="仿宋_GB2312" w:cs="Times New Roman"/>
          <w:kern w:val="2"/>
          <w:szCs w:val="36"/>
          <w:highlight w:val="none"/>
          <w:lang w:val="en-US" w:eastAsia="zh-CN" w:bidi="ar-SA"/>
        </w:rPr>
        <w:tab/>
      </w:r>
      <w:r>
        <w:rPr>
          <w:rFonts w:hint="eastAsia" w:ascii="Times New Roman" w:hAnsi="Times New Roman" w:eastAsia="仿宋_GB2312" w:cs="Times New Roman"/>
          <w:kern w:val="2"/>
          <w:szCs w:val="36"/>
          <w:highlight w:val="none"/>
          <w:lang w:val="en-US" w:eastAsia="zh-CN" w:bidi="ar-SA"/>
        </w:rPr>
        <w:t>46</w:t>
      </w:r>
    </w:p>
    <w:p w14:paraId="70786086">
      <w:pPr>
        <w:pStyle w:val="13"/>
        <w:ind w:left="0" w:leftChars="0" w:firstLine="0" w:firstLineChars="0"/>
        <w:rPr>
          <w:rFonts w:hint="eastAsia" w:ascii="仿宋_GB2312" w:hAnsi="宋体" w:eastAsia="仿宋_GB2312" w:cs="宋体"/>
          <w:kern w:val="2"/>
          <w:szCs w:val="36"/>
          <w:highlight w:val="none"/>
          <w:lang w:val="en-US" w:eastAsia="zh-CN" w:bidi="ar-SA"/>
        </w:rPr>
      </w:pPr>
    </w:p>
    <w:p w14:paraId="279D7088">
      <w:pPr>
        <w:pStyle w:val="13"/>
        <w:rPr>
          <w:rFonts w:hint="eastAsia" w:ascii="仿宋_GB2312" w:hAnsi="宋体" w:eastAsia="仿宋_GB2312" w:cs="宋体"/>
          <w:kern w:val="2"/>
          <w:szCs w:val="36"/>
          <w:highlight w:val="none"/>
          <w:lang w:val="en-US" w:eastAsia="zh-CN" w:bidi="ar-SA"/>
        </w:rPr>
      </w:pPr>
    </w:p>
    <w:p w14:paraId="46CC8CC3">
      <w:pPr>
        <w:pStyle w:val="13"/>
        <w:rPr>
          <w:rFonts w:hint="eastAsia" w:ascii="仿宋_GB2312" w:hAnsi="宋体" w:eastAsia="仿宋_GB2312" w:cs="宋体"/>
          <w:kern w:val="2"/>
          <w:szCs w:val="36"/>
          <w:highlight w:val="none"/>
          <w:lang w:val="en-US" w:eastAsia="zh-CN" w:bidi="ar-SA"/>
        </w:rPr>
      </w:pPr>
    </w:p>
    <w:p w14:paraId="5125692F">
      <w:pPr>
        <w:spacing w:line="360" w:lineRule="auto"/>
        <w:jc w:val="center"/>
        <w:rPr>
          <w:rFonts w:hint="eastAsia" w:ascii="仿宋_GB2312" w:hAnsi="宋体" w:eastAsia="仿宋_GB2312" w:cs="宋体"/>
          <w:b/>
          <w:sz w:val="36"/>
          <w:szCs w:val="36"/>
          <w:highlight w:val="none"/>
          <w:lang w:val="en-US" w:eastAsia="zh-CN"/>
        </w:rPr>
        <w:sectPr>
          <w:headerReference r:id="rId7" w:type="first"/>
          <w:footerReference r:id="rId9" w:type="first"/>
          <w:footerReference r:id="rId8" w:type="default"/>
          <w:pgSz w:w="11906" w:h="16838"/>
          <w:pgMar w:top="1417" w:right="1134" w:bottom="1134" w:left="1417" w:header="851" w:footer="850" w:gutter="0"/>
          <w:pgBorders>
            <w:top w:val="none" w:sz="0" w:space="0"/>
            <w:left w:val="none" w:sz="0" w:space="0"/>
            <w:bottom w:val="none" w:sz="0" w:space="0"/>
            <w:right w:val="none" w:sz="0" w:space="0"/>
          </w:pgBorders>
          <w:pgNumType w:fmt="decimal" w:start="1"/>
          <w:cols w:space="720" w:num="1"/>
          <w:titlePg/>
          <w:rtlGutter w:val="0"/>
          <w:docGrid w:linePitch="312" w:charSpace="0"/>
        </w:sectPr>
      </w:pPr>
    </w:p>
    <w:p w14:paraId="2281EA4E">
      <w:pPr>
        <w:pStyle w:val="2"/>
        <w:numPr>
          <w:ilvl w:val="0"/>
          <w:numId w:val="1"/>
        </w:numPr>
        <w:adjustRightInd w:val="0"/>
        <w:snapToGrid w:val="0"/>
        <w:spacing w:before="0" w:after="0" w:line="360" w:lineRule="auto"/>
        <w:jc w:val="center"/>
        <w:rPr>
          <w:rFonts w:ascii="宋体" w:hAnsi="宋体" w:eastAsia="宋体"/>
          <w:b/>
          <w:sz w:val="28"/>
          <w:szCs w:val="28"/>
          <w:highlight w:val="none"/>
        </w:rPr>
      </w:pPr>
      <w:bookmarkStart w:id="1" w:name="_Toc30112"/>
      <w:bookmarkStart w:id="2" w:name="_Toc247527551"/>
      <w:bookmarkStart w:id="3" w:name="_Toc247513950"/>
      <w:bookmarkStart w:id="4" w:name="_Toc144974495"/>
      <w:bookmarkStart w:id="5" w:name="_Toc300834947"/>
      <w:bookmarkStart w:id="6" w:name="_Toc4273"/>
      <w:bookmarkStart w:id="7" w:name="_Toc152045527"/>
      <w:bookmarkStart w:id="8" w:name="_Toc152042303"/>
      <w:bookmarkStart w:id="9" w:name="_Toc17462"/>
      <w:r>
        <w:rPr>
          <w:rFonts w:hint="eastAsia" w:ascii="宋体" w:hAnsi="宋体" w:eastAsia="宋体"/>
          <w:b/>
          <w:sz w:val="28"/>
          <w:szCs w:val="28"/>
          <w:highlight w:val="none"/>
          <w:lang w:val="en-US" w:eastAsia="zh-CN"/>
        </w:rPr>
        <w:t>响应</w:t>
      </w:r>
      <w:r>
        <w:rPr>
          <w:rFonts w:hint="eastAsia" w:ascii="宋体" w:hAnsi="宋体" w:eastAsia="宋体"/>
          <w:b/>
          <w:sz w:val="28"/>
          <w:szCs w:val="28"/>
          <w:highlight w:val="none"/>
          <w:lang w:eastAsia="zh-CN"/>
        </w:rPr>
        <w:t>人</w:t>
      </w:r>
      <w:r>
        <w:rPr>
          <w:rFonts w:ascii="宋体" w:hAnsi="宋体" w:eastAsia="宋体"/>
          <w:b/>
          <w:sz w:val="28"/>
          <w:szCs w:val="28"/>
          <w:highlight w:val="none"/>
        </w:rPr>
        <w:t>须知</w:t>
      </w:r>
      <w:bookmarkEnd w:id="1"/>
      <w:bookmarkEnd w:id="2"/>
      <w:bookmarkEnd w:id="3"/>
      <w:bookmarkEnd w:id="4"/>
      <w:bookmarkEnd w:id="5"/>
      <w:bookmarkEnd w:id="6"/>
      <w:bookmarkEnd w:id="7"/>
      <w:bookmarkEnd w:id="8"/>
      <w:bookmarkEnd w:id="9"/>
    </w:p>
    <w:p w14:paraId="303B4065">
      <w:pPr>
        <w:adjustRightInd w:val="0"/>
        <w:snapToGrid w:val="0"/>
        <w:spacing w:before="0" w:after="0" w:line="360" w:lineRule="auto"/>
        <w:jc w:val="center"/>
        <w:rPr>
          <w:rFonts w:ascii="宋体" w:hAnsi="宋体" w:eastAsia="宋体"/>
          <w:b/>
          <w:sz w:val="28"/>
          <w:szCs w:val="28"/>
          <w:highlight w:val="none"/>
        </w:rPr>
      </w:pPr>
      <w:r>
        <w:rPr>
          <w:rFonts w:hint="eastAsia" w:ascii="Times New Roman" w:hAnsi="Times New Roman" w:eastAsia="宋体" w:cs="Times New Roman"/>
          <w:b/>
          <w:sz w:val="28"/>
          <w:szCs w:val="28"/>
          <w:highlight w:val="none"/>
          <w:lang w:val="en-US" w:eastAsia="zh-CN"/>
        </w:rPr>
        <w:t>Instructions aux soumissionnaires</w:t>
      </w:r>
    </w:p>
    <w:p w14:paraId="4E90012E">
      <w:pPr>
        <w:pStyle w:val="3"/>
        <w:keepLines/>
        <w:widowControl/>
        <w:adjustRightInd/>
        <w:spacing w:before="0" w:after="0" w:line="360" w:lineRule="auto"/>
        <w:jc w:val="both"/>
        <w:textAlignment w:val="auto"/>
        <w:rPr>
          <w:rFonts w:hint="eastAsia" w:ascii="宋体" w:hAnsi="宋体" w:eastAsia="宋体"/>
          <w:bCs/>
          <w:kern w:val="2"/>
          <w:sz w:val="21"/>
          <w:szCs w:val="21"/>
          <w:highlight w:val="none"/>
          <w:lang w:val="en-US" w:eastAsia="zh-CN" w:bidi="ar-SA"/>
        </w:rPr>
      </w:pPr>
      <w:bookmarkStart w:id="10" w:name="_Toc6561309"/>
      <w:bookmarkStart w:id="11" w:name="_Toc15199"/>
      <w:bookmarkStart w:id="12" w:name="_Toc9980"/>
      <w:r>
        <w:rPr>
          <w:rFonts w:hint="eastAsia" w:ascii="宋体" w:hAnsi="宋体" w:eastAsia="宋体"/>
          <w:bCs/>
          <w:kern w:val="2"/>
          <w:sz w:val="21"/>
          <w:szCs w:val="21"/>
          <w:highlight w:val="none"/>
          <w:lang w:val="en-US" w:eastAsia="zh-CN" w:bidi="ar-SA"/>
        </w:rPr>
        <w:t>响应人须知前附表</w:t>
      </w:r>
      <w:bookmarkEnd w:id="10"/>
      <w:bookmarkEnd w:id="11"/>
      <w:bookmarkEnd w:id="12"/>
    </w:p>
    <w:p w14:paraId="2102D753">
      <w:pPr>
        <w:keepLines/>
        <w:widowControl/>
        <w:adjustRightInd/>
        <w:spacing w:before="0" w:after="0" w:line="360" w:lineRule="auto"/>
        <w:jc w:val="both"/>
        <w:textAlignment w:val="auto"/>
        <w:rPr>
          <w:rFonts w:hint="eastAsia" w:ascii="宋体" w:hAnsi="宋体" w:eastAsia="宋体"/>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Tableau préliminaire des instructions aux soumissionnaires</w:t>
      </w:r>
    </w:p>
    <w:tbl>
      <w:tblPr>
        <w:tblStyle w:val="33"/>
        <w:tblW w:w="9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789"/>
        <w:gridCol w:w="1296"/>
        <w:gridCol w:w="4760"/>
        <w:gridCol w:w="933"/>
      </w:tblGrid>
      <w:tr w14:paraId="275F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1B2119C0">
            <w:pPr>
              <w:adjustRightInd w:val="0"/>
              <w:snapToGrid w:val="0"/>
              <w:jc w:val="center"/>
              <w:rPr>
                <w:rFonts w:hAnsi="宋体"/>
                <w:b/>
                <w:highlight w:val="none"/>
              </w:rPr>
            </w:pPr>
            <w:r>
              <w:rPr>
                <w:rFonts w:hint="eastAsia" w:hAnsi="宋体"/>
                <w:b/>
                <w:highlight w:val="none"/>
                <w:lang w:val="en-US" w:eastAsia="zh-CN"/>
              </w:rPr>
              <w:t>序</w:t>
            </w:r>
            <w:r>
              <w:rPr>
                <w:rFonts w:hAnsi="宋体"/>
                <w:b/>
                <w:highlight w:val="none"/>
              </w:rPr>
              <w:t>号</w:t>
            </w:r>
          </w:p>
          <w:p w14:paraId="7EE213E9">
            <w:pPr>
              <w:adjustRightInd w:val="0"/>
              <w:snapToGrid w:val="0"/>
              <w:jc w:val="center"/>
              <w:rPr>
                <w:rFonts w:hAnsi="宋体"/>
                <w:b/>
                <w:highlight w:val="none"/>
              </w:rPr>
            </w:pPr>
            <w:r>
              <w:rPr>
                <w:rFonts w:hint="eastAsia" w:ascii="Times New Roman" w:hAnsi="Times New Roman" w:cs="Times New Roman"/>
                <w:b/>
                <w:highlight w:val="none"/>
                <w:lang w:val="en-US" w:eastAsia="zh-CN"/>
              </w:rPr>
              <w:t>N°</w:t>
            </w:r>
          </w:p>
        </w:tc>
        <w:tc>
          <w:tcPr>
            <w:tcW w:w="1789" w:type="dxa"/>
            <w:noWrap w:val="0"/>
            <w:vAlign w:val="center"/>
          </w:tcPr>
          <w:p w14:paraId="632E8626">
            <w:pPr>
              <w:adjustRightInd w:val="0"/>
              <w:snapToGrid w:val="0"/>
              <w:jc w:val="center"/>
              <w:rPr>
                <w:rFonts w:hAnsi="宋体"/>
                <w:b/>
                <w:highlight w:val="none"/>
              </w:rPr>
            </w:pPr>
            <w:r>
              <w:rPr>
                <w:rFonts w:hAnsi="宋体"/>
                <w:b/>
                <w:highlight w:val="none"/>
              </w:rPr>
              <w:t>条款名称</w:t>
            </w:r>
          </w:p>
          <w:p w14:paraId="2B04135D">
            <w:pPr>
              <w:adjustRightInd w:val="0"/>
              <w:snapToGrid w:val="0"/>
              <w:jc w:val="center"/>
              <w:rPr>
                <w:rFonts w:hAnsi="宋体"/>
                <w:b/>
                <w:highlight w:val="none"/>
              </w:rPr>
            </w:pPr>
            <w:r>
              <w:rPr>
                <w:rFonts w:ascii="Times New Roman" w:hAnsi="Times New Roman" w:cs="Times New Roman"/>
                <w:b/>
                <w:highlight w:val="none"/>
              </w:rPr>
              <w:t>Intitulé de la clause</w:t>
            </w:r>
          </w:p>
        </w:tc>
        <w:tc>
          <w:tcPr>
            <w:tcW w:w="6056" w:type="dxa"/>
            <w:gridSpan w:val="2"/>
            <w:noWrap w:val="0"/>
            <w:vAlign w:val="center"/>
          </w:tcPr>
          <w:p w14:paraId="2DB56F3E">
            <w:pPr>
              <w:adjustRightInd w:val="0"/>
              <w:snapToGrid w:val="0"/>
              <w:jc w:val="center"/>
              <w:rPr>
                <w:rFonts w:hAnsi="宋体"/>
                <w:b/>
                <w:highlight w:val="none"/>
              </w:rPr>
            </w:pPr>
            <w:r>
              <w:rPr>
                <w:rFonts w:hAnsi="宋体"/>
                <w:b/>
                <w:highlight w:val="none"/>
              </w:rPr>
              <w:t>编  列  内  容</w:t>
            </w:r>
          </w:p>
          <w:p w14:paraId="0C442C58">
            <w:pPr>
              <w:adjustRightInd w:val="0"/>
              <w:snapToGrid w:val="0"/>
              <w:jc w:val="center"/>
              <w:rPr>
                <w:rFonts w:hAnsi="宋体"/>
                <w:b/>
                <w:highlight w:val="none"/>
              </w:rPr>
            </w:pPr>
            <w:r>
              <w:rPr>
                <w:rFonts w:ascii="Times New Roman" w:hAnsi="Times New Roman" w:cs="Times New Roman"/>
                <w:b/>
                <w:highlight w:val="none"/>
              </w:rPr>
              <w:t>Contenu</w:t>
            </w:r>
          </w:p>
        </w:tc>
        <w:tc>
          <w:tcPr>
            <w:tcW w:w="933" w:type="dxa"/>
            <w:noWrap w:val="0"/>
            <w:vAlign w:val="center"/>
          </w:tcPr>
          <w:p w14:paraId="70FB2118">
            <w:pPr>
              <w:adjustRightInd w:val="0"/>
              <w:snapToGrid w:val="0"/>
              <w:jc w:val="center"/>
              <w:rPr>
                <w:rFonts w:hAnsi="宋体"/>
                <w:b/>
                <w:highlight w:val="none"/>
              </w:rPr>
            </w:pPr>
            <w:r>
              <w:rPr>
                <w:rFonts w:hAnsi="宋体"/>
                <w:b/>
                <w:highlight w:val="none"/>
              </w:rPr>
              <w:t>条款号</w:t>
            </w:r>
          </w:p>
          <w:p w14:paraId="1AC0306C">
            <w:pPr>
              <w:adjustRightInd w:val="0"/>
              <w:snapToGrid w:val="0"/>
              <w:jc w:val="center"/>
              <w:rPr>
                <w:rFonts w:hAnsi="宋体"/>
                <w:b/>
                <w:highlight w:val="none"/>
              </w:rPr>
            </w:pPr>
            <w:r>
              <w:rPr>
                <w:rFonts w:ascii="Times New Roman" w:hAnsi="Times New Roman" w:cs="Times New Roman"/>
                <w:b/>
                <w:highlight w:val="none"/>
              </w:rPr>
              <w:t>N° de clause</w:t>
            </w:r>
          </w:p>
        </w:tc>
      </w:tr>
      <w:tr w14:paraId="2481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422AB357">
            <w:pPr>
              <w:numPr>
                <w:ilvl w:val="0"/>
                <w:numId w:val="2"/>
              </w:numPr>
              <w:adjustRightInd w:val="0"/>
              <w:snapToGrid w:val="0"/>
              <w:ind w:left="0" w:leftChars="0" w:firstLine="170" w:firstLineChars="0"/>
              <w:jc w:val="center"/>
              <w:rPr>
                <w:rFonts w:hint="eastAsia" w:hAnsi="宋体" w:eastAsia="宋体"/>
                <w:highlight w:val="none"/>
                <w:lang w:eastAsia="zh-CN"/>
              </w:rPr>
            </w:pPr>
          </w:p>
        </w:tc>
        <w:tc>
          <w:tcPr>
            <w:tcW w:w="1789" w:type="dxa"/>
            <w:noWrap w:val="0"/>
            <w:vAlign w:val="center"/>
          </w:tcPr>
          <w:p w14:paraId="27F510E7">
            <w:pPr>
              <w:adjustRightInd w:val="0"/>
              <w:snapToGrid w:val="0"/>
              <w:jc w:val="center"/>
              <w:rPr>
                <w:rFonts w:hint="eastAsia" w:hAnsi="宋体"/>
                <w:highlight w:val="none"/>
              </w:rPr>
            </w:pPr>
            <w:r>
              <w:rPr>
                <w:rFonts w:hint="eastAsia" w:hAnsi="宋体"/>
                <w:highlight w:val="none"/>
                <w:lang w:val="en-US" w:eastAsia="zh-CN"/>
              </w:rPr>
              <w:t>采购</w:t>
            </w:r>
            <w:r>
              <w:rPr>
                <w:rFonts w:hint="eastAsia" w:hAnsi="宋体"/>
                <w:highlight w:val="none"/>
              </w:rPr>
              <w:t>人</w:t>
            </w:r>
          </w:p>
          <w:p w14:paraId="4E07E91A">
            <w:pPr>
              <w:adjustRightInd w:val="0"/>
              <w:snapToGrid w:val="0"/>
              <w:jc w:val="center"/>
              <w:rPr>
                <w:rFonts w:hint="eastAsia" w:hAnsi="宋体"/>
                <w:highlight w:val="none"/>
              </w:rPr>
            </w:pPr>
            <w:r>
              <w:rPr>
                <w:rFonts w:hint="eastAsia" w:ascii="Times New Roman" w:hAnsi="Times New Roman" w:cs="Times New Roman"/>
                <w:highlight w:val="none"/>
                <w:lang w:val="en-US" w:eastAsia="zh-CN"/>
              </w:rPr>
              <w:t>Acheteur</w:t>
            </w:r>
          </w:p>
        </w:tc>
        <w:tc>
          <w:tcPr>
            <w:tcW w:w="6056" w:type="dxa"/>
            <w:gridSpan w:val="2"/>
            <w:noWrap w:val="0"/>
            <w:vAlign w:val="center"/>
          </w:tcPr>
          <w:p w14:paraId="10B1A9D5">
            <w:pPr>
              <w:rPr>
                <w:rFonts w:hint="default" w:ascii="Times New Roman Regular" w:hAnsi="Times New Roman Regular" w:eastAsia="宋体" w:cs="Times New Roman Regular"/>
                <w:sz w:val="21"/>
                <w:szCs w:val="21"/>
                <w:highlight w:val="none"/>
                <w:lang w:val="en-US" w:eastAsia="zh-CN"/>
              </w:rPr>
            </w:pPr>
            <w:r>
              <w:rPr>
                <w:rFonts w:hint="default" w:ascii="Times New Roman Regular" w:hAnsi="Times New Roman Regular" w:cs="Times New Roman Regular"/>
                <w:sz w:val="21"/>
                <w:szCs w:val="21"/>
                <w:highlight w:val="none"/>
                <w:lang w:eastAsia="zh-CN"/>
              </w:rPr>
              <w:t>☑</w:t>
            </w:r>
            <w:r>
              <w:rPr>
                <w:rFonts w:hint="default" w:ascii="Times New Roman Regular" w:hAnsi="Times New Roman Regular" w:cs="Times New Roman Regular"/>
                <w:sz w:val="21"/>
                <w:szCs w:val="21"/>
                <w:highlight w:val="none"/>
              </w:rPr>
              <w:t>国家电投集团铝电投资有限公司</w:t>
            </w:r>
            <w:r>
              <w:rPr>
                <w:rFonts w:hint="default" w:ascii="Times New Roman Regular" w:hAnsi="Times New Roman Regular" w:cs="Times New Roman Regular"/>
                <w:sz w:val="21"/>
                <w:szCs w:val="21"/>
                <w:highlight w:val="none"/>
                <w:lang w:val="en-US" w:eastAsia="zh-CN"/>
              </w:rPr>
              <w:t xml:space="preserve"> </w:t>
            </w:r>
          </w:p>
          <w:p w14:paraId="3649B791">
            <w:pPr>
              <w:rPr>
                <w:rFonts w:hint="default" w:ascii="Times New Roman Regular" w:hAnsi="Times New Roman Regular" w:eastAsia="宋体" w:cs="Times New Roman Regular"/>
                <w:snapToGrid w:val="0"/>
                <w:sz w:val="21"/>
                <w:szCs w:val="21"/>
                <w:highlight w:val="none"/>
                <w:lang w:val="en-US" w:eastAsia="zh-CN"/>
              </w:rPr>
            </w:pPr>
            <w:r>
              <w:rPr>
                <w:rFonts w:hint="default" w:ascii="Times New Roman Regular" w:hAnsi="Times New Roman Regular" w:cs="Times New Roman Regular"/>
                <w:snapToGrid w:val="0"/>
                <w:sz w:val="21"/>
                <w:szCs w:val="21"/>
                <w:highlight w:val="none"/>
              </w:rPr>
              <w:t>联系人：</w:t>
            </w:r>
            <w:r>
              <w:rPr>
                <w:rFonts w:hint="default" w:ascii="Times New Roman Regular" w:hAnsi="Times New Roman Regular" w:cs="Times New Roman Regular"/>
                <w:sz w:val="21"/>
                <w:szCs w:val="21"/>
                <w:highlight w:val="none"/>
                <w:lang w:val="en-US" w:eastAsia="zh-CN"/>
              </w:rPr>
              <w:t>黄占文</w:t>
            </w:r>
          </w:p>
          <w:p w14:paraId="5D95AE6C">
            <w:pPr>
              <w:rPr>
                <w:rFonts w:hint="default" w:ascii="Times New Roman Regular" w:hAnsi="Times New Roman Regular" w:cs="Times New Roman Regular"/>
                <w:snapToGrid w:val="0"/>
                <w:sz w:val="21"/>
                <w:szCs w:val="21"/>
                <w:highlight w:val="none"/>
                <w:lang w:val="en-US" w:eastAsia="zh-CN"/>
              </w:rPr>
            </w:pPr>
            <w:r>
              <w:rPr>
                <w:rFonts w:hint="default" w:ascii="Times New Roman Regular" w:hAnsi="Times New Roman Regular" w:cs="Times New Roman Regular"/>
                <w:snapToGrid w:val="0"/>
                <w:sz w:val="21"/>
                <w:szCs w:val="21"/>
                <w:highlight w:val="none"/>
              </w:rPr>
              <w:t>电  话：0951-6665</w:t>
            </w:r>
            <w:r>
              <w:rPr>
                <w:rFonts w:hint="default" w:ascii="Times New Roman Regular" w:hAnsi="Times New Roman Regular" w:cs="Times New Roman Regular"/>
                <w:snapToGrid w:val="0"/>
                <w:sz w:val="21"/>
                <w:szCs w:val="21"/>
                <w:highlight w:val="none"/>
                <w:lang w:val="en-US" w:eastAsia="zh-CN"/>
              </w:rPr>
              <w:t>841</w:t>
            </w:r>
            <w:r>
              <w:rPr>
                <w:rFonts w:hint="default" w:ascii="Times New Roman Regular" w:hAnsi="Times New Roman Regular" w:cs="Times New Roman Regular"/>
                <w:snapToGrid w:val="0"/>
                <w:sz w:val="21"/>
                <w:szCs w:val="21"/>
                <w:highlight w:val="none"/>
                <w:lang w:eastAsia="zh-CN"/>
              </w:rPr>
              <w:t>（</w:t>
            </w:r>
            <w:r>
              <w:rPr>
                <w:rFonts w:hint="default" w:ascii="Times New Roman Regular" w:hAnsi="Times New Roman Regular" w:cs="Times New Roman Regular"/>
                <w:snapToGrid w:val="0"/>
                <w:sz w:val="21"/>
                <w:szCs w:val="21"/>
                <w:highlight w:val="none"/>
                <w:lang w:val="en-US" w:eastAsia="zh-CN"/>
              </w:rPr>
              <w:t>国内）</w:t>
            </w:r>
          </w:p>
          <w:p w14:paraId="5D9D5FEE">
            <w:pPr>
              <w:ind w:firstLine="840" w:firstLineChars="400"/>
              <w:rPr>
                <w:rFonts w:hint="default" w:ascii="Times New Roman Regular" w:hAnsi="Times New Roman Regular" w:cs="Times New Roman Regular"/>
                <w:snapToGrid w:val="0"/>
                <w:sz w:val="21"/>
                <w:szCs w:val="21"/>
                <w:highlight w:val="none"/>
                <w:lang w:val="en-US" w:eastAsia="zh-CN"/>
              </w:rPr>
            </w:pPr>
            <w:r>
              <w:rPr>
                <w:rFonts w:hint="default" w:ascii="Times New Roman Regular" w:hAnsi="Times New Roman Regular" w:cs="Times New Roman Regular"/>
                <w:snapToGrid w:val="0"/>
                <w:sz w:val="21"/>
                <w:szCs w:val="21"/>
                <w:highlight w:val="none"/>
                <w:lang w:val="en-US" w:eastAsia="zh-CN"/>
              </w:rPr>
              <w:t>224-614809427</w:t>
            </w:r>
          </w:p>
          <w:p w14:paraId="5CA64E63">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SPIC Aluminum &amp; Power Investment Co., Ltd.</w:t>
            </w:r>
          </w:p>
          <w:p w14:paraId="7DD1B8DD">
            <w:pPr>
              <w:pStyle w:val="23"/>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Contact：Huang Zhanwen</w:t>
            </w:r>
          </w:p>
          <w:p w14:paraId="2C7CED21">
            <w:pPr>
              <w:pStyle w:val="23"/>
              <w:rPr>
                <w:rFonts w:hAnsi="宋体"/>
                <w:highlight w:val="none"/>
              </w:rPr>
            </w:pPr>
            <w:r>
              <w:rPr>
                <w:rFonts w:hint="default" w:ascii="Times New Roman Regular" w:hAnsi="Times New Roman Regular" w:cs="Times New Roman Regular"/>
                <w:sz w:val="21"/>
                <w:szCs w:val="21"/>
                <w:lang w:val="en-US" w:eastAsia="zh-CN"/>
              </w:rPr>
              <w:t>Tél.: +224 614809427</w:t>
            </w:r>
          </w:p>
        </w:tc>
        <w:tc>
          <w:tcPr>
            <w:tcW w:w="933" w:type="dxa"/>
            <w:noWrap w:val="0"/>
            <w:vAlign w:val="center"/>
          </w:tcPr>
          <w:p w14:paraId="11C35788">
            <w:pPr>
              <w:adjustRightInd w:val="0"/>
              <w:snapToGrid w:val="0"/>
              <w:jc w:val="center"/>
              <w:rPr>
                <w:rFonts w:hint="eastAsia" w:hAnsi="宋体"/>
                <w:highlight w:val="none"/>
              </w:rPr>
            </w:pPr>
            <w:r>
              <w:rPr>
                <w:rFonts w:hint="eastAsia" w:hAnsi="宋体"/>
                <w:highlight w:val="none"/>
                <w:lang w:val="en-US" w:eastAsia="zh-CN"/>
              </w:rPr>
              <w:t>1.1.1</w:t>
            </w:r>
          </w:p>
        </w:tc>
      </w:tr>
      <w:tr w14:paraId="5582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5B198928">
            <w:pPr>
              <w:numPr>
                <w:ilvl w:val="0"/>
                <w:numId w:val="2"/>
              </w:numPr>
              <w:adjustRightInd w:val="0"/>
              <w:snapToGrid w:val="0"/>
              <w:ind w:left="0" w:leftChars="0" w:firstLine="170" w:firstLineChars="0"/>
              <w:jc w:val="center"/>
              <w:rPr>
                <w:rFonts w:hint="eastAsia" w:hAnsi="宋体"/>
                <w:highlight w:val="none"/>
                <w:lang w:val="en-US" w:eastAsia="zh-CN"/>
              </w:rPr>
            </w:pPr>
          </w:p>
        </w:tc>
        <w:tc>
          <w:tcPr>
            <w:tcW w:w="1789" w:type="dxa"/>
            <w:noWrap w:val="0"/>
            <w:vAlign w:val="center"/>
          </w:tcPr>
          <w:p w14:paraId="79F72011">
            <w:pPr>
              <w:adjustRightInd w:val="0"/>
              <w:snapToGrid w:val="0"/>
              <w:jc w:val="center"/>
              <w:rPr>
                <w:rFonts w:hint="default" w:hAnsi="宋体"/>
                <w:highlight w:val="none"/>
                <w:lang w:val="en-US" w:eastAsia="zh-CN"/>
              </w:rPr>
            </w:pPr>
            <w:r>
              <w:rPr>
                <w:rFonts w:hint="eastAsia" w:hAnsi="宋体"/>
                <w:highlight w:val="none"/>
                <w:lang w:val="en-US" w:eastAsia="zh-CN"/>
              </w:rPr>
              <w:t>项目单位</w:t>
            </w:r>
          </w:p>
          <w:p w14:paraId="7972A2BB">
            <w:pPr>
              <w:adjustRightInd w:val="0"/>
              <w:snapToGrid w:val="0"/>
              <w:jc w:val="center"/>
              <w:rPr>
                <w:rFonts w:hint="default" w:hAnsi="宋体"/>
                <w:highlight w:val="none"/>
                <w:lang w:val="en-US" w:eastAsia="zh-CN"/>
              </w:rPr>
            </w:pPr>
            <w:r>
              <w:rPr>
                <w:rFonts w:hint="eastAsia" w:ascii="Times New Roman" w:hAnsi="Times New Roman" w:cs="Times New Roman"/>
                <w:highlight w:val="none"/>
                <w:lang w:val="en-US" w:eastAsia="zh-CN"/>
              </w:rPr>
              <w:t>Unité du projet</w:t>
            </w:r>
          </w:p>
        </w:tc>
        <w:tc>
          <w:tcPr>
            <w:tcW w:w="6056" w:type="dxa"/>
            <w:gridSpan w:val="2"/>
            <w:noWrap w:val="0"/>
            <w:vAlign w:val="center"/>
          </w:tcPr>
          <w:p w14:paraId="3B1B3E38">
            <w:pPr>
              <w:adjustRightInd w:val="0"/>
              <w:snapToGrid w:val="0"/>
              <w:rPr>
                <w:rFonts w:hint="eastAsia" w:ascii="宋体" w:hAnsi="宋体" w:eastAsia="宋体"/>
                <w:szCs w:val="21"/>
                <w:highlight w:val="none"/>
                <w:lang w:val="en-US" w:eastAsia="zh-CN"/>
              </w:rPr>
            </w:pPr>
            <w:r>
              <w:rPr>
                <w:rFonts w:hint="eastAsia" w:hAnsi="宋体"/>
                <w:highlight w:val="none"/>
              </w:rPr>
              <w:t>国家电投国际投资开发（几内亚）有限责任公司</w:t>
            </w:r>
          </w:p>
          <w:p w14:paraId="7380FAC5">
            <w:pPr>
              <w:adjustRightInd w:val="0"/>
              <w:snapToGrid w:val="0"/>
              <w:rPr>
                <w:rFonts w:hint="eastAsia" w:ascii="宋体" w:hAnsi="宋体" w:eastAsia="宋体"/>
                <w:szCs w:val="21"/>
                <w:highlight w:val="none"/>
                <w:lang w:val="en-US" w:eastAsia="zh-CN"/>
              </w:rPr>
            </w:pPr>
            <w:r>
              <w:rPr>
                <w:rFonts w:hint="eastAsia" w:ascii="Times New Roman" w:hAnsi="Times New Roman" w:cs="Times New Roman"/>
                <w:highlight w:val="none"/>
              </w:rPr>
              <w:t>SPIC International Investment &amp; Development(Guinea) Co.,Ltd</w:t>
            </w:r>
          </w:p>
        </w:tc>
        <w:tc>
          <w:tcPr>
            <w:tcW w:w="933" w:type="dxa"/>
            <w:noWrap w:val="0"/>
            <w:vAlign w:val="center"/>
          </w:tcPr>
          <w:p w14:paraId="2B5FF79E">
            <w:pPr>
              <w:adjustRightInd w:val="0"/>
              <w:snapToGrid w:val="0"/>
              <w:jc w:val="center"/>
              <w:rPr>
                <w:rFonts w:hint="eastAsia" w:ascii="宋体" w:hAnsi="宋体" w:eastAsia="宋体"/>
                <w:szCs w:val="21"/>
                <w:highlight w:val="none"/>
                <w:lang w:val="en-US" w:eastAsia="zh-CN"/>
              </w:rPr>
            </w:pPr>
            <w:r>
              <w:rPr>
                <w:rFonts w:hint="eastAsia" w:hAnsi="宋体"/>
                <w:highlight w:val="none"/>
                <w:lang w:val="en-US" w:eastAsia="zh-CN"/>
              </w:rPr>
              <w:t>1.1.2</w:t>
            </w:r>
          </w:p>
        </w:tc>
      </w:tr>
      <w:tr w14:paraId="1F8C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0705D8F3">
            <w:pPr>
              <w:numPr>
                <w:ilvl w:val="0"/>
                <w:numId w:val="2"/>
              </w:numPr>
              <w:adjustRightInd w:val="0"/>
              <w:snapToGrid w:val="0"/>
              <w:ind w:left="0" w:leftChars="0" w:firstLine="170" w:firstLineChars="0"/>
              <w:jc w:val="center"/>
              <w:rPr>
                <w:rFonts w:hint="eastAsia" w:hAnsi="宋体" w:eastAsia="宋体"/>
                <w:highlight w:val="none"/>
                <w:lang w:eastAsia="zh-CN"/>
              </w:rPr>
            </w:pPr>
          </w:p>
        </w:tc>
        <w:tc>
          <w:tcPr>
            <w:tcW w:w="1789" w:type="dxa"/>
            <w:noWrap w:val="0"/>
            <w:vAlign w:val="center"/>
          </w:tcPr>
          <w:p w14:paraId="30027B51">
            <w:pPr>
              <w:adjustRightInd w:val="0"/>
              <w:snapToGrid w:val="0"/>
              <w:jc w:val="center"/>
              <w:rPr>
                <w:rFonts w:hAnsi="宋体"/>
                <w:highlight w:val="none"/>
              </w:rPr>
            </w:pPr>
            <w:r>
              <w:rPr>
                <w:rFonts w:hAnsi="宋体"/>
                <w:highlight w:val="none"/>
              </w:rPr>
              <w:t>项目名称</w:t>
            </w:r>
          </w:p>
          <w:p w14:paraId="2FA78877">
            <w:pPr>
              <w:adjustRightInd w:val="0"/>
              <w:snapToGrid w:val="0"/>
              <w:jc w:val="center"/>
              <w:rPr>
                <w:rFonts w:hAnsi="宋体"/>
                <w:highlight w:val="none"/>
              </w:rPr>
            </w:pPr>
            <w:r>
              <w:rPr>
                <w:rFonts w:ascii="Times New Roman" w:hAnsi="Times New Roman" w:cs="Times New Roman"/>
                <w:highlight w:val="none"/>
              </w:rPr>
              <w:t>Nom du projet</w:t>
            </w:r>
          </w:p>
        </w:tc>
        <w:tc>
          <w:tcPr>
            <w:tcW w:w="6056" w:type="dxa"/>
            <w:gridSpan w:val="2"/>
            <w:noWrap w:val="0"/>
            <w:vAlign w:val="center"/>
          </w:tcPr>
          <w:p w14:paraId="46D43A9F">
            <w:pPr>
              <w:pStyle w:val="158"/>
              <w:adjustRightInd w:val="0"/>
              <w:snapToGrid w:val="0"/>
              <w:rPr>
                <w:rFonts w:hint="default" w:hAnsi="宋体"/>
                <w:highlight w:val="none"/>
                <w:lang w:val="en-US"/>
              </w:rPr>
            </w:pPr>
            <w:r>
              <w:rPr>
                <w:rFonts w:hint="eastAsia" w:ascii="宋体" w:hAnsi="宋体"/>
                <w:szCs w:val="21"/>
                <w:highlight w:val="none"/>
                <w:lang w:val="en-US" w:eastAsia="zh-CN"/>
              </w:rPr>
              <w:t>国家电投国际投资开发（几内亚）有限责任公司国际机票代理服务采购项目</w:t>
            </w:r>
          </w:p>
          <w:p w14:paraId="3D8C7770">
            <w:pPr>
              <w:adjustRightInd w:val="0"/>
              <w:snapToGrid w:val="0"/>
              <w:rPr>
                <w:rFonts w:hint="default" w:hAnsi="宋体"/>
                <w:highlight w:val="none"/>
                <w:lang w:val="en-US"/>
              </w:rPr>
            </w:pPr>
            <w:r>
              <w:rPr>
                <w:rFonts w:hint="eastAsia" w:ascii="Times New Roman" w:hAnsi="Times New Roman" w:cs="Times New Roman"/>
                <w:szCs w:val="21"/>
                <w:highlight w:val="none"/>
                <w:lang w:val="en-US" w:eastAsia="zh-CN"/>
              </w:rPr>
              <w:t>Projet d’acquisition de services d’agence pour billets d’avion internationaux de SPIC International Investment &amp; Development(Guinea) Co.,Ltd</w:t>
            </w:r>
          </w:p>
        </w:tc>
        <w:tc>
          <w:tcPr>
            <w:tcW w:w="933" w:type="dxa"/>
            <w:noWrap w:val="0"/>
            <w:vAlign w:val="center"/>
          </w:tcPr>
          <w:p w14:paraId="5A9A81C2">
            <w:pPr>
              <w:adjustRightInd w:val="0"/>
              <w:snapToGrid w:val="0"/>
              <w:jc w:val="center"/>
              <w:rPr>
                <w:rFonts w:hint="eastAsia" w:ascii="宋体" w:hAnsi="宋体" w:eastAsia="宋体"/>
                <w:szCs w:val="21"/>
                <w:highlight w:val="none"/>
                <w:lang w:val="en-US" w:eastAsia="zh-CN"/>
              </w:rPr>
            </w:pPr>
            <w:r>
              <w:rPr>
                <w:rFonts w:hint="eastAsia" w:hAnsi="宋体"/>
                <w:highlight w:val="none"/>
                <w:lang w:val="en-US" w:eastAsia="zh-CN"/>
              </w:rPr>
              <w:t>1.1.3</w:t>
            </w:r>
          </w:p>
        </w:tc>
      </w:tr>
      <w:tr w14:paraId="1B07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1220E7C8">
            <w:pPr>
              <w:numPr>
                <w:ilvl w:val="0"/>
                <w:numId w:val="2"/>
              </w:numPr>
              <w:adjustRightInd w:val="0"/>
              <w:snapToGrid w:val="0"/>
              <w:ind w:left="0" w:leftChars="0" w:firstLine="170" w:firstLineChars="0"/>
              <w:jc w:val="center"/>
              <w:rPr>
                <w:rFonts w:hint="eastAsia" w:hAnsi="宋体" w:eastAsia="宋体"/>
                <w:highlight w:val="none"/>
                <w:lang w:eastAsia="zh-CN"/>
              </w:rPr>
            </w:pPr>
          </w:p>
        </w:tc>
        <w:tc>
          <w:tcPr>
            <w:tcW w:w="1789" w:type="dxa"/>
            <w:noWrap w:val="0"/>
            <w:vAlign w:val="center"/>
          </w:tcPr>
          <w:p w14:paraId="3C94E697">
            <w:pPr>
              <w:adjustRightInd w:val="0"/>
              <w:snapToGrid w:val="0"/>
              <w:jc w:val="center"/>
              <w:rPr>
                <w:rFonts w:hint="eastAsia" w:hAnsi="宋体" w:eastAsia="宋体"/>
                <w:highlight w:val="none"/>
                <w:lang w:val="en-US" w:eastAsia="zh-CN"/>
              </w:rPr>
            </w:pPr>
            <w:r>
              <w:rPr>
                <w:rFonts w:hint="eastAsia" w:hAnsi="宋体"/>
                <w:highlight w:val="none"/>
                <w:lang w:val="en-US" w:eastAsia="zh-CN"/>
              </w:rPr>
              <w:t>项目地点</w:t>
            </w:r>
          </w:p>
          <w:p w14:paraId="13D09DE2">
            <w:pPr>
              <w:adjustRightInd w:val="0"/>
              <w:snapToGrid w:val="0"/>
              <w:jc w:val="center"/>
              <w:rPr>
                <w:rFonts w:hint="eastAsia" w:hAnsi="宋体" w:eastAsia="宋体"/>
                <w:highlight w:val="none"/>
                <w:lang w:val="en-US" w:eastAsia="zh-CN"/>
              </w:rPr>
            </w:pPr>
            <w:r>
              <w:rPr>
                <w:rFonts w:hint="eastAsia" w:ascii="Times New Roman" w:hAnsi="Times New Roman" w:cs="Times New Roman"/>
                <w:highlight w:val="none"/>
                <w:lang w:val="en-US" w:eastAsia="zh-CN"/>
              </w:rPr>
              <w:t>Lieu du projet</w:t>
            </w:r>
          </w:p>
        </w:tc>
        <w:tc>
          <w:tcPr>
            <w:tcW w:w="6056" w:type="dxa"/>
            <w:gridSpan w:val="2"/>
            <w:noWrap w:val="0"/>
            <w:vAlign w:val="center"/>
          </w:tcPr>
          <w:p w14:paraId="066DF668">
            <w:pPr>
              <w:pStyle w:val="158"/>
              <w:adjustRightInd w:val="0"/>
              <w:snapToGrid w:val="0"/>
              <w:rPr>
                <w:rFonts w:hint="default" w:ascii="宋体" w:hAnsi="宋体"/>
                <w:color w:val="FF0000"/>
                <w:szCs w:val="21"/>
                <w:highlight w:val="none"/>
                <w:lang w:val="en-US" w:eastAsia="zh-CN"/>
              </w:rPr>
            </w:pPr>
            <w:r>
              <w:rPr>
                <w:rFonts w:hint="eastAsia" w:ascii="宋体" w:hAnsi="宋体"/>
                <w:szCs w:val="21"/>
                <w:highlight w:val="none"/>
                <w:lang w:val="en-US" w:eastAsia="zh-CN"/>
              </w:rPr>
              <w:t>几内亚共和国科纳克里市</w:t>
            </w:r>
          </w:p>
          <w:p w14:paraId="0D17C9AD">
            <w:pPr>
              <w:adjustRightInd w:val="0"/>
              <w:snapToGrid w:val="0"/>
              <w:rPr>
                <w:rFonts w:hint="default" w:ascii="宋体" w:hAnsi="宋体"/>
                <w:color w:val="FF0000"/>
                <w:szCs w:val="21"/>
                <w:highlight w:val="none"/>
                <w:lang w:val="en-US" w:eastAsia="zh-CN"/>
              </w:rPr>
            </w:pPr>
            <w:r>
              <w:rPr>
                <w:rFonts w:hint="eastAsia" w:ascii="Times New Roman" w:hAnsi="Times New Roman" w:cs="Times New Roman"/>
                <w:szCs w:val="21"/>
                <w:highlight w:val="none"/>
                <w:lang w:val="en-US" w:eastAsia="zh-CN"/>
              </w:rPr>
              <w:t>Conakry, République de Guinée</w:t>
            </w:r>
          </w:p>
        </w:tc>
        <w:tc>
          <w:tcPr>
            <w:tcW w:w="933" w:type="dxa"/>
            <w:noWrap w:val="0"/>
            <w:vAlign w:val="center"/>
          </w:tcPr>
          <w:p w14:paraId="1C30D239">
            <w:pPr>
              <w:adjustRightInd w:val="0"/>
              <w:snapToGrid w:val="0"/>
              <w:jc w:val="center"/>
            </w:pPr>
            <w:r>
              <w:rPr>
                <w:rFonts w:hint="default" w:ascii="Times New Roman Regular" w:hAnsi="Times New Roman Regular" w:cs="Times New Roman Regular"/>
                <w:sz w:val="21"/>
                <w:szCs w:val="21"/>
                <w:highlight w:val="none"/>
              </w:rPr>
              <w:t>1.1.4</w:t>
            </w:r>
          </w:p>
        </w:tc>
      </w:tr>
      <w:tr w14:paraId="3EDF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724485ED">
            <w:pPr>
              <w:numPr>
                <w:ilvl w:val="0"/>
                <w:numId w:val="2"/>
              </w:numPr>
              <w:adjustRightInd w:val="0"/>
              <w:snapToGrid w:val="0"/>
              <w:ind w:left="0" w:leftChars="0" w:firstLine="170" w:firstLineChars="0"/>
              <w:jc w:val="center"/>
              <w:rPr>
                <w:rFonts w:hint="eastAsia" w:hAnsi="宋体" w:eastAsia="宋体"/>
                <w:highlight w:val="none"/>
                <w:lang w:eastAsia="zh-CN"/>
              </w:rPr>
            </w:pPr>
          </w:p>
        </w:tc>
        <w:tc>
          <w:tcPr>
            <w:tcW w:w="1789" w:type="dxa"/>
            <w:noWrap w:val="0"/>
            <w:vAlign w:val="center"/>
          </w:tcPr>
          <w:p w14:paraId="13F507FE">
            <w:pPr>
              <w:adjustRightInd w:val="0"/>
              <w:snapToGrid w:val="0"/>
              <w:jc w:val="center"/>
              <w:rPr>
                <w:rFonts w:hint="default" w:ascii="Times New Roman Regular" w:hAnsi="Times New Roman Regular" w:cs="Times New Roman Regular"/>
                <w:color w:val="000000"/>
                <w:sz w:val="21"/>
                <w:szCs w:val="21"/>
                <w:highlight w:val="none"/>
              </w:rPr>
            </w:pPr>
            <w:r>
              <w:rPr>
                <w:rFonts w:hint="default" w:ascii="Times New Roman Regular" w:hAnsi="Times New Roman Regular" w:cs="Times New Roman Regular"/>
                <w:color w:val="000000"/>
                <w:sz w:val="21"/>
                <w:szCs w:val="21"/>
                <w:highlight w:val="none"/>
              </w:rPr>
              <w:t>项目规模</w:t>
            </w:r>
          </w:p>
          <w:p w14:paraId="3F3D6BCB">
            <w:pPr>
              <w:pStyle w:val="22"/>
              <w:jc w:val="center"/>
              <w:rPr>
                <w:rFonts w:hint="eastAsia" w:ascii="Times New Roman" w:hAnsi="Times New Roman" w:cs="Times New Roman"/>
                <w:highlight w:val="none"/>
                <w:lang w:val="en-US" w:eastAsia="zh-CN"/>
              </w:rPr>
            </w:pPr>
            <w:r>
              <w:rPr>
                <w:rFonts w:hint="default" w:ascii="Times New Roman Regular" w:hAnsi="Times New Roman Regular" w:cs="Times New Roman Regular"/>
                <w:sz w:val="21"/>
                <w:szCs w:val="21"/>
              </w:rPr>
              <w:t>Envergure du projet</w:t>
            </w:r>
          </w:p>
        </w:tc>
        <w:tc>
          <w:tcPr>
            <w:tcW w:w="6056" w:type="dxa"/>
            <w:gridSpan w:val="2"/>
            <w:noWrap w:val="0"/>
            <w:vAlign w:val="center"/>
          </w:tcPr>
          <w:p w14:paraId="0E0D2676">
            <w:pPr>
              <w:pStyle w:val="158"/>
              <w:adjustRightInd w:val="0"/>
              <w:snapToGrid w:val="0"/>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w:t>
            </w:r>
          </w:p>
        </w:tc>
        <w:tc>
          <w:tcPr>
            <w:tcW w:w="933" w:type="dxa"/>
            <w:noWrap w:val="0"/>
            <w:vAlign w:val="center"/>
          </w:tcPr>
          <w:p w14:paraId="55C8E2A1">
            <w:pPr>
              <w:adjustRightInd w:val="0"/>
              <w:snapToGrid w:val="0"/>
              <w:jc w:val="center"/>
              <w:rPr>
                <w:rFonts w:ascii="宋体" w:hAnsi="宋体" w:eastAsia="宋体"/>
                <w:b w:val="0"/>
                <w:sz w:val="18"/>
              </w:rPr>
            </w:pPr>
            <w:r>
              <w:rPr>
                <w:rFonts w:hint="default" w:ascii="Times New Roman Regular" w:hAnsi="Times New Roman Regular" w:cs="Times New Roman Regular"/>
                <w:sz w:val="21"/>
                <w:szCs w:val="21"/>
                <w:highlight w:val="none"/>
              </w:rPr>
              <w:t>1.1.5</w:t>
            </w:r>
          </w:p>
        </w:tc>
      </w:tr>
      <w:tr w14:paraId="706F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6" w:hRule="atLeast"/>
          <w:jc w:val="center"/>
        </w:trPr>
        <w:tc>
          <w:tcPr>
            <w:tcW w:w="901" w:type="dxa"/>
            <w:noWrap w:val="0"/>
            <w:vAlign w:val="center"/>
          </w:tcPr>
          <w:p w14:paraId="2AAFEAAA">
            <w:pPr>
              <w:numPr>
                <w:ilvl w:val="0"/>
                <w:numId w:val="2"/>
              </w:numPr>
              <w:adjustRightInd w:val="0"/>
              <w:snapToGrid w:val="0"/>
              <w:ind w:left="0" w:leftChars="0" w:firstLine="170" w:firstLineChars="0"/>
              <w:jc w:val="center"/>
              <w:rPr>
                <w:rFonts w:hint="eastAsia" w:hAnsi="宋体" w:eastAsia="宋体"/>
                <w:highlight w:val="none"/>
                <w:lang w:eastAsia="zh-CN"/>
              </w:rPr>
            </w:pPr>
          </w:p>
        </w:tc>
        <w:tc>
          <w:tcPr>
            <w:tcW w:w="1789" w:type="dxa"/>
            <w:noWrap w:val="0"/>
            <w:vAlign w:val="center"/>
          </w:tcPr>
          <w:p w14:paraId="1BF59B8B">
            <w:pPr>
              <w:adjustRightInd w:val="0"/>
              <w:snapToGrid w:val="0"/>
              <w:jc w:val="center"/>
              <w:rPr>
                <w:rFonts w:hint="eastAsia" w:hAnsi="宋体" w:eastAsia="宋体"/>
                <w:highlight w:val="none"/>
                <w:lang w:eastAsia="zh-CN"/>
              </w:rPr>
            </w:pPr>
            <w:r>
              <w:rPr>
                <w:rFonts w:hint="eastAsia" w:hAnsi="宋体"/>
                <w:highlight w:val="none"/>
                <w:lang w:eastAsia="zh-CN"/>
              </w:rPr>
              <w:t>采购范围</w:t>
            </w:r>
          </w:p>
          <w:p w14:paraId="5F7E54CE">
            <w:pPr>
              <w:adjustRightInd w:val="0"/>
              <w:snapToGrid w:val="0"/>
              <w:jc w:val="center"/>
              <w:rPr>
                <w:rFonts w:hint="eastAsia" w:hAnsi="宋体" w:eastAsia="宋体"/>
                <w:highlight w:val="none"/>
                <w:lang w:eastAsia="zh-CN"/>
              </w:rPr>
            </w:pPr>
            <w:r>
              <w:rPr>
                <w:rFonts w:hint="eastAsia" w:ascii="Times New Roman" w:hAnsi="Times New Roman" w:cs="Times New Roman"/>
                <w:highlight w:val="none"/>
                <w:lang w:eastAsia="zh-CN"/>
              </w:rPr>
              <w:t>Étendue de l’achat</w:t>
            </w:r>
          </w:p>
        </w:tc>
        <w:tc>
          <w:tcPr>
            <w:tcW w:w="6056" w:type="dxa"/>
            <w:gridSpan w:val="2"/>
            <w:noWrap w:val="0"/>
            <w:vAlign w:val="center"/>
          </w:tcPr>
          <w:p w14:paraId="6F873A59">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hAnsi="宋体" w:eastAsia="宋体"/>
                <w:highlight w:val="none"/>
                <w:lang w:val="en-US" w:eastAsia="zh-CN"/>
              </w:rPr>
            </w:pPr>
            <w:r>
              <w:rPr>
                <w:rFonts w:hint="eastAsia" w:ascii="宋体" w:hAnsi="宋体"/>
                <w:szCs w:val="21"/>
                <w:highlight w:val="none"/>
              </w:rPr>
              <w:t>包括但不限于：</w:t>
            </w:r>
            <w:r>
              <w:rPr>
                <w:rFonts w:ascii="宋体" w:hAnsi="宋体"/>
                <w:szCs w:val="21"/>
                <w:highlight w:val="none"/>
              </w:rPr>
              <w:t>国际</w:t>
            </w:r>
            <w:r>
              <w:rPr>
                <w:rFonts w:hint="eastAsia" w:ascii="宋体" w:hAnsi="宋体"/>
                <w:szCs w:val="21"/>
                <w:highlight w:val="none"/>
              </w:rPr>
              <w:t>机票的查询、报价、预订、出票、更改、退票、无票候补、优先值机、优先选座、票款垫付、差旅分析、要客办理等服务，并根据采购人的需要及时提供有关航空服务信息。</w:t>
            </w:r>
            <w:r>
              <w:rPr>
                <w:rFonts w:hint="eastAsia" w:ascii="宋体" w:hAnsi="宋体" w:eastAsia="宋体"/>
                <w:szCs w:val="21"/>
                <w:highlight w:val="none"/>
              </w:rPr>
              <w:t>详</w:t>
            </w:r>
            <w:r>
              <w:rPr>
                <w:rFonts w:ascii="宋体" w:hAnsi="宋体" w:eastAsia="宋体"/>
                <w:szCs w:val="21"/>
                <w:highlight w:val="none"/>
              </w:rPr>
              <w:t>见第</w:t>
            </w:r>
            <w:r>
              <w:rPr>
                <w:rFonts w:hint="eastAsia" w:ascii="宋体" w:hAnsi="宋体" w:eastAsia="宋体"/>
                <w:szCs w:val="21"/>
                <w:highlight w:val="none"/>
                <w:lang w:val="en-US" w:eastAsia="zh-CN"/>
              </w:rPr>
              <w:t>二</w:t>
            </w:r>
            <w:r>
              <w:rPr>
                <w:rFonts w:ascii="宋体" w:hAnsi="宋体" w:eastAsia="宋体"/>
                <w:szCs w:val="21"/>
                <w:highlight w:val="none"/>
              </w:rPr>
              <w:t>章</w:t>
            </w:r>
            <w:r>
              <w:rPr>
                <w:rFonts w:hint="eastAsia" w:ascii="宋体" w:hAnsi="宋体" w:eastAsia="宋体"/>
                <w:szCs w:val="21"/>
                <w:highlight w:val="none"/>
                <w:lang w:eastAsia="zh-CN"/>
              </w:rPr>
              <w:t>委托人要求</w:t>
            </w:r>
            <w:r>
              <w:rPr>
                <w:rFonts w:hint="eastAsia" w:ascii="宋体" w:hAnsi="宋体"/>
                <w:szCs w:val="21"/>
                <w:highlight w:val="none"/>
                <w:lang w:eastAsia="zh-CN"/>
              </w:rPr>
              <w:t>。</w:t>
            </w:r>
          </w:p>
          <w:p w14:paraId="76CDCFC7">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hAnsi="宋体" w:eastAsia="宋体"/>
                <w:highlight w:val="none"/>
                <w:lang w:val="en-US" w:eastAsia="zh-CN"/>
              </w:rPr>
            </w:pPr>
            <w:r>
              <w:rPr>
                <w:rFonts w:hint="eastAsia" w:ascii="Times New Roman" w:hAnsi="Times New Roman" w:cs="Times New Roman"/>
                <w:szCs w:val="21"/>
                <w:highlight w:val="none"/>
              </w:rPr>
              <w:t>Services comprenant notamment la recherche, le devis, la réservation, l’émission, la modification et le remboursement de billets d’avio</w:t>
            </w:r>
            <w:r>
              <w:rPr>
                <w:rFonts w:hint="eastAsia" w:ascii="Times New Roman" w:hAnsi="Times New Roman" w:cs="Times New Roman"/>
                <w:szCs w:val="21"/>
                <w:highlight w:val="none"/>
                <w:lang w:eastAsia="zh-CN"/>
              </w:rPr>
              <w:t>n internationaux, la mise en liste d’attente en l’absence de disponibilité, l’enregistrement prioritaire, la sélection prioritaire des sièges, l’avance des frais de billetterie, l’analyse des déplacements professionnels et l’assistance VIP, ainsi que la fourniture en temps utile des informations relatives aux services aériens selon les besoins de l’Acheteur. Voir le chapitre II « Exigences de l’Acheteur » pour plus de détails.</w:t>
            </w:r>
          </w:p>
        </w:tc>
        <w:tc>
          <w:tcPr>
            <w:tcW w:w="933" w:type="dxa"/>
            <w:noWrap w:val="0"/>
            <w:vAlign w:val="center"/>
          </w:tcPr>
          <w:p w14:paraId="711DF880">
            <w:pPr>
              <w:adjustRightInd w:val="0"/>
              <w:snapToGrid w:val="0"/>
              <w:jc w:val="center"/>
              <w:rPr>
                <w:rFonts w:hAnsi="宋体"/>
                <w:b/>
                <w:color w:val="FF0000"/>
                <w:highlight w:val="none"/>
              </w:rPr>
            </w:pPr>
            <w:r>
              <w:rPr>
                <w:rFonts w:hint="default" w:ascii="Times New Roman Regular" w:hAnsi="Times New Roman Regular" w:cs="Times New Roman Regular"/>
                <w:sz w:val="21"/>
                <w:szCs w:val="21"/>
                <w:highlight w:val="none"/>
              </w:rPr>
              <w:t>1.2.1</w:t>
            </w:r>
          </w:p>
        </w:tc>
      </w:tr>
      <w:tr w14:paraId="7060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6" w:hRule="atLeast"/>
          <w:jc w:val="center"/>
        </w:trPr>
        <w:tc>
          <w:tcPr>
            <w:tcW w:w="901" w:type="dxa"/>
            <w:noWrap w:val="0"/>
            <w:vAlign w:val="center"/>
          </w:tcPr>
          <w:p w14:paraId="4FEAD17C">
            <w:pPr>
              <w:numPr>
                <w:ilvl w:val="0"/>
                <w:numId w:val="2"/>
              </w:numPr>
              <w:adjustRightInd w:val="0"/>
              <w:snapToGrid w:val="0"/>
              <w:ind w:left="0" w:leftChars="0" w:firstLine="170" w:firstLineChars="0"/>
              <w:jc w:val="center"/>
              <w:rPr>
                <w:rFonts w:hint="eastAsia" w:hAnsi="宋体" w:eastAsia="宋体"/>
                <w:highlight w:val="none"/>
                <w:lang w:val="en-US" w:eastAsia="zh-CN"/>
              </w:rPr>
            </w:pPr>
          </w:p>
        </w:tc>
        <w:tc>
          <w:tcPr>
            <w:tcW w:w="1789" w:type="dxa"/>
            <w:noWrap w:val="0"/>
            <w:vAlign w:val="center"/>
          </w:tcPr>
          <w:p w14:paraId="2118E3F3">
            <w:pPr>
              <w:adjustRightInd w:val="0"/>
              <w:snapToGrid w:val="0"/>
              <w:jc w:val="center"/>
              <w:rPr>
                <w:rFonts w:hint="eastAsia" w:hAnsi="宋体" w:eastAsia="宋体"/>
                <w:highlight w:val="none"/>
                <w:lang w:val="en-US" w:eastAsia="zh-CN"/>
              </w:rPr>
            </w:pPr>
            <w:r>
              <w:rPr>
                <w:rFonts w:hint="eastAsia" w:hAnsi="宋体" w:eastAsia="宋体"/>
                <w:highlight w:val="none"/>
                <w:lang w:val="en-US" w:eastAsia="zh-CN"/>
              </w:rPr>
              <w:t>服务期限</w:t>
            </w:r>
          </w:p>
          <w:p w14:paraId="36EF0EFF">
            <w:pPr>
              <w:adjustRightInd w:val="0"/>
              <w:snapToGrid w:val="0"/>
              <w:jc w:val="center"/>
              <w:rPr>
                <w:rFonts w:hint="eastAsia" w:hAnsi="宋体" w:eastAsia="宋体"/>
                <w:highlight w:val="none"/>
                <w:lang w:val="en-US" w:eastAsia="zh-CN"/>
              </w:rPr>
            </w:pPr>
            <w:r>
              <w:rPr>
                <w:rFonts w:hint="eastAsia" w:ascii="Times New Roman" w:hAnsi="Times New Roman" w:eastAsia="宋体" w:cs="Times New Roman"/>
                <w:highlight w:val="none"/>
                <w:lang w:val="en-US" w:eastAsia="zh-CN"/>
              </w:rPr>
              <w:t>Durée des services</w:t>
            </w:r>
          </w:p>
        </w:tc>
        <w:tc>
          <w:tcPr>
            <w:tcW w:w="6056" w:type="dxa"/>
            <w:gridSpan w:val="2"/>
            <w:noWrap w:val="0"/>
            <w:vAlign w:val="center"/>
          </w:tcPr>
          <w:p w14:paraId="6D977BB2">
            <w:r>
              <w:rPr>
                <w:rFonts w:hint="eastAsia" w:ascii="宋体" w:hAnsi="宋体"/>
                <w:szCs w:val="21"/>
                <w:highlight w:val="none"/>
                <w:lang w:eastAsia="zh-CN"/>
              </w:rPr>
              <w:t>总体服务期限为24个月，合同一年一签，首期12个月，服务质量评价合格后可续签一次。具体起止时间以合同实际生效日期为准。详见第二章委托人要求。</w:t>
            </w:r>
          </w:p>
          <w:p w14:paraId="0B7B15A7">
            <w:r>
              <w:rPr>
                <w:rFonts w:hint="eastAsia" w:ascii="Times New Roman" w:hAnsi="Times New Roman" w:cs="Times New Roman"/>
                <w:szCs w:val="21"/>
                <w:highlight w:val="none"/>
                <w:lang w:eastAsia="zh-CN"/>
              </w:rPr>
              <w:t>La durée globale des services est de 24 mois, le contrat est conclu pour une année à la fois, avec une première période de 12 mois, renouvelable une fois sous réserve d’une évaluation satisfaisante de la qualité des services. Les dates exactes de début et de fin sont déterminées par la date d’entrée en vigueur effective du contrat. Voir le chapitre II « Exigences de l’Acheteur ».</w:t>
            </w:r>
          </w:p>
        </w:tc>
        <w:tc>
          <w:tcPr>
            <w:tcW w:w="933" w:type="dxa"/>
            <w:noWrap w:val="0"/>
            <w:vAlign w:val="center"/>
          </w:tcPr>
          <w:p w14:paraId="027C8A5C">
            <w:pPr>
              <w:adjustRightInd w:val="0"/>
              <w:snapToGrid w:val="0"/>
              <w:jc w:val="center"/>
              <w:rPr>
                <w:rFonts w:hint="eastAsia" w:ascii="宋体" w:hAnsi="宋体" w:eastAsia="宋体"/>
                <w:szCs w:val="21"/>
                <w:highlight w:val="none"/>
                <w:lang w:val="en-US" w:eastAsia="zh-CN"/>
              </w:rPr>
            </w:pPr>
            <w:r>
              <w:rPr>
                <w:rFonts w:hint="default" w:ascii="Times New Roman Regular" w:hAnsi="Times New Roman Regular" w:cs="Times New Roman Regular"/>
                <w:sz w:val="21"/>
                <w:szCs w:val="21"/>
                <w:highlight w:val="none"/>
              </w:rPr>
              <w:t>1.2.2</w:t>
            </w:r>
          </w:p>
        </w:tc>
      </w:tr>
      <w:tr w14:paraId="028E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4F0B667B">
            <w:pPr>
              <w:numPr>
                <w:ilvl w:val="0"/>
                <w:numId w:val="2"/>
              </w:numPr>
              <w:adjustRightInd w:val="0"/>
              <w:snapToGrid w:val="0"/>
              <w:ind w:left="0" w:leftChars="0" w:firstLine="170" w:firstLineChars="0"/>
              <w:jc w:val="center"/>
              <w:rPr>
                <w:rFonts w:hint="eastAsia" w:hAnsi="宋体"/>
                <w:highlight w:val="none"/>
                <w:lang w:val="en-US" w:eastAsia="zh-CN"/>
              </w:rPr>
            </w:pPr>
          </w:p>
        </w:tc>
        <w:tc>
          <w:tcPr>
            <w:tcW w:w="1789" w:type="dxa"/>
            <w:noWrap w:val="0"/>
            <w:vAlign w:val="center"/>
          </w:tcPr>
          <w:p w14:paraId="1DC9500E">
            <w:pPr>
              <w:adjustRightInd w:val="0"/>
              <w:snapToGrid w:val="0"/>
              <w:jc w:val="center"/>
              <w:rPr>
                <w:rFonts w:hint="eastAsia" w:hAnsi="宋体"/>
                <w:highlight w:val="none"/>
                <w:lang w:val="en-US" w:eastAsia="zh-CN"/>
              </w:rPr>
            </w:pPr>
            <w:r>
              <w:rPr>
                <w:rFonts w:hint="eastAsia" w:hAnsi="宋体"/>
                <w:highlight w:val="none"/>
                <w:lang w:val="en-US" w:eastAsia="zh-CN"/>
              </w:rPr>
              <w:t>质量标准</w:t>
            </w:r>
          </w:p>
          <w:p w14:paraId="7774D714">
            <w:pPr>
              <w:adjustRightInd w:val="0"/>
              <w:snapToGrid w:val="0"/>
              <w:jc w:val="center"/>
              <w:rPr>
                <w:rFonts w:hint="eastAsia" w:hAnsi="宋体"/>
                <w:highlight w:val="none"/>
                <w:lang w:val="en-US" w:eastAsia="zh-CN"/>
              </w:rPr>
            </w:pPr>
            <w:r>
              <w:rPr>
                <w:rFonts w:hint="eastAsia" w:ascii="Times New Roman" w:hAnsi="Times New Roman" w:cs="Times New Roman"/>
                <w:highlight w:val="none"/>
                <w:lang w:val="en-US" w:eastAsia="zh-CN"/>
              </w:rPr>
              <w:t>Normes de qualité</w:t>
            </w:r>
          </w:p>
        </w:tc>
        <w:tc>
          <w:tcPr>
            <w:tcW w:w="6056" w:type="dxa"/>
            <w:gridSpan w:val="2"/>
            <w:noWrap w:val="0"/>
            <w:vAlign w:val="center"/>
          </w:tcPr>
          <w:p w14:paraId="3B12E51B">
            <w:pPr>
              <w:adjustRightInd w:val="0"/>
              <w:snapToGrid w:val="0"/>
              <w:rPr>
                <w:rFonts w:hint="default" w:hAnsi="宋体"/>
                <w:highlight w:val="none"/>
                <w:lang w:val="en-US"/>
              </w:rPr>
            </w:pPr>
            <w:r>
              <w:rPr>
                <w:rFonts w:hint="eastAsia" w:ascii="宋体" w:hAnsi="宋体"/>
                <w:szCs w:val="21"/>
                <w:highlight w:val="none"/>
                <w:lang w:val="en-US" w:eastAsia="zh-CN"/>
              </w:rPr>
              <w:t xml:space="preserve">补充质量标准   </w:t>
            </w:r>
            <w:r>
              <w:rPr>
                <w:rFonts w:hint="eastAsia" w:ascii="宋体" w:hAnsi="宋体"/>
                <w:szCs w:val="21"/>
                <w:highlight w:val="none"/>
                <w:lang w:eastAsia="zh-CN"/>
              </w:rPr>
              <w:t>详见第</w:t>
            </w:r>
            <w:r>
              <w:rPr>
                <w:rFonts w:hint="eastAsia" w:ascii="宋体" w:hAnsi="宋体"/>
                <w:szCs w:val="21"/>
                <w:highlight w:val="none"/>
                <w:lang w:val="en-US" w:eastAsia="zh-CN"/>
              </w:rPr>
              <w:t>二</w:t>
            </w:r>
            <w:r>
              <w:rPr>
                <w:rFonts w:hint="eastAsia" w:ascii="宋体" w:hAnsi="宋体"/>
                <w:szCs w:val="21"/>
                <w:highlight w:val="none"/>
                <w:lang w:eastAsia="zh-CN"/>
              </w:rPr>
              <w:t>章委托人要求</w:t>
            </w:r>
            <w:r>
              <w:rPr>
                <w:rFonts w:hint="eastAsia" w:ascii="宋体" w:hAnsi="宋体"/>
                <w:szCs w:val="21"/>
                <w:highlight w:val="none"/>
                <w:lang w:val="en-US" w:eastAsia="zh-CN"/>
              </w:rPr>
              <w:t>和合同条款</w:t>
            </w:r>
          </w:p>
          <w:p w14:paraId="3A711772">
            <w:pPr>
              <w:adjustRightInd w:val="0"/>
              <w:snapToGrid w:val="0"/>
              <w:rPr>
                <w:rFonts w:hint="default" w:hAnsi="宋体"/>
                <w:highlight w:val="none"/>
                <w:lang w:val="en-US"/>
              </w:rPr>
            </w:pPr>
            <w:r>
              <w:rPr>
                <w:rFonts w:hint="eastAsia" w:ascii="Times New Roman" w:hAnsi="Times New Roman" w:cs="Times New Roman"/>
                <w:szCs w:val="21"/>
                <w:highlight w:val="none"/>
                <w:lang w:eastAsia="zh-CN"/>
              </w:rPr>
              <w:t>Voir le chapitre II « Exigences de l’Acheteur » et les clauses contractuelles.</w:t>
            </w:r>
          </w:p>
        </w:tc>
        <w:tc>
          <w:tcPr>
            <w:tcW w:w="933" w:type="dxa"/>
            <w:noWrap w:val="0"/>
            <w:vAlign w:val="center"/>
          </w:tcPr>
          <w:p w14:paraId="0D9F4E1A">
            <w:pPr>
              <w:adjustRightInd w:val="0"/>
              <w:snapToGrid w:val="0"/>
              <w:jc w:val="center"/>
              <w:rPr>
                <w:rFonts w:hint="eastAsia" w:ascii="宋体" w:hAnsi="宋体" w:eastAsia="宋体"/>
                <w:szCs w:val="21"/>
                <w:highlight w:val="none"/>
                <w:lang w:val="en-US" w:eastAsia="zh-CN"/>
              </w:rPr>
            </w:pPr>
            <w:r>
              <w:rPr>
                <w:rFonts w:hint="default" w:ascii="Times New Roman Regular" w:hAnsi="Times New Roman Regular" w:cs="Times New Roman Regular"/>
                <w:sz w:val="21"/>
                <w:szCs w:val="21"/>
                <w:highlight w:val="none"/>
              </w:rPr>
              <w:t>1.2.3</w:t>
            </w:r>
          </w:p>
        </w:tc>
      </w:tr>
      <w:tr w14:paraId="17F4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786389F8">
            <w:pPr>
              <w:numPr>
                <w:ilvl w:val="0"/>
                <w:numId w:val="2"/>
              </w:numPr>
              <w:adjustRightInd w:val="0"/>
              <w:snapToGrid w:val="0"/>
              <w:ind w:left="0" w:leftChars="0" w:firstLine="170" w:firstLineChars="0"/>
              <w:jc w:val="center"/>
              <w:rPr>
                <w:rFonts w:hint="eastAsia" w:hAnsi="宋体"/>
                <w:highlight w:val="none"/>
                <w:lang w:val="en-US" w:eastAsia="zh-CN"/>
              </w:rPr>
            </w:pPr>
          </w:p>
        </w:tc>
        <w:tc>
          <w:tcPr>
            <w:tcW w:w="1789" w:type="dxa"/>
            <w:noWrap w:val="0"/>
            <w:vAlign w:val="center"/>
          </w:tcPr>
          <w:p w14:paraId="0F1722CA">
            <w:pPr>
              <w:adjustRightInd w:val="0"/>
              <w:snapToGrid w:val="0"/>
              <w:jc w:val="center"/>
              <w:rPr>
                <w:rFonts w:hint="eastAsia" w:ascii="Times New Roman" w:hAnsi="Times New Roman" w:cs="Times New Roman"/>
                <w:highlight w:val="none"/>
                <w:lang w:val="en-US" w:eastAsia="zh-CN"/>
              </w:rPr>
            </w:pPr>
            <w:r>
              <w:rPr>
                <w:rFonts w:hint="eastAsia" w:ascii="宋体" w:hAnsi="宋体" w:cs="宋体"/>
              </w:rPr>
              <w:t>付款方式</w:t>
            </w:r>
          </w:p>
        </w:tc>
        <w:tc>
          <w:tcPr>
            <w:tcW w:w="6056" w:type="dxa"/>
            <w:gridSpan w:val="2"/>
            <w:noWrap w:val="0"/>
            <w:vAlign w:val="center"/>
          </w:tcPr>
          <w:p w14:paraId="0ADCC5DD">
            <w:pPr>
              <w:rPr>
                <w:rFonts w:ascii="Times New Roman" w:hAnsi="Times New Roman" w:cs="Times New Roman"/>
              </w:rPr>
            </w:pPr>
            <w:r>
              <w:rPr>
                <w:rFonts w:hint="eastAsia" w:ascii="宋体" w:hAnsi="宋体" w:cs="宋体"/>
                <w:szCs w:val="21"/>
              </w:rPr>
              <w:t>□</w:t>
            </w:r>
            <w:r>
              <w:rPr>
                <w:rFonts w:hint="eastAsia" w:ascii="宋体" w:hAnsi="宋体"/>
                <w:szCs w:val="21"/>
              </w:rPr>
              <w:t>银行汇票</w:t>
            </w:r>
            <w:r>
              <w:rPr>
                <w:rFonts w:hint="eastAsia" w:ascii="宋体" w:hAnsi="宋体" w:cs="宋体"/>
                <w:szCs w:val="21"/>
                <w:lang w:eastAsia="zh-CN"/>
              </w:rPr>
              <w:t>☑</w:t>
            </w:r>
            <w:r>
              <w:rPr>
                <w:rFonts w:hint="eastAsia" w:ascii="宋体" w:hAnsi="宋体"/>
                <w:szCs w:val="21"/>
              </w:rPr>
              <w:t>电汇</w:t>
            </w:r>
            <w:r>
              <w:rPr>
                <w:rFonts w:hint="eastAsia" w:ascii="宋体" w:hAnsi="宋体" w:cs="宋体"/>
                <w:szCs w:val="21"/>
              </w:rPr>
              <w:t>□</w:t>
            </w:r>
            <w:r>
              <w:rPr>
                <w:rFonts w:hint="eastAsia" w:ascii="宋体" w:hAnsi="宋体"/>
                <w:szCs w:val="21"/>
              </w:rPr>
              <w:t>融和e链电子债权凭证，</w:t>
            </w:r>
            <w:r>
              <w:rPr>
                <w:rFonts w:hint="eastAsia" w:ascii="宋体" w:hAnsi="宋体" w:cs="宋体"/>
                <w:szCs w:val="21"/>
              </w:rPr>
              <w:t>详见第三章合同条款</w:t>
            </w:r>
          </w:p>
        </w:tc>
        <w:tc>
          <w:tcPr>
            <w:tcW w:w="933" w:type="dxa"/>
            <w:shd w:val="clear"/>
            <w:noWrap w:val="0"/>
            <w:vAlign w:val="center"/>
          </w:tcPr>
          <w:p w14:paraId="44FD2BA9">
            <w:pPr>
              <w:adjustRightInd w:val="0"/>
              <w:snapToGrid w:val="0"/>
              <w:jc w:val="center"/>
              <w:rPr>
                <w:rFonts w:hint="eastAsia" w:ascii="Times New Roman Regular" w:hAnsi="Times New Roman Regular" w:eastAsia="宋体" w:cs="Times New Roman Regular"/>
                <w:bCs/>
                <w:color w:val="FF0000"/>
                <w:kern w:val="2"/>
                <w:sz w:val="21"/>
                <w:szCs w:val="21"/>
                <w:highlight w:val="none"/>
                <w:lang w:val="en-US" w:eastAsia="zh-CN" w:bidi="ar-SA"/>
              </w:rPr>
            </w:pPr>
            <w:r>
              <w:rPr>
                <w:rFonts w:hint="default" w:ascii="Times New Roman Regular" w:hAnsi="Times New Roman Regular" w:cs="Times New Roman Regular"/>
                <w:sz w:val="21"/>
                <w:szCs w:val="21"/>
                <w:highlight w:val="none"/>
              </w:rPr>
              <w:t>1.3.1</w:t>
            </w:r>
          </w:p>
        </w:tc>
      </w:tr>
      <w:tr w14:paraId="24DE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901" w:type="dxa"/>
            <w:noWrap w:val="0"/>
            <w:vAlign w:val="center"/>
          </w:tcPr>
          <w:p w14:paraId="066CF4B8">
            <w:pPr>
              <w:numPr>
                <w:ilvl w:val="0"/>
                <w:numId w:val="2"/>
              </w:numPr>
              <w:adjustRightInd w:val="0"/>
              <w:snapToGrid w:val="0"/>
              <w:ind w:left="0" w:leftChars="0" w:firstLine="170" w:firstLineChars="0"/>
              <w:jc w:val="center"/>
              <w:rPr>
                <w:rFonts w:hint="default" w:hAnsi="宋体"/>
                <w:highlight w:val="none"/>
                <w:lang w:val="en-US" w:eastAsia="zh-CN"/>
              </w:rPr>
            </w:pPr>
          </w:p>
        </w:tc>
        <w:tc>
          <w:tcPr>
            <w:tcW w:w="1789" w:type="dxa"/>
            <w:noWrap w:val="0"/>
            <w:vAlign w:val="center"/>
          </w:tcPr>
          <w:p w14:paraId="0222586C">
            <w:pPr>
              <w:adjustRightInd w:val="0"/>
              <w:snapToGrid w:val="0"/>
              <w:jc w:val="center"/>
              <w:rPr>
                <w:rFonts w:hint="default" w:hAnsi="宋体"/>
                <w:highlight w:val="none"/>
                <w:lang w:val="en-US" w:eastAsia="zh-CN"/>
              </w:rPr>
            </w:pPr>
            <w:r>
              <w:rPr>
                <w:rFonts w:hint="eastAsia" w:hAnsi="宋体"/>
                <w:highlight w:val="none"/>
                <w:lang w:val="en-US" w:eastAsia="zh-CN"/>
              </w:rPr>
              <w:t>评审办法</w:t>
            </w:r>
          </w:p>
          <w:p w14:paraId="5CB7E28E">
            <w:pPr>
              <w:adjustRightInd w:val="0"/>
              <w:snapToGrid w:val="0"/>
              <w:jc w:val="center"/>
              <w:rPr>
                <w:rFonts w:hint="default" w:hAnsi="宋体"/>
                <w:highlight w:val="none"/>
                <w:lang w:val="en-US" w:eastAsia="zh-CN"/>
              </w:rPr>
            </w:pPr>
            <w:r>
              <w:rPr>
                <w:rFonts w:hint="eastAsia" w:ascii="Times New Roman" w:hAnsi="Times New Roman" w:cs="Times New Roman"/>
                <w:highlight w:val="none"/>
                <w:lang w:val="en-US" w:eastAsia="zh-CN"/>
              </w:rPr>
              <w:t>Méthode d’évaluation</w:t>
            </w:r>
          </w:p>
        </w:tc>
        <w:tc>
          <w:tcPr>
            <w:tcW w:w="6056" w:type="dxa"/>
            <w:gridSpan w:val="2"/>
            <w:noWrap w:val="0"/>
            <w:vAlign w:val="center"/>
          </w:tcPr>
          <w:p w14:paraId="45437F51">
            <w:pPr>
              <w:adjustRightInd w:val="0"/>
              <w:snapToGrid w:val="0"/>
              <w:rPr>
                <w:rFonts w:hint="default" w:hAnsi="宋体" w:eastAsia="宋体"/>
                <w:highlight w:val="none"/>
                <w:lang w:val="en-US" w:eastAsia="zh-CN"/>
              </w:rPr>
            </w:pPr>
            <w:r>
              <w:rPr>
                <w:rFonts w:hint="eastAsia" w:hAnsi="宋体"/>
                <w:highlight w:val="none"/>
                <w:lang w:val="en-US" w:eastAsia="zh-CN"/>
              </w:rPr>
              <w:t>综合评估法</w:t>
            </w:r>
            <w:r>
              <w:rPr>
                <w:rFonts w:hint="eastAsia" w:asciiTheme="minorEastAsia" w:hAnsiTheme="minorEastAsia" w:eastAsiaTheme="minorEastAsia" w:cstheme="minorEastAsia"/>
                <w:highlight w:val="none"/>
                <w:lang w:val="en-US" w:eastAsia="zh-CN"/>
              </w:rPr>
              <w:t>（技术45%，商务资信10%，报价45%）</w:t>
            </w:r>
          </w:p>
          <w:p w14:paraId="70DFC9FC">
            <w:pPr>
              <w:adjustRightInd w:val="0"/>
              <w:snapToGrid w:val="0"/>
              <w:rPr>
                <w:rFonts w:hint="default" w:hAnsi="宋体" w:eastAsia="宋体"/>
                <w:highlight w:val="none"/>
                <w:lang w:val="en-US" w:eastAsia="zh-CN"/>
              </w:rPr>
            </w:pPr>
            <w:r>
              <w:rPr>
                <w:rFonts w:hint="eastAsia" w:ascii="Times New Roman" w:hAnsi="Times New Roman" w:cs="Times New Roman"/>
                <w:highlight w:val="none"/>
                <w:lang w:val="en-US" w:eastAsia="zh-CN"/>
              </w:rPr>
              <w:t>Méthode d’évaluation globale (technique 45 %, commerciale et de solvabilité 10 %, prix 45 %)</w:t>
            </w:r>
          </w:p>
        </w:tc>
        <w:tc>
          <w:tcPr>
            <w:tcW w:w="933" w:type="dxa"/>
            <w:noWrap w:val="0"/>
            <w:vAlign w:val="center"/>
          </w:tcPr>
          <w:p w14:paraId="6F88ABA5">
            <w:pPr>
              <w:adjustRightInd w:val="0"/>
              <w:snapToGrid w:val="0"/>
              <w:jc w:val="center"/>
              <w:rPr>
                <w:rFonts w:hint="eastAsia" w:hAnsi="宋体"/>
                <w:highlight w:val="none"/>
                <w:lang w:val="en-US" w:eastAsia="zh-CN"/>
              </w:rPr>
            </w:pPr>
            <w:r>
              <w:rPr>
                <w:rFonts w:hint="default" w:ascii="Times New Roman Regular" w:hAnsi="Times New Roman Regular" w:cs="Times New Roman Regular"/>
                <w:sz w:val="21"/>
                <w:szCs w:val="21"/>
                <w:highlight w:val="none"/>
              </w:rPr>
              <w:t>4.8</w:t>
            </w:r>
          </w:p>
        </w:tc>
      </w:tr>
      <w:tr w14:paraId="25098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901" w:type="dxa"/>
            <w:noWrap w:val="0"/>
            <w:vAlign w:val="center"/>
          </w:tcPr>
          <w:p w14:paraId="2A26C030">
            <w:pPr>
              <w:numPr>
                <w:ilvl w:val="0"/>
                <w:numId w:val="2"/>
              </w:numPr>
              <w:adjustRightInd w:val="0"/>
              <w:snapToGrid w:val="0"/>
              <w:ind w:left="0" w:leftChars="0" w:firstLine="170" w:firstLineChars="0"/>
              <w:jc w:val="center"/>
              <w:rPr>
                <w:rFonts w:hint="default" w:hAnsi="宋体"/>
                <w:highlight w:val="none"/>
                <w:lang w:val="en-US" w:eastAsia="zh-CN"/>
              </w:rPr>
            </w:pPr>
          </w:p>
        </w:tc>
        <w:tc>
          <w:tcPr>
            <w:tcW w:w="1789" w:type="dxa"/>
            <w:noWrap w:val="0"/>
            <w:vAlign w:val="center"/>
          </w:tcPr>
          <w:p w14:paraId="585939F7">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应答人基本资格要求</w:t>
            </w:r>
          </w:p>
          <w:p w14:paraId="3FA3B543">
            <w:pPr>
              <w:pStyle w:val="22"/>
              <w:jc w:val="center"/>
              <w:rPr>
                <w:rFonts w:hint="eastAsia" w:ascii="Times New Roman" w:hAnsi="Times New Roman" w:cs="Times New Roman"/>
                <w:highlight w:val="none"/>
                <w:lang w:val="en-US" w:eastAsia="zh-CN"/>
              </w:rPr>
            </w:pPr>
            <w:r>
              <w:rPr>
                <w:rFonts w:hint="default" w:ascii="Times New Roman Regular" w:hAnsi="Times New Roman Regular" w:cs="Times New Roman Regular"/>
                <w:sz w:val="21"/>
                <w:szCs w:val="21"/>
              </w:rPr>
              <w:t>Exigences relatives aux qualifications de base du soumissionnaire</w:t>
            </w:r>
          </w:p>
        </w:tc>
        <w:tc>
          <w:tcPr>
            <w:tcW w:w="6056" w:type="dxa"/>
            <w:gridSpan w:val="2"/>
            <w:noWrap w:val="0"/>
            <w:vAlign w:val="center"/>
          </w:tcPr>
          <w:p w14:paraId="41AA63AE">
            <w:pPr>
              <w:adjustRightInd w:val="0"/>
              <w:snapToGrid w:val="0"/>
              <w:jc w:val="left"/>
              <w:rPr>
                <w:rFonts w:hint="default" w:ascii="Times New Roman Regular" w:hAnsi="Times New Roman Regular" w:cs="Times New Roman Regular"/>
                <w:color w:val="auto"/>
                <w:sz w:val="21"/>
                <w:szCs w:val="21"/>
                <w:highlight w:val="none"/>
                <w:lang w:eastAsia="zh-CN"/>
              </w:rPr>
            </w:pPr>
            <w:r>
              <w:rPr>
                <w:rFonts w:hint="default" w:ascii="Times New Roman Regular" w:hAnsi="Times New Roman Regular" w:eastAsia="宋体" w:cs="Times New Roman Regular"/>
                <w:color w:val="auto"/>
                <w:sz w:val="21"/>
                <w:szCs w:val="21"/>
                <w:highlight w:val="none"/>
              </w:rPr>
              <w:t>具有独立订立合同的资格和相应的履约能力；</w:t>
            </w:r>
            <w:r>
              <w:rPr>
                <w:rFonts w:hint="default" w:ascii="Times New Roman Regular" w:hAnsi="Times New Roman Regular" w:cs="Times New Roman Regular"/>
                <w:color w:val="auto"/>
                <w:sz w:val="21"/>
                <w:szCs w:val="21"/>
                <w:highlight w:val="none"/>
              </w:rPr>
              <w:t>具有独立承担民事责任能力或是具有营业执照且有总公司授权委托的分公司，依法自主经营、照章纳税</w:t>
            </w:r>
            <w:r>
              <w:rPr>
                <w:rFonts w:hint="default" w:ascii="Times New Roman Regular" w:hAnsi="Times New Roman Regular" w:cs="Times New Roman Regular"/>
                <w:color w:val="auto"/>
                <w:sz w:val="21"/>
                <w:szCs w:val="21"/>
                <w:highlight w:val="none"/>
                <w:lang w:eastAsia="zh-CN"/>
              </w:rPr>
              <w:t>。</w:t>
            </w:r>
          </w:p>
          <w:p w14:paraId="259823D8">
            <w:pPr>
              <w:pStyle w:val="22"/>
              <w:rPr>
                <w:rFonts w:hint="eastAsia" w:ascii="Times New Roman" w:hAnsi="Times New Roman" w:cs="Times New Roman"/>
                <w:highlight w:val="none"/>
                <w:lang w:val="en-US" w:eastAsia="zh-CN"/>
              </w:rPr>
            </w:pPr>
            <w:r>
              <w:rPr>
                <w:rFonts w:hint="default" w:ascii="Times New Roman Regular" w:hAnsi="Times New Roman Regular" w:cs="Times New Roman Regular"/>
                <w:sz w:val="21"/>
                <w:szCs w:val="21"/>
                <w:lang w:val="en-US" w:eastAsia="zh-CN"/>
              </w:rPr>
              <w:t>Disposer de la capacité juridique nécessaire pour conclure des contrats de manière indépendante et des capacités correspondantes pour en assurer l'exécution ; être doté de la capacité d'assumer indépendamment la responsabilité civile, ou être une succursale disposant d'une licence commerciale et d'une autorisation délivrée par son siège social, exerçant ses activités de manière autonome et acquittant ses impôts conformément à la législation en vigueur.</w:t>
            </w:r>
          </w:p>
        </w:tc>
        <w:tc>
          <w:tcPr>
            <w:tcW w:w="933" w:type="dxa"/>
            <w:shd w:val="clear"/>
            <w:noWrap w:val="0"/>
            <w:vAlign w:val="center"/>
          </w:tcPr>
          <w:p w14:paraId="2E03DE07">
            <w:pPr>
              <w:adjustRightInd w:val="0"/>
              <w:snapToGrid w:val="0"/>
              <w:jc w:val="center"/>
              <w:rPr>
                <w:rFonts w:hint="eastAsia" w:ascii="Times New Roman Regular" w:hAnsi="Times New Roman Regular" w:eastAsia="宋体" w:cs="Times New Roman Regular"/>
                <w:b/>
                <w:color w:val="FF0000"/>
                <w:kern w:val="2"/>
                <w:sz w:val="21"/>
                <w:szCs w:val="21"/>
                <w:highlight w:val="none"/>
                <w:lang w:val="en-US" w:eastAsia="zh-CN" w:bidi="ar-SA"/>
              </w:rPr>
            </w:pPr>
            <w:r>
              <w:rPr>
                <w:rFonts w:hint="default" w:ascii="Times New Roman Regular" w:hAnsi="Times New Roman Regular" w:cs="Times New Roman Regular"/>
                <w:sz w:val="21"/>
                <w:szCs w:val="21"/>
                <w:highlight w:val="none"/>
              </w:rPr>
              <w:t>1.4.1</w:t>
            </w:r>
          </w:p>
        </w:tc>
      </w:tr>
      <w:tr w14:paraId="4900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Merge w:val="restart"/>
            <w:noWrap w:val="0"/>
            <w:vAlign w:val="center"/>
          </w:tcPr>
          <w:p w14:paraId="484D789A">
            <w:pPr>
              <w:numPr>
                <w:ilvl w:val="0"/>
                <w:numId w:val="2"/>
              </w:numPr>
              <w:adjustRightInd w:val="0"/>
              <w:snapToGrid w:val="0"/>
              <w:ind w:left="0" w:leftChars="0" w:firstLine="170" w:firstLineChars="0"/>
              <w:jc w:val="center"/>
              <w:rPr>
                <w:rFonts w:hint="default" w:hAnsi="宋体" w:eastAsia="宋体"/>
                <w:highlight w:val="none"/>
                <w:lang w:val="en-US" w:eastAsia="zh-CN"/>
              </w:rPr>
            </w:pPr>
          </w:p>
        </w:tc>
        <w:tc>
          <w:tcPr>
            <w:tcW w:w="1789" w:type="dxa"/>
            <w:vMerge w:val="restart"/>
            <w:noWrap w:val="0"/>
            <w:vAlign w:val="center"/>
          </w:tcPr>
          <w:p w14:paraId="2CF8E665">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应答人专项资格要求</w:t>
            </w:r>
          </w:p>
          <w:p w14:paraId="6C0C6362">
            <w:pPr>
              <w:pStyle w:val="22"/>
              <w:jc w:val="center"/>
              <w:rPr>
                <w:rFonts w:hint="eastAsia" w:hAnsi="宋体" w:eastAsia="宋体"/>
                <w:highlight w:val="none"/>
                <w:lang w:eastAsia="zh-CN"/>
              </w:rPr>
            </w:pPr>
            <w:r>
              <w:rPr>
                <w:rFonts w:hint="default" w:ascii="Times New Roman Regular" w:hAnsi="Times New Roman Regular" w:cs="Times New Roman Regular"/>
                <w:sz w:val="21"/>
                <w:szCs w:val="21"/>
              </w:rPr>
              <w:t>Exigences spécifiques en matière de qualification du soumissionnaire</w:t>
            </w:r>
          </w:p>
        </w:tc>
        <w:tc>
          <w:tcPr>
            <w:tcW w:w="1296" w:type="dxa"/>
            <w:noWrap w:val="0"/>
            <w:vAlign w:val="center"/>
          </w:tcPr>
          <w:p w14:paraId="624CEE7A">
            <w:pPr>
              <w:adjustRightInd w:val="0"/>
              <w:snapToGrid w:val="0"/>
              <w:jc w:val="center"/>
              <w:rPr>
                <w:rFonts w:hAnsi="宋体"/>
                <w:b/>
                <w:highlight w:val="none"/>
              </w:rPr>
            </w:pPr>
            <w:r>
              <w:rPr>
                <w:rFonts w:hAnsi="宋体"/>
                <w:highlight w:val="none"/>
              </w:rPr>
              <w:t>资质</w:t>
            </w:r>
            <w:r>
              <w:rPr>
                <w:rFonts w:hint="eastAsia" w:hAnsi="宋体"/>
                <w:highlight w:val="none"/>
              </w:rPr>
              <w:t>要求</w:t>
            </w:r>
          </w:p>
          <w:p w14:paraId="63FBF3C0">
            <w:pPr>
              <w:adjustRightInd w:val="0"/>
              <w:snapToGrid w:val="0"/>
              <w:jc w:val="center"/>
              <w:rPr>
                <w:rFonts w:hAnsi="宋体"/>
                <w:b/>
                <w:highlight w:val="none"/>
              </w:rPr>
            </w:pPr>
            <w:r>
              <w:rPr>
                <w:rFonts w:ascii="Times New Roman" w:hAnsi="Times New Roman" w:cs="Times New Roman"/>
                <w:highlight w:val="none"/>
              </w:rPr>
              <w:t>Exigences de qualification</w:t>
            </w:r>
          </w:p>
        </w:tc>
        <w:tc>
          <w:tcPr>
            <w:tcW w:w="4760" w:type="dxa"/>
            <w:noWrap w:val="0"/>
            <w:vAlign w:val="center"/>
          </w:tcPr>
          <w:p w14:paraId="418D9CC4">
            <w:pPr>
              <w:adjustRightInd w:val="0"/>
              <w:snapToGrid w:val="0"/>
              <w:jc w:val="left"/>
              <w:rPr>
                <w:rFonts w:hint="eastAsia" w:hAnsi="宋体" w:eastAsia="宋体"/>
                <w:highlight w:val="none"/>
                <w:lang w:eastAsia="zh-CN"/>
              </w:rPr>
            </w:pPr>
            <w:r>
              <w:rPr>
                <w:rFonts w:hint="eastAsia" w:hAnsi="宋体"/>
                <w:highlight w:val="none"/>
              </w:rPr>
              <w:t>1.具有独立订立合同的资格</w:t>
            </w:r>
            <w:r>
              <w:rPr>
                <w:rFonts w:hint="eastAsia" w:hAnsi="宋体"/>
                <w:highlight w:val="none"/>
                <w:lang w:eastAsia="zh-CN"/>
              </w:rPr>
              <w:t>，几内亚注册的公司须提供有效的税号（NIF号）及增值税号（TVA号）；</w:t>
            </w:r>
          </w:p>
          <w:p w14:paraId="1DC5DFE6">
            <w:pPr>
              <w:adjustRightInd w:val="0"/>
              <w:snapToGrid w:val="0"/>
              <w:jc w:val="left"/>
              <w:rPr>
                <w:rFonts w:hint="eastAsia" w:hAnsi="宋体" w:eastAsia="宋体"/>
                <w:highlight w:val="none"/>
                <w:lang w:eastAsia="zh-CN"/>
              </w:rPr>
            </w:pPr>
            <w:r>
              <w:rPr>
                <w:rFonts w:hint="eastAsia" w:ascii="Times New Roman" w:hAnsi="Times New Roman" w:cs="Times New Roman"/>
                <w:highlight w:val="none"/>
              </w:rPr>
              <w:t>1. Disposer de la capacité de conclure des contrats de manière indépendante. Les sociétés enregistrées en Guinée doivent fournir un numéro d'identification fiscale (NIF) et un numéro de TVA valides.;</w:t>
            </w:r>
          </w:p>
          <w:p w14:paraId="38E4ED44">
            <w:pPr>
              <w:adjustRightInd w:val="0"/>
              <w:snapToGrid w:val="0"/>
              <w:jc w:val="left"/>
              <w:rPr>
                <w:rFonts w:hint="eastAsia" w:hAnsi="宋体"/>
                <w:highlight w:val="none"/>
              </w:rPr>
            </w:pPr>
            <w:r>
              <w:rPr>
                <w:rFonts w:hint="eastAsia" w:hAnsi="宋体"/>
                <w:highlight w:val="none"/>
                <w:lang w:val="en-US" w:eastAsia="zh-CN"/>
              </w:rPr>
              <w:t>2</w:t>
            </w:r>
            <w:r>
              <w:rPr>
                <w:rFonts w:hint="eastAsia" w:hAnsi="宋体"/>
                <w:highlight w:val="none"/>
              </w:rPr>
              <w:t>.投标人须具备国际航空运输协会（IATA）客运代理人认可资质（Accreditation），投标截止时间 IATA 系统登记的认可类型为GoStandard 或 GoGlobal，资质状态有效。</w:t>
            </w:r>
          </w:p>
          <w:p w14:paraId="6A5580ED">
            <w:pPr>
              <w:adjustRightInd w:val="0"/>
              <w:snapToGrid w:val="0"/>
              <w:jc w:val="left"/>
              <w:rPr>
                <w:rFonts w:hint="default" w:ascii="宋体" w:hAnsi="宋体"/>
                <w:highlight w:val="none"/>
                <w:lang w:val="en-US" w:eastAsia="zh-CN"/>
              </w:rPr>
            </w:pPr>
            <w:r>
              <w:rPr>
                <w:rFonts w:hint="eastAsia" w:hAnsi="宋体"/>
                <w:highlight w:val="none"/>
              </w:rPr>
              <w:t>须提供 IATA 认可文件（Certificate of Accreditation / Accreditation Letter）复印件，并同时提供 IATA 代理商门户（Customer Portal）资质信息查询截图（含主体名称、认可类型、有效期，可核验）；资质归属主体须为</w:t>
            </w:r>
            <w:r>
              <w:rPr>
                <w:rFonts w:hint="eastAsia" w:hAnsi="宋体"/>
                <w:highlight w:val="none"/>
                <w:lang w:val="en-US" w:eastAsia="zh-CN"/>
              </w:rPr>
              <w:t>应答</w:t>
            </w:r>
            <w:r>
              <w:rPr>
                <w:rFonts w:hint="eastAsia" w:hAnsi="宋体"/>
                <w:highlight w:val="none"/>
              </w:rPr>
              <w:t>人自身。IATA 认可类型以 IATA 官方系统实时登记信息为准</w:t>
            </w:r>
            <w:r>
              <w:rPr>
                <w:rFonts w:hint="eastAsia" w:ascii="宋体" w:hAnsi="宋体"/>
                <w:szCs w:val="21"/>
                <w:highlight w:val="none"/>
              </w:rPr>
              <w:t>。</w:t>
            </w:r>
          </w:p>
          <w:p w14:paraId="3FA44486">
            <w:pPr>
              <w:adjustRightInd w:val="0"/>
              <w:snapToGrid w:val="0"/>
              <w:jc w:val="left"/>
              <w:rPr>
                <w:rFonts w:hint="default" w:ascii="宋体" w:hAnsi="宋体"/>
                <w:highlight w:val="none"/>
                <w:lang w:val="en-US" w:eastAsia="zh-CN"/>
              </w:rPr>
            </w:pPr>
            <w:r>
              <w:rPr>
                <w:rFonts w:hint="eastAsia" w:ascii="Times New Roman" w:hAnsi="Times New Roman" w:cs="Times New Roman"/>
                <w:highlight w:val="none"/>
                <w:lang w:val="en-US" w:eastAsia="zh-CN"/>
              </w:rPr>
              <w:t>2. Détenir un « Certificate of Accreditation » valide délivré par</w:t>
            </w:r>
            <w:r>
              <w:rPr>
                <w:rFonts w:hint="eastAsia" w:ascii="Times New Roman" w:hAnsi="Times New Roman" w:cs="Times New Roman"/>
                <w:highlight w:val="none"/>
                <w:shd w:val="clear" w:color="auto" w:fill="auto"/>
                <w:lang w:val="en-US" w:eastAsia="zh-CN"/>
              </w:rPr>
              <w:t xml:space="preserve"> l</w:t>
            </w:r>
            <w:r>
              <w:rPr>
                <w:rFonts w:hint="eastAsia" w:ascii="Times New Roman" w:hAnsi="Times New Roman" w:cs="Times New Roman"/>
                <w:highlight w:val="none"/>
                <w:lang w:val="en-US" w:eastAsia="zh-CN"/>
              </w:rPr>
              <w:t>’Association internationale du transport aérien (IATA), de type GoStandard ou GoGlobal.</w:t>
            </w:r>
          </w:p>
        </w:tc>
        <w:tc>
          <w:tcPr>
            <w:tcW w:w="933" w:type="dxa"/>
            <w:vMerge w:val="restart"/>
            <w:noWrap w:val="0"/>
            <w:vAlign w:val="center"/>
          </w:tcPr>
          <w:p w14:paraId="560A15AE">
            <w:pPr>
              <w:adjustRightInd w:val="0"/>
              <w:snapToGrid w:val="0"/>
              <w:jc w:val="center"/>
              <w:rPr>
                <w:rFonts w:hAnsi="宋体"/>
                <w:highlight w:val="none"/>
              </w:rPr>
            </w:pPr>
          </w:p>
          <w:p w14:paraId="587A428B">
            <w:pPr>
              <w:adjustRightInd w:val="0"/>
              <w:snapToGrid w:val="0"/>
              <w:jc w:val="center"/>
              <w:rPr>
                <w:rFonts w:hAnsi="宋体"/>
                <w:b/>
                <w:color w:val="FF0000"/>
                <w:highlight w:val="none"/>
              </w:rPr>
            </w:pPr>
            <w:r>
              <w:rPr>
                <w:rFonts w:hint="default" w:ascii="Times New Roman Regular" w:hAnsi="Times New Roman Regular" w:cs="Times New Roman Regular"/>
                <w:sz w:val="21"/>
                <w:szCs w:val="21"/>
                <w:highlight w:val="none"/>
              </w:rPr>
              <w:t>1.4.2</w:t>
            </w:r>
          </w:p>
        </w:tc>
      </w:tr>
      <w:tr w14:paraId="0300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Merge w:val="continue"/>
            <w:noWrap w:val="0"/>
            <w:vAlign w:val="center"/>
          </w:tcPr>
          <w:p w14:paraId="6668234F">
            <w:pPr>
              <w:adjustRightInd w:val="0"/>
              <w:snapToGrid w:val="0"/>
              <w:ind w:firstLineChars="0"/>
              <w:jc w:val="center"/>
              <w:rPr>
                <w:highlight w:val="none"/>
              </w:rPr>
            </w:pPr>
          </w:p>
        </w:tc>
        <w:tc>
          <w:tcPr>
            <w:tcW w:w="1789" w:type="dxa"/>
            <w:vMerge w:val="continue"/>
            <w:noWrap w:val="0"/>
            <w:vAlign w:val="center"/>
          </w:tcPr>
          <w:p w14:paraId="35F69C72">
            <w:pPr>
              <w:adjustRightInd w:val="0"/>
              <w:snapToGrid w:val="0"/>
              <w:jc w:val="left"/>
              <w:rPr>
                <w:highlight w:val="none"/>
              </w:rPr>
            </w:pPr>
          </w:p>
        </w:tc>
        <w:tc>
          <w:tcPr>
            <w:tcW w:w="1296" w:type="dxa"/>
            <w:noWrap w:val="0"/>
            <w:vAlign w:val="center"/>
          </w:tcPr>
          <w:p w14:paraId="16339866">
            <w:pPr>
              <w:adjustRightInd w:val="0"/>
              <w:snapToGrid w:val="0"/>
              <w:jc w:val="center"/>
              <w:rPr>
                <w:highlight w:val="none"/>
              </w:rPr>
            </w:pPr>
            <w:r>
              <w:rPr>
                <w:rFonts w:hAnsi="宋体"/>
                <w:highlight w:val="none"/>
              </w:rPr>
              <w:t>业绩要求</w:t>
            </w:r>
          </w:p>
          <w:p w14:paraId="62F16AD1">
            <w:pPr>
              <w:adjustRightInd w:val="0"/>
              <w:snapToGrid w:val="0"/>
              <w:jc w:val="center"/>
              <w:rPr>
                <w:highlight w:val="none"/>
              </w:rPr>
            </w:pPr>
            <w:r>
              <w:rPr>
                <w:rFonts w:ascii="Times New Roman" w:hAnsi="Times New Roman" w:cs="Times New Roman"/>
                <w:highlight w:val="none"/>
              </w:rPr>
              <w:t>Exigences en matière de références</w:t>
            </w:r>
          </w:p>
        </w:tc>
        <w:tc>
          <w:tcPr>
            <w:tcW w:w="4760" w:type="dxa"/>
            <w:noWrap w:val="0"/>
            <w:vAlign w:val="center"/>
          </w:tcPr>
          <w:p w14:paraId="287FA2BE">
            <w:pPr>
              <w:shd w:val="clear"/>
              <w:rPr>
                <w:sz w:val="21"/>
                <w:szCs w:val="21"/>
                <w:highlight w:val="none"/>
              </w:rPr>
            </w:pPr>
            <w:r>
              <w:rPr>
                <w:rFonts w:ascii="宋体" w:hAnsi="宋体" w:eastAsia="宋体"/>
                <w:b w:val="0"/>
                <w:sz w:val="21"/>
                <w:szCs w:val="21"/>
                <w:highlight w:val="none"/>
                <w:shd w:val="clear"/>
              </w:rPr>
              <w:t>响应人202</w:t>
            </w:r>
            <w:r>
              <w:rPr>
                <w:rFonts w:hint="eastAsia" w:ascii="宋体" w:hAnsi="宋体"/>
                <w:b w:val="0"/>
                <w:sz w:val="21"/>
                <w:szCs w:val="21"/>
                <w:highlight w:val="none"/>
                <w:shd w:val="clear"/>
                <w:lang w:val="en-US" w:eastAsia="zh-CN"/>
              </w:rPr>
              <w:t>1</w:t>
            </w:r>
            <w:r>
              <w:rPr>
                <w:rFonts w:ascii="宋体" w:hAnsi="宋体" w:eastAsia="宋体"/>
                <w:b w:val="0"/>
                <w:sz w:val="21"/>
                <w:szCs w:val="21"/>
                <w:highlight w:val="none"/>
                <w:shd w:val="clear"/>
              </w:rPr>
              <w:t>年</w:t>
            </w:r>
            <w:r>
              <w:rPr>
                <w:rFonts w:hint="eastAsia" w:ascii="宋体" w:hAnsi="宋体"/>
                <w:b w:val="0"/>
                <w:sz w:val="21"/>
                <w:szCs w:val="21"/>
                <w:highlight w:val="none"/>
                <w:shd w:val="clear"/>
                <w:lang w:val="en-US" w:eastAsia="zh-CN"/>
              </w:rPr>
              <w:t>10</w:t>
            </w:r>
            <w:r>
              <w:rPr>
                <w:rFonts w:ascii="宋体" w:hAnsi="宋体" w:eastAsia="宋体"/>
                <w:b w:val="0"/>
                <w:sz w:val="21"/>
                <w:szCs w:val="21"/>
                <w:highlight w:val="none"/>
                <w:shd w:val="clear"/>
              </w:rPr>
              <w:t>月1日至报价截止日内具有不少于</w:t>
            </w:r>
            <w:r>
              <w:rPr>
                <w:rFonts w:hint="eastAsia" w:ascii="宋体" w:hAnsi="宋体"/>
                <w:b w:val="0"/>
                <w:sz w:val="21"/>
                <w:szCs w:val="21"/>
                <w:highlight w:val="none"/>
                <w:shd w:val="clear"/>
                <w:lang w:val="en-US" w:eastAsia="zh-CN"/>
              </w:rPr>
              <w:t>2项</w:t>
            </w:r>
            <w:r>
              <w:rPr>
                <w:rFonts w:ascii="宋体" w:hAnsi="宋体" w:eastAsia="宋体"/>
                <w:b w:val="0"/>
                <w:sz w:val="21"/>
                <w:szCs w:val="21"/>
                <w:highlight w:val="none"/>
                <w:shd w:val="clear"/>
              </w:rPr>
              <w:t>为</w:t>
            </w:r>
            <w:r>
              <w:rPr>
                <w:rFonts w:ascii="宋体" w:hAnsi="宋体" w:eastAsia="宋体"/>
                <w:b w:val="0"/>
                <w:color w:val="auto"/>
                <w:sz w:val="21"/>
                <w:szCs w:val="21"/>
                <w:highlight w:val="none"/>
                <w:shd w:val="clear"/>
              </w:rPr>
              <w:t>政府机关、事业单位</w:t>
            </w:r>
            <w:r>
              <w:rPr>
                <w:rFonts w:hint="eastAsia" w:ascii="宋体" w:hAnsi="宋体"/>
                <w:b w:val="0"/>
                <w:color w:val="auto"/>
                <w:sz w:val="21"/>
                <w:szCs w:val="21"/>
                <w:highlight w:val="none"/>
                <w:shd w:val="clear"/>
                <w:lang w:val="en-US" w:eastAsia="zh-CN"/>
              </w:rPr>
              <w:t>或国企</w:t>
            </w:r>
            <w:r>
              <w:rPr>
                <w:rFonts w:ascii="宋体" w:hAnsi="宋体" w:eastAsia="宋体"/>
                <w:b w:val="0"/>
                <w:sz w:val="21"/>
                <w:szCs w:val="21"/>
                <w:highlight w:val="none"/>
                <w:shd w:val="clear"/>
              </w:rPr>
              <w:t>提供国际机票代理服务相关业绩（需提供合同关键页，包含但不限于合同首页、签字页、主要服务范围页、合同起始时间/有效期页）。</w:t>
            </w:r>
          </w:p>
          <w:p w14:paraId="1323353C">
            <w:r>
              <w:rPr>
                <w:rFonts w:hint="eastAsia" w:ascii="Times New Roman" w:hAnsi="Times New Roman" w:cs="Times New Roman"/>
                <w:highlight w:val="none"/>
              </w:rPr>
              <w:t>Le soumissionnaire doit justifier, pour la période allant du 1er septembre 2021 jusqu’à la date limite de soumission des offres, d’au moins six références relatives à la fourniture de services d’agence de billetterie aérienne internationale au profit d’organismes gouvernementaux, d’établissements publics ou d’entreprises publiques, y compris les entreprises relevant du gouvernement central. Il doit fournir les pages essentielles des contrats correspondants, notamment, sans s’y limiter, la page de couverture du contrat, la page de signature, les pages décrivant l’étendue principale des services ainsi que les pages indiquant la date de prise d’effet et/ou la durée de validité du contrat.</w:t>
            </w:r>
          </w:p>
        </w:tc>
        <w:tc>
          <w:tcPr>
            <w:tcW w:w="933" w:type="dxa"/>
            <w:vMerge w:val="continue"/>
            <w:noWrap w:val="0"/>
            <w:vAlign w:val="center"/>
          </w:tcPr>
          <w:p w14:paraId="647473E7">
            <w:pPr>
              <w:adjustRightInd w:val="0"/>
              <w:snapToGrid w:val="0"/>
              <w:jc w:val="center"/>
              <w:rPr>
                <w:rFonts w:hAnsi="宋体"/>
                <w:b/>
                <w:color w:val="FF0000"/>
                <w:highlight w:val="none"/>
              </w:rPr>
            </w:pPr>
          </w:p>
        </w:tc>
      </w:tr>
      <w:tr w14:paraId="322D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vMerge w:val="continue"/>
            <w:noWrap w:val="0"/>
            <w:vAlign w:val="center"/>
          </w:tcPr>
          <w:p w14:paraId="19E79790">
            <w:pPr>
              <w:adjustRightInd w:val="0"/>
              <w:snapToGrid w:val="0"/>
              <w:ind w:firstLineChars="0"/>
              <w:jc w:val="center"/>
              <w:rPr>
                <w:highlight w:val="none"/>
              </w:rPr>
            </w:pPr>
          </w:p>
        </w:tc>
        <w:tc>
          <w:tcPr>
            <w:tcW w:w="1789" w:type="dxa"/>
            <w:vMerge w:val="continue"/>
            <w:noWrap w:val="0"/>
            <w:vAlign w:val="center"/>
          </w:tcPr>
          <w:p w14:paraId="5ED64BF9">
            <w:pPr>
              <w:adjustRightInd w:val="0"/>
              <w:snapToGrid w:val="0"/>
              <w:jc w:val="left"/>
              <w:rPr>
                <w:highlight w:val="none"/>
              </w:rPr>
            </w:pPr>
          </w:p>
        </w:tc>
        <w:tc>
          <w:tcPr>
            <w:tcW w:w="1296" w:type="dxa"/>
            <w:noWrap w:val="0"/>
            <w:vAlign w:val="center"/>
          </w:tcPr>
          <w:p w14:paraId="564CE46F">
            <w:pPr>
              <w:keepLines w:val="0"/>
              <w:widowControl w:val="0"/>
              <w:shd w:val="clear"/>
              <w:kinsoku/>
              <w:wordWrap/>
              <w:overflowPunct/>
              <w:autoSpaceDE/>
              <w:autoSpaceDN/>
              <w:bidi w:val="0"/>
              <w:adjustRightInd w:val="0"/>
              <w:snapToGrid w:val="0"/>
              <w:spacing w:line="240" w:lineRule="auto"/>
              <w:ind w:left="0" w:leftChars="0" w:right="0" w:rightChars="0" w:firstLine="0" w:firstLineChars="0"/>
              <w:jc w:val="center"/>
              <w:textAlignment w:val="auto"/>
              <w:outlineLvl w:val="9"/>
              <w:rPr>
                <w:rFonts w:hint="eastAsia" w:cs="Times New Roman"/>
                <w:b w:val="0"/>
                <w:bCs w:val="0"/>
                <w:szCs w:val="21"/>
                <w:highlight w:val="none"/>
                <w:shd w:val="clear"/>
                <w:lang w:val="en-US" w:eastAsia="zh-CN"/>
              </w:rPr>
            </w:pPr>
            <w:r>
              <w:rPr>
                <w:rFonts w:hint="eastAsia" w:cs="Times New Roman"/>
                <w:b w:val="0"/>
                <w:bCs w:val="0"/>
                <w:szCs w:val="21"/>
                <w:highlight w:val="none"/>
                <w:shd w:val="clear"/>
                <w:lang w:val="en-US" w:eastAsia="zh-CN"/>
              </w:rPr>
              <w:t>其他要求</w:t>
            </w:r>
          </w:p>
          <w:p w14:paraId="308F0140">
            <w:pPr>
              <w:adjustRightInd w:val="0"/>
              <w:snapToGrid w:val="0"/>
              <w:jc w:val="center"/>
              <w:rPr>
                <w:rFonts w:ascii="Times New Roman" w:hAnsi="Times New Roman" w:cs="Times New Roman"/>
                <w:highlight w:val="none"/>
              </w:rPr>
            </w:pPr>
            <w:r>
              <w:rPr>
                <w:rFonts w:hint="eastAsia" w:cs="Times New Roman"/>
                <w:b w:val="0"/>
                <w:bCs w:val="0"/>
                <w:szCs w:val="21"/>
                <w:highlight w:val="none"/>
                <w:shd w:val="clear"/>
                <w:lang w:val="en-US" w:eastAsia="zh-CN"/>
              </w:rPr>
              <w:t>Autres exigences</w:t>
            </w:r>
          </w:p>
        </w:tc>
        <w:tc>
          <w:tcPr>
            <w:tcW w:w="4760" w:type="dxa"/>
            <w:shd w:val="clear" w:color="auto" w:fill="auto"/>
            <w:noWrap w:val="0"/>
            <w:vAlign w:val="center"/>
          </w:tcPr>
          <w:p w14:paraId="1309D49A">
            <w:pPr>
              <w:keepLines w:val="0"/>
              <w:widowControl w:val="0"/>
              <w:shd w:val="clear"/>
              <w:kinsoku/>
              <w:wordWrap/>
              <w:overflowPunct/>
              <w:autoSpaceDE/>
              <w:autoSpaceDN/>
              <w:bidi w:val="0"/>
              <w:adjustRightInd w:val="0"/>
              <w:snapToGrid w:val="0"/>
              <w:spacing w:line="240" w:lineRule="auto"/>
              <w:ind w:left="0" w:leftChars="0" w:right="0" w:rightChars="0" w:firstLine="0" w:firstLineChars="0"/>
              <w:jc w:val="both"/>
              <w:textAlignment w:val="auto"/>
              <w:outlineLvl w:val="9"/>
              <w:rPr>
                <w:rFonts w:hint="eastAsia" w:cs="Times New Roman"/>
                <w:b w:val="0"/>
                <w:bCs w:val="0"/>
                <w:szCs w:val="21"/>
                <w:highlight w:val="none"/>
                <w:shd w:val="clear"/>
                <w:lang w:val="en-US" w:eastAsia="zh-CN"/>
              </w:rPr>
            </w:pPr>
            <w:r>
              <w:rPr>
                <w:rFonts w:hint="eastAsia" w:cs="Times New Roman"/>
                <w:b w:val="0"/>
                <w:bCs w:val="0"/>
                <w:szCs w:val="21"/>
                <w:highlight w:val="none"/>
                <w:shd w:val="clear"/>
                <w:lang w:val="en-US" w:eastAsia="zh-CN"/>
              </w:rPr>
              <w:t>响应人须取得下述7家航司直接授予响应人自身的客运销售有效授权：中国国航（CA）、海南航空（HU）、土耳其航空（TK）、阿联酋航空（EK）、布鲁塞尔航空（SN）、法国航空（AF）、埃塞俄比亚航空（ET）。资格审查不通过，不进入后续评审。</w:t>
            </w:r>
          </w:p>
          <w:p w14:paraId="16491CD9">
            <w:pPr>
              <w:keepLines w:val="0"/>
              <w:widowControl w:val="0"/>
              <w:shd w:val="clear"/>
              <w:kinsoku/>
              <w:wordWrap/>
              <w:overflowPunct/>
              <w:autoSpaceDE/>
              <w:autoSpaceDN/>
              <w:bidi w:val="0"/>
              <w:adjustRightInd w:val="0"/>
              <w:snapToGrid w:val="0"/>
              <w:spacing w:line="240" w:lineRule="auto"/>
              <w:ind w:left="0" w:leftChars="0" w:right="0" w:rightChars="0" w:firstLine="0" w:firstLineChars="0"/>
              <w:jc w:val="both"/>
              <w:textAlignment w:val="auto"/>
              <w:outlineLvl w:val="9"/>
              <w:rPr>
                <w:rFonts w:hint="default" w:cs="Times New Roman"/>
                <w:b w:val="0"/>
                <w:bCs w:val="0"/>
                <w:szCs w:val="21"/>
                <w:highlight w:val="none"/>
                <w:shd w:val="clear"/>
                <w:lang w:val="en-US" w:eastAsia="zh-CN"/>
              </w:rPr>
            </w:pPr>
            <w:r>
              <w:rPr>
                <w:rFonts w:hint="eastAsia" w:cs="Times New Roman"/>
                <w:b w:val="0"/>
                <w:bCs w:val="0"/>
                <w:szCs w:val="21"/>
                <w:highlight w:val="none"/>
                <w:shd w:val="clear"/>
                <w:lang w:val="en-US" w:eastAsia="zh-CN"/>
              </w:rPr>
              <w:t>备注：本项所称有效授权指航司（或其国内官方授权办事机构）直接与响应人签署的客运销售合作协议 / 出具的销售授权文件，投标截止时间授权状态在有效期内；授权范围须包含国际客运机票销售；二级分销授权、平台转授权、仅 BSP 出票准入权限，均不视为本条款认可的航司授权。授权主体须为响应人本人，母公司、关联方授权不得由子公司投标使用。</w:t>
            </w:r>
            <w:r>
              <w:rPr>
                <w:rFonts w:hint="default" w:cs="Times New Roman"/>
                <w:b w:val="0"/>
                <w:bCs w:val="0"/>
                <w:szCs w:val="21"/>
                <w:highlight w:val="none"/>
                <w:shd w:val="clear"/>
                <w:lang w:val="en-US" w:eastAsia="zh-CN"/>
              </w:rPr>
              <w:t>Les candidats doivent détenir des autorisations valides et directes de vente de titres de transport, octroyées par les sept compagnies aériennes suivantes : Air China (CA), Hainan Airlines (HU), Turkish Airlines (TK), Emirates (EK), Brussels Airlines (SN), Air France (AF) et Ethiopian Airlines (ET). Le non-respect des critères de qualification entraînera l’exclusion de toute évaluation ultérieure.</w:t>
            </w:r>
          </w:p>
          <w:p w14:paraId="3065FBE4">
            <w:pPr>
              <w:keepLines w:val="0"/>
              <w:widowControl w:val="0"/>
              <w:shd w:val="clear"/>
              <w:kinsoku/>
              <w:wordWrap/>
              <w:overflowPunct/>
              <w:autoSpaceDE/>
              <w:autoSpaceDN/>
              <w:bidi w:val="0"/>
              <w:adjustRightInd w:val="0"/>
              <w:snapToGrid w:val="0"/>
              <w:spacing w:line="240" w:lineRule="auto"/>
              <w:ind w:left="0" w:leftChars="0" w:right="0" w:rightChars="0" w:firstLine="0" w:firstLineChars="0"/>
              <w:jc w:val="both"/>
              <w:textAlignment w:val="auto"/>
              <w:outlineLvl w:val="9"/>
              <w:rPr>
                <w:rFonts w:hint="eastAsia" w:ascii="Times New Roman" w:hAnsi="Times New Roman" w:eastAsia="宋体" w:cs="Times New Roman"/>
                <w:b w:val="0"/>
                <w:bCs w:val="0"/>
                <w:kern w:val="2"/>
                <w:sz w:val="21"/>
                <w:szCs w:val="21"/>
                <w:highlight w:val="none"/>
                <w:shd w:val="clear"/>
                <w:lang w:val="en-US" w:eastAsia="zh-CN" w:bidi="ar-SA"/>
              </w:rPr>
            </w:pPr>
            <w:r>
              <w:rPr>
                <w:rFonts w:hint="default" w:cs="Times New Roman"/>
                <w:b w:val="0"/>
                <w:bCs w:val="0"/>
                <w:szCs w:val="21"/>
                <w:highlight w:val="none"/>
                <w:shd w:val="clear"/>
                <w:lang w:val="en-US" w:eastAsia="zh-CN"/>
              </w:rPr>
              <w:t>Le soumissionnaire disposant d’autorisations valides délivrées par au moins cinq de ces compagnies aériennes sera considéré comme satisfaisant aux exigences de qualification. Tout soumissionnaire disposant de moins de cinq autorisations valides sera considéré comme ne satisfaisant pas aux exigences de qualification et ne sera pas admis à l’étape suivante de l’évaluation.</w:t>
            </w:r>
          </w:p>
        </w:tc>
        <w:tc>
          <w:tcPr>
            <w:tcW w:w="933" w:type="dxa"/>
            <w:noWrap w:val="0"/>
            <w:vAlign w:val="center"/>
          </w:tcPr>
          <w:p w14:paraId="42CF929E">
            <w:pPr>
              <w:adjustRightInd w:val="0"/>
              <w:snapToGrid w:val="0"/>
              <w:jc w:val="center"/>
              <w:rPr>
                <w:rFonts w:hAnsi="宋体"/>
                <w:b/>
                <w:color w:val="FF0000"/>
                <w:highlight w:val="none"/>
              </w:rPr>
            </w:pPr>
          </w:p>
        </w:tc>
      </w:tr>
      <w:tr w14:paraId="1B2C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7FA642C8">
            <w:pPr>
              <w:numPr>
                <w:ilvl w:val="0"/>
                <w:numId w:val="2"/>
              </w:numPr>
              <w:adjustRightInd w:val="0"/>
              <w:snapToGrid w:val="0"/>
              <w:ind w:left="40" w:leftChars="0" w:firstLine="170" w:firstLineChars="0"/>
              <w:jc w:val="center"/>
              <w:rPr>
                <w:rFonts w:hint="eastAsia" w:hAnsi="宋体"/>
                <w:highlight w:val="none"/>
                <w:lang w:val="en-US" w:eastAsia="zh-CN"/>
              </w:rPr>
            </w:pPr>
          </w:p>
        </w:tc>
        <w:tc>
          <w:tcPr>
            <w:tcW w:w="1789" w:type="dxa"/>
            <w:noWrap w:val="0"/>
            <w:vAlign w:val="center"/>
          </w:tcPr>
          <w:p w14:paraId="2FA2AF04">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实质性要求和条件</w:t>
            </w:r>
          </w:p>
          <w:p w14:paraId="790AB06C">
            <w:pPr>
              <w:pStyle w:val="22"/>
              <w:jc w:val="center"/>
              <w:rPr>
                <w:rFonts w:hint="eastAsia" w:hAnsi="宋体"/>
                <w:highlight w:val="none"/>
                <w:lang w:eastAsia="zh-CN"/>
              </w:rPr>
            </w:pPr>
            <w:r>
              <w:rPr>
                <w:rFonts w:hint="default" w:ascii="Times New Roman Regular" w:hAnsi="Times New Roman Regular" w:cs="Times New Roman Regular"/>
                <w:sz w:val="21"/>
                <w:szCs w:val="21"/>
                <w:lang w:val="en-US" w:eastAsia="zh-CN"/>
              </w:rPr>
              <w:t>Exigences et conditions substantielles</w:t>
            </w:r>
          </w:p>
        </w:tc>
        <w:tc>
          <w:tcPr>
            <w:tcW w:w="6056" w:type="dxa"/>
            <w:gridSpan w:val="2"/>
            <w:noWrap w:val="0"/>
            <w:vAlign w:val="center"/>
          </w:tcPr>
          <w:p w14:paraId="0E11911C">
            <w:pPr>
              <w:adjustRightInd w:val="0"/>
              <w:snapToGrid w:val="0"/>
              <w:rPr>
                <w:rFonts w:hint="eastAsia" w:hAnsi="宋体"/>
                <w:highlight w:val="none"/>
              </w:rPr>
            </w:pPr>
            <w:r>
              <w:rPr>
                <w:rFonts w:hint="default" w:ascii="Times New Roman Regular" w:hAnsi="Times New Roman Regular" w:cs="Times New Roman Regular"/>
                <w:sz w:val="21"/>
                <w:szCs w:val="21"/>
                <w:highlight w:val="none"/>
                <w:lang w:val="en-US" w:eastAsia="zh-CN"/>
              </w:rPr>
              <w:t>无。Néant.</w:t>
            </w:r>
          </w:p>
        </w:tc>
        <w:tc>
          <w:tcPr>
            <w:tcW w:w="933" w:type="dxa"/>
            <w:noWrap w:val="0"/>
            <w:vAlign w:val="center"/>
          </w:tcPr>
          <w:p w14:paraId="43D0A757">
            <w:pPr>
              <w:adjustRightInd w:val="0"/>
              <w:snapToGrid w:val="0"/>
              <w:jc w:val="center"/>
              <w:rPr>
                <w:rFonts w:hint="eastAsia" w:hAnsi="宋体"/>
                <w:highlight w:val="none"/>
                <w:lang w:val="en-US" w:eastAsia="zh-CN"/>
              </w:rPr>
            </w:pPr>
            <w:r>
              <w:rPr>
                <w:rFonts w:hint="default" w:ascii="Times New Roman Regular" w:hAnsi="Times New Roman Regular" w:cs="Times New Roman Regular"/>
                <w:sz w:val="21"/>
                <w:szCs w:val="21"/>
                <w:highlight w:val="none"/>
              </w:rPr>
              <w:t>1.7.1</w:t>
            </w:r>
          </w:p>
        </w:tc>
      </w:tr>
      <w:tr w14:paraId="6BA8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1455956C">
            <w:pPr>
              <w:numPr>
                <w:ilvl w:val="0"/>
                <w:numId w:val="2"/>
              </w:numPr>
              <w:adjustRightInd w:val="0"/>
              <w:snapToGrid w:val="0"/>
              <w:ind w:left="40" w:leftChars="0" w:firstLine="170" w:firstLineChars="0"/>
              <w:jc w:val="center"/>
              <w:rPr>
                <w:rFonts w:hint="eastAsia" w:hAnsi="宋体"/>
                <w:highlight w:val="none"/>
                <w:lang w:val="en-US" w:eastAsia="zh-CN"/>
              </w:rPr>
            </w:pPr>
          </w:p>
        </w:tc>
        <w:tc>
          <w:tcPr>
            <w:tcW w:w="1789" w:type="dxa"/>
            <w:noWrap w:val="0"/>
            <w:vAlign w:val="center"/>
          </w:tcPr>
          <w:p w14:paraId="1FF50CC1">
            <w:pPr>
              <w:adjustRightInd w:val="0"/>
              <w:snapToGrid w:val="0"/>
              <w:jc w:val="center"/>
              <w:rPr>
                <w:rFonts w:ascii="宋体" w:hAnsi="宋体"/>
                <w:szCs w:val="21"/>
                <w:highlight w:val="none"/>
              </w:rPr>
            </w:pPr>
            <w:r>
              <w:rPr>
                <w:rFonts w:hint="default" w:ascii="Times New Roman Regular" w:hAnsi="Times New Roman Regular" w:cs="Times New Roman Regular"/>
                <w:sz w:val="21"/>
                <w:szCs w:val="21"/>
                <w:highlight w:val="none"/>
                <w:lang w:val="en-US" w:eastAsia="zh-CN"/>
              </w:rPr>
              <w:t>偏差 Écarts</w:t>
            </w:r>
          </w:p>
        </w:tc>
        <w:tc>
          <w:tcPr>
            <w:tcW w:w="6056" w:type="dxa"/>
            <w:gridSpan w:val="2"/>
            <w:noWrap w:val="0"/>
            <w:vAlign w:val="center"/>
          </w:tcPr>
          <w:p w14:paraId="440D6557">
            <w:pPr>
              <w:pStyle w:val="158"/>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Regular" w:hAnsi="Times New Roman Regular" w:eastAsia="宋体" w:cs="Times New Roman Regular"/>
                <w:sz w:val="21"/>
                <w:szCs w:val="21"/>
                <w:highlight w:val="none"/>
                <w:lang w:eastAsia="zh-CN"/>
              </w:rPr>
            </w:pPr>
            <w:r>
              <w:rPr>
                <w:rFonts w:hint="default" w:ascii="Times New Roman Regular" w:hAnsi="Times New Roman Regular" w:eastAsia="宋体" w:cs="Times New Roman Regular"/>
                <w:kern w:val="2"/>
                <w:sz w:val="21"/>
                <w:szCs w:val="21"/>
                <w:highlight w:val="none"/>
                <w:lang w:val="en-US" w:eastAsia="zh-CN" w:bidi="ar-SA"/>
              </w:rPr>
              <w:sym w:font="Wingdings 2" w:char="00A3"/>
            </w:r>
            <w:r>
              <w:rPr>
                <w:rFonts w:hint="default" w:ascii="Times New Roman Regular" w:hAnsi="Times New Roman Regular" w:eastAsia="宋体" w:cs="Times New Roman Regular"/>
                <w:sz w:val="21"/>
                <w:szCs w:val="21"/>
                <w:highlight w:val="none"/>
                <w:lang w:eastAsia="zh-CN"/>
              </w:rPr>
              <w:t>不允许</w:t>
            </w:r>
          </w:p>
          <w:p w14:paraId="7E7A826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Regular" w:hAnsi="Times New Roman Regular" w:eastAsia="宋体" w:cs="Times New Roman Regular"/>
                <w:sz w:val="21"/>
                <w:szCs w:val="21"/>
                <w:highlight w:val="none"/>
                <w:lang w:eastAsia="zh-CN"/>
              </w:rPr>
            </w:pPr>
            <w:r>
              <w:rPr>
                <w:rFonts w:hint="default" w:ascii="Times New Roman Regular" w:hAnsi="Times New Roman Regular" w:eastAsia="宋体" w:cs="Times New Roman Regular"/>
                <w:kern w:val="2"/>
                <w:sz w:val="21"/>
                <w:szCs w:val="21"/>
                <w:highlight w:val="none"/>
                <w:lang w:val="en-US" w:eastAsia="zh-CN" w:bidi="ar-SA"/>
              </w:rPr>
              <w:sym w:font="Wingdings 2" w:char="0052"/>
            </w:r>
            <w:r>
              <w:rPr>
                <w:rFonts w:hint="default" w:ascii="Times New Roman Regular" w:hAnsi="Times New Roman Regular" w:eastAsia="宋体" w:cs="Times New Roman Regular"/>
                <w:sz w:val="21"/>
                <w:szCs w:val="21"/>
                <w:highlight w:val="none"/>
                <w:lang w:eastAsia="zh-CN"/>
              </w:rPr>
              <w:t>允许，接受有利于</w:t>
            </w:r>
            <w:r>
              <w:rPr>
                <w:rFonts w:hint="default" w:ascii="Times New Roman Regular" w:hAnsi="Times New Roman Regular" w:eastAsia="宋体" w:cs="Times New Roman Regular"/>
                <w:sz w:val="21"/>
                <w:szCs w:val="21"/>
                <w:highlight w:val="none"/>
                <w:lang w:val="en-US" w:eastAsia="zh-CN"/>
              </w:rPr>
              <w:t>采购</w:t>
            </w:r>
            <w:r>
              <w:rPr>
                <w:rFonts w:hint="default" w:ascii="Times New Roman Regular" w:hAnsi="Times New Roman Regular" w:eastAsia="宋体" w:cs="Times New Roman Regular"/>
                <w:sz w:val="21"/>
                <w:szCs w:val="21"/>
                <w:highlight w:val="none"/>
                <w:lang w:eastAsia="zh-CN"/>
              </w:rPr>
              <w:t>人的偏差。</w:t>
            </w:r>
          </w:p>
          <w:p w14:paraId="680F464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Regular" w:hAnsi="Times New Roman Regular" w:eastAsia="宋体" w:cs="Times New Roman Regular"/>
                <w:kern w:val="2"/>
                <w:sz w:val="21"/>
                <w:szCs w:val="21"/>
                <w:highlight w:val="none"/>
                <w:lang w:val="en-US" w:eastAsia="zh-CN" w:bidi="ar-SA"/>
              </w:rPr>
            </w:pPr>
            <w:r>
              <w:rPr>
                <w:rFonts w:hint="default" w:ascii="Times New Roman Regular" w:hAnsi="Times New Roman Regular" w:eastAsia="宋体" w:cs="Times New Roman Regular"/>
                <w:kern w:val="2"/>
                <w:sz w:val="21"/>
                <w:szCs w:val="21"/>
                <w:highlight w:val="none"/>
                <w:lang w:val="en-US" w:eastAsia="zh-CN" w:bidi="ar-SA"/>
              </w:rPr>
              <w:t>☐ Non autorisés</w:t>
            </w:r>
          </w:p>
          <w:p w14:paraId="08C6EB6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default" w:ascii="Times New Roman Regular" w:hAnsi="Times New Roman Regular" w:eastAsia="宋体" w:cs="Times New Roman Regular"/>
                <w:kern w:val="2"/>
                <w:sz w:val="21"/>
                <w:szCs w:val="21"/>
                <w:highlight w:val="none"/>
                <w:lang w:val="en-US" w:eastAsia="zh-CN" w:bidi="ar-SA"/>
              </w:rPr>
              <w:t>☑ Autorisés, sous réserve que les écarts soient favorables à l</w:t>
            </w:r>
            <w:r>
              <w:rPr>
                <w:rFonts w:hint="default" w:ascii="Times New Roman Regular" w:hAnsi="Times New Roman Regular" w:cs="Times New Roman Regular"/>
                <w:kern w:val="2"/>
                <w:sz w:val="21"/>
                <w:szCs w:val="21"/>
                <w:highlight w:val="none"/>
                <w:lang w:val="en-US" w:eastAsia="zh-CN" w:bidi="ar-SA"/>
              </w:rPr>
              <w:t>'</w:t>
            </w:r>
            <w:r>
              <w:rPr>
                <w:rFonts w:hint="default" w:ascii="Times New Roman Regular" w:hAnsi="Times New Roman Regular" w:eastAsia="宋体" w:cs="Times New Roman Regular"/>
                <w:kern w:val="2"/>
                <w:sz w:val="21"/>
                <w:szCs w:val="21"/>
                <w:highlight w:val="none"/>
                <w:lang w:val="en-US" w:eastAsia="zh-CN" w:bidi="ar-SA"/>
              </w:rPr>
              <w:t>acheteur.</w:t>
            </w:r>
          </w:p>
        </w:tc>
        <w:tc>
          <w:tcPr>
            <w:tcW w:w="933" w:type="dxa"/>
            <w:noWrap w:val="0"/>
            <w:vAlign w:val="center"/>
          </w:tcPr>
          <w:p w14:paraId="59647A33">
            <w:pPr>
              <w:keepNext w:val="0"/>
              <w:keepLines w:val="0"/>
              <w:pageBreakBefore w:val="0"/>
              <w:widowControl w:val="0"/>
              <w:kinsoku/>
              <w:wordWrap/>
              <w:overflowPunct/>
              <w:autoSpaceDE/>
              <w:autoSpaceDN/>
              <w:bidi w:val="0"/>
              <w:adjustRightInd w:val="0"/>
              <w:snapToGrid w:val="0"/>
              <w:spacing w:line="240" w:lineRule="auto"/>
              <w:ind w:left="0" w:leftChars="0" w:right="0" w:rightChars="0"/>
              <w:jc w:val="center"/>
              <w:textAlignment w:val="auto"/>
              <w:outlineLvl w:val="9"/>
              <w:rPr>
                <w:rFonts w:hint="eastAsia" w:hAnsi="宋体"/>
                <w:highlight w:val="none"/>
                <w:lang w:val="en-US" w:eastAsia="zh-CN"/>
              </w:rPr>
            </w:pPr>
            <w:r>
              <w:rPr>
                <w:rFonts w:hint="default" w:ascii="Times New Roman Regular" w:hAnsi="Times New Roman Regular" w:eastAsia="宋体" w:cs="Times New Roman Regular"/>
                <w:sz w:val="21"/>
                <w:szCs w:val="21"/>
                <w:highlight w:val="none"/>
                <w:lang w:val="en-US" w:eastAsia="zh-CN"/>
              </w:rPr>
              <w:t>1.7.2</w:t>
            </w:r>
          </w:p>
        </w:tc>
      </w:tr>
      <w:tr w14:paraId="0007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7B59A6CD">
            <w:pPr>
              <w:numPr>
                <w:ilvl w:val="0"/>
                <w:numId w:val="2"/>
              </w:numPr>
              <w:adjustRightInd w:val="0"/>
              <w:snapToGrid w:val="0"/>
              <w:ind w:left="40" w:leftChars="0" w:firstLine="170" w:firstLineChars="0"/>
              <w:jc w:val="center"/>
              <w:rPr>
                <w:rFonts w:hint="default" w:hAnsi="宋体" w:eastAsia="宋体"/>
                <w:highlight w:val="none"/>
                <w:lang w:val="en-US" w:eastAsia="zh-CN"/>
              </w:rPr>
            </w:pPr>
          </w:p>
        </w:tc>
        <w:tc>
          <w:tcPr>
            <w:tcW w:w="1789" w:type="dxa"/>
            <w:noWrap w:val="0"/>
            <w:vAlign w:val="center"/>
          </w:tcPr>
          <w:p w14:paraId="48EC9E77">
            <w:pPr>
              <w:keepNext w:val="0"/>
              <w:keepLines w:val="0"/>
              <w:pageBreakBefore w:val="0"/>
              <w:widowControl w:val="0"/>
              <w:kinsoku/>
              <w:wordWrap/>
              <w:overflowPunct/>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Regular" w:hAnsi="Times New Roman Regular" w:eastAsia="宋体" w:cs="Times New Roman Regular"/>
                <w:sz w:val="21"/>
                <w:szCs w:val="21"/>
                <w:highlight w:val="none"/>
              </w:rPr>
            </w:pPr>
            <w:r>
              <w:rPr>
                <w:rFonts w:hint="default" w:ascii="Times New Roman Regular" w:hAnsi="Times New Roman Regular" w:eastAsia="宋体" w:cs="Times New Roman Regular"/>
                <w:sz w:val="21"/>
                <w:szCs w:val="21"/>
                <w:highlight w:val="none"/>
              </w:rPr>
              <w:t>是否接受联合体报价</w:t>
            </w:r>
          </w:p>
          <w:p w14:paraId="21CEF8EC">
            <w:pPr>
              <w:pStyle w:val="22"/>
              <w:jc w:val="center"/>
              <w:rPr>
                <w:rFonts w:hAnsi="宋体"/>
                <w:highlight w:val="none"/>
              </w:rPr>
            </w:pPr>
            <w:r>
              <w:rPr>
                <w:rFonts w:hint="default" w:ascii="Times New Roman Regular" w:hAnsi="Times New Roman Regular" w:cs="Times New Roman Regular"/>
                <w:sz w:val="21"/>
                <w:szCs w:val="21"/>
                <w:lang w:val="en-US" w:eastAsia="zh-CN"/>
              </w:rPr>
              <w:t>Acceptation des offres présentées par un groupement</w:t>
            </w:r>
          </w:p>
        </w:tc>
        <w:tc>
          <w:tcPr>
            <w:tcW w:w="6056" w:type="dxa"/>
            <w:gridSpan w:val="2"/>
            <w:noWrap w:val="0"/>
            <w:vAlign w:val="center"/>
          </w:tcPr>
          <w:p w14:paraId="7883BFB3">
            <w:pPr>
              <w:rPr>
                <w:rFonts w:hint="default" w:ascii="Times New Roman Regular" w:hAnsi="Times New Roman Regular" w:eastAsia="宋体" w:cs="Times New Roman Regular"/>
                <w:kern w:val="2"/>
                <w:sz w:val="21"/>
                <w:szCs w:val="21"/>
                <w:highlight w:val="none"/>
                <w:lang w:val="en-US" w:eastAsia="zh-CN" w:bidi="ar-SA"/>
              </w:rPr>
            </w:pPr>
            <w:r>
              <w:rPr>
                <w:rFonts w:hint="default" w:ascii="Times New Roman Regular" w:hAnsi="Times New Roman Regular" w:eastAsia="宋体" w:cs="Times New Roman Regular"/>
                <w:kern w:val="2"/>
                <w:sz w:val="21"/>
                <w:szCs w:val="21"/>
                <w:highlight w:val="none"/>
                <w:lang w:val="en-US" w:eastAsia="zh-CN" w:bidi="ar-SA"/>
              </w:rPr>
              <w:sym w:font="Wingdings 2" w:char="0052"/>
            </w:r>
            <w:r>
              <w:rPr>
                <w:rFonts w:hint="default" w:ascii="Times New Roman Regular" w:hAnsi="Times New Roman Regular" w:eastAsia="宋体" w:cs="Times New Roman Regular"/>
                <w:kern w:val="2"/>
                <w:sz w:val="21"/>
                <w:szCs w:val="21"/>
                <w:highlight w:val="none"/>
                <w:lang w:val="en-US" w:eastAsia="zh-CN" w:bidi="ar-SA"/>
              </w:rPr>
              <w:t xml:space="preserve">不接受 </w:t>
            </w:r>
          </w:p>
          <w:p w14:paraId="41A6C0DD">
            <w:pPr>
              <w:keepNext w:val="0"/>
              <w:keepLines w:val="0"/>
              <w:pageBreakBefore w:val="0"/>
              <w:widowControl w:val="0"/>
              <w:kinsoku/>
              <w:wordWrap/>
              <w:overflowPunct/>
              <w:autoSpaceDE/>
              <w:autoSpaceDN/>
              <w:bidi w:val="0"/>
              <w:adjustRightInd w:val="0"/>
              <w:snapToGrid w:val="0"/>
              <w:spacing w:line="240" w:lineRule="auto"/>
              <w:ind w:left="0" w:leftChars="0" w:right="0" w:rightChars="0" w:firstLine="0" w:firstLineChars="0"/>
              <w:jc w:val="both"/>
              <w:textAlignment w:val="auto"/>
              <w:outlineLvl w:val="9"/>
              <w:rPr>
                <w:rFonts w:hint="default" w:ascii="Times New Roman Regular" w:hAnsi="Times New Roman Regular" w:eastAsia="宋体" w:cs="Times New Roman Regular"/>
                <w:sz w:val="21"/>
                <w:szCs w:val="21"/>
                <w:highlight w:val="none"/>
              </w:rPr>
            </w:pPr>
            <w:r>
              <w:rPr>
                <w:rFonts w:hint="default" w:ascii="Times New Roman Regular" w:hAnsi="Times New Roman Regular" w:eastAsia="宋体" w:cs="Times New Roman Regular"/>
                <w:sz w:val="21"/>
                <w:szCs w:val="21"/>
                <w:highlight w:val="none"/>
              </w:rPr>
              <w:t>□接受，应满足下列要求：</w:t>
            </w:r>
          </w:p>
          <w:p w14:paraId="7B5C655F">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 Non acceptées</w:t>
            </w:r>
          </w:p>
          <w:p w14:paraId="3C3A3CA7">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 Acceptées, sous réserve du respect des exigences suivantes :</w:t>
            </w:r>
          </w:p>
          <w:p w14:paraId="06EEF6AF">
            <w:pPr>
              <w:pStyle w:val="22"/>
            </w:pPr>
          </w:p>
        </w:tc>
        <w:tc>
          <w:tcPr>
            <w:tcW w:w="933" w:type="dxa"/>
            <w:noWrap w:val="0"/>
            <w:vAlign w:val="center"/>
          </w:tcPr>
          <w:p w14:paraId="25865650">
            <w:pPr>
              <w:adjustRightInd w:val="0"/>
              <w:snapToGrid w:val="0"/>
              <w:jc w:val="center"/>
            </w:pPr>
            <w:r>
              <w:rPr>
                <w:rFonts w:hint="default" w:ascii="Times New Roman Regular" w:hAnsi="Times New Roman Regular" w:cs="Times New Roman Regular"/>
                <w:sz w:val="21"/>
                <w:szCs w:val="21"/>
                <w:highlight w:val="none"/>
              </w:rPr>
              <w:t>1.5.1</w:t>
            </w:r>
          </w:p>
        </w:tc>
      </w:tr>
      <w:tr w14:paraId="21CC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152E809E">
            <w:pPr>
              <w:numPr>
                <w:ilvl w:val="0"/>
                <w:numId w:val="2"/>
              </w:numPr>
              <w:adjustRightInd w:val="0"/>
              <w:snapToGrid w:val="0"/>
              <w:ind w:left="40" w:leftChars="0" w:firstLine="170" w:firstLineChars="0"/>
              <w:jc w:val="center"/>
              <w:rPr>
                <w:rFonts w:hint="default" w:hAnsi="宋体" w:eastAsia="宋体"/>
                <w:highlight w:val="none"/>
                <w:lang w:val="en-US" w:eastAsia="zh-CN"/>
              </w:rPr>
            </w:pPr>
          </w:p>
        </w:tc>
        <w:tc>
          <w:tcPr>
            <w:tcW w:w="1789" w:type="dxa"/>
            <w:noWrap w:val="0"/>
            <w:vAlign w:val="center"/>
          </w:tcPr>
          <w:p w14:paraId="133DD175">
            <w:pPr>
              <w:keepNext w:val="0"/>
              <w:keepLines w:val="0"/>
              <w:pageBreakBefore w:val="0"/>
              <w:widowControl w:val="0"/>
              <w:kinsoku/>
              <w:wordWrap/>
              <w:overflowPunct/>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踏勘现场</w:t>
            </w:r>
          </w:p>
          <w:p w14:paraId="4C1335F9">
            <w:pPr>
              <w:pStyle w:val="22"/>
              <w:jc w:val="center"/>
              <w:rPr>
                <w:rFonts w:hAnsi="宋体"/>
                <w:highlight w:val="none"/>
              </w:rPr>
            </w:pPr>
            <w:r>
              <w:rPr>
                <w:rFonts w:hint="default" w:ascii="Times New Roman Regular" w:hAnsi="Times New Roman Regular" w:cs="Times New Roman Regular"/>
                <w:sz w:val="21"/>
                <w:szCs w:val="21"/>
                <w:lang w:val="en-US" w:eastAsia="zh-CN"/>
              </w:rPr>
              <w:t>Visite du site</w:t>
            </w:r>
          </w:p>
        </w:tc>
        <w:tc>
          <w:tcPr>
            <w:tcW w:w="6056" w:type="dxa"/>
            <w:gridSpan w:val="2"/>
            <w:noWrap w:val="0"/>
            <w:vAlign w:val="center"/>
          </w:tcPr>
          <w:p w14:paraId="42B715AC">
            <w:pPr>
              <w:pStyle w:val="10"/>
              <w:keepNext w:val="0"/>
              <w:keepLines w:val="0"/>
              <w:pageBreakBefore w:val="0"/>
              <w:widowControl w:val="0"/>
              <w:kinsoku/>
              <w:wordWrap/>
              <w:overflowPunct/>
              <w:topLinePunct/>
              <w:autoSpaceDE/>
              <w:autoSpaceDN/>
              <w:bidi w:val="0"/>
              <w:adjustRightInd w:val="0"/>
              <w:snapToGrid w:val="0"/>
              <w:spacing w:after="0" w:afterLines="0" w:line="240" w:lineRule="auto"/>
              <w:ind w:left="0" w:leftChars="0" w:right="0" w:rightChars="0" w:firstLine="0" w:firstLineChars="0"/>
              <w:jc w:val="both"/>
              <w:textAlignment w:val="auto"/>
              <w:outlineLvl w:val="9"/>
              <w:rPr>
                <w:rFonts w:hint="default" w:ascii="Times New Roman Regular" w:hAnsi="Times New Roman Regular" w:eastAsia="宋体" w:cs="Times New Roman Regular"/>
                <w:kern w:val="2"/>
                <w:sz w:val="21"/>
                <w:szCs w:val="21"/>
                <w:highlight w:val="none"/>
                <w:lang w:val="en-US" w:eastAsia="zh-CN" w:bidi="ar-SA"/>
              </w:rPr>
            </w:pPr>
            <w:r>
              <w:rPr>
                <w:rFonts w:hint="default" w:ascii="Times New Roman Regular" w:hAnsi="Times New Roman Regular" w:eastAsia="宋体" w:cs="Times New Roman Regular"/>
                <w:kern w:val="2"/>
                <w:sz w:val="21"/>
                <w:szCs w:val="21"/>
                <w:highlight w:val="none"/>
                <w:lang w:val="en-US" w:eastAsia="zh-CN" w:bidi="ar-SA"/>
              </w:rPr>
              <w:sym w:font="Wingdings 2" w:char="0052"/>
            </w:r>
            <w:r>
              <w:rPr>
                <w:rFonts w:hint="default" w:ascii="Times New Roman Regular" w:hAnsi="Times New Roman Regular" w:cs="Times New Roman Regular"/>
                <w:sz w:val="21"/>
                <w:szCs w:val="21"/>
                <w:highlight w:val="none"/>
              </w:rPr>
              <w:t>不组织</w:t>
            </w:r>
            <w:r>
              <w:rPr>
                <w:rFonts w:hint="default" w:ascii="Times New Roman Regular" w:hAnsi="Times New Roman Regular" w:eastAsia="宋体" w:cs="Times New Roman Regular"/>
                <w:kern w:val="2"/>
                <w:sz w:val="21"/>
                <w:szCs w:val="21"/>
                <w:highlight w:val="none"/>
                <w:lang w:val="en-US" w:eastAsia="zh-CN" w:bidi="ar-SA"/>
              </w:rPr>
              <w:t xml:space="preserve"> </w:t>
            </w:r>
          </w:p>
          <w:p w14:paraId="2237AC26">
            <w:pPr>
              <w:keepNext w:val="0"/>
              <w:keepLines w:val="0"/>
              <w:pageBreakBefore w:val="0"/>
              <w:widowControl w:val="0"/>
              <w:kinsoku/>
              <w:wordWrap/>
              <w:overflowPunct/>
              <w:autoSpaceDE/>
              <w:autoSpaceDN/>
              <w:bidi w:val="0"/>
              <w:adjustRightInd w:val="0"/>
              <w:snapToGrid w:val="0"/>
              <w:spacing w:line="240" w:lineRule="auto"/>
              <w:ind w:left="0" w:leftChars="0" w:right="0" w:rightChars="0" w:firstLine="0" w:firstLineChars="0"/>
              <w:jc w:val="both"/>
              <w:textAlignment w:val="auto"/>
              <w:outlineLvl w:val="9"/>
              <w:rPr>
                <w:rFonts w:hint="default" w:ascii="Times New Roman Regular" w:hAnsi="Times New Roman Regular" w:cs="Times New Roman Regular"/>
                <w:sz w:val="21"/>
                <w:szCs w:val="21"/>
                <w:highlight w:val="none"/>
              </w:rPr>
            </w:pPr>
            <w:r>
              <w:rPr>
                <w:rFonts w:hint="default" w:ascii="Times New Roman Regular" w:hAnsi="Times New Roman Regular" w:eastAsia="宋体" w:cs="Times New Roman Regular"/>
                <w:sz w:val="21"/>
                <w:szCs w:val="21"/>
                <w:highlight w:val="none"/>
              </w:rPr>
              <w:t>□</w:t>
            </w:r>
            <w:r>
              <w:rPr>
                <w:rFonts w:hint="default" w:ascii="Times New Roman Regular" w:hAnsi="Times New Roman Regular" w:cs="Times New Roman Regular"/>
                <w:sz w:val="21"/>
                <w:szCs w:val="21"/>
                <w:highlight w:val="none"/>
              </w:rPr>
              <w:t xml:space="preserve">组织，踏勘时间： </w:t>
            </w:r>
          </w:p>
          <w:p w14:paraId="17215EB6">
            <w:pPr>
              <w:keepNext w:val="0"/>
              <w:keepLines w:val="0"/>
              <w:pageBreakBefore w:val="0"/>
              <w:widowControl w:val="0"/>
              <w:kinsoku/>
              <w:wordWrap/>
              <w:overflowPunct/>
              <w:autoSpaceDE/>
              <w:autoSpaceDN/>
              <w:bidi w:val="0"/>
              <w:adjustRightInd w:val="0"/>
              <w:snapToGrid w:val="0"/>
              <w:spacing w:line="240" w:lineRule="auto"/>
              <w:ind w:left="0" w:leftChars="0" w:right="0" w:rightChars="0" w:firstLine="840" w:firstLineChars="400"/>
              <w:jc w:val="both"/>
              <w:textAlignment w:val="auto"/>
              <w:outlineLvl w:val="9"/>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踏勘集中地点：</w:t>
            </w:r>
          </w:p>
          <w:p w14:paraId="638CA297">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 Aucune visite du site ne sera organisée.</w:t>
            </w:r>
          </w:p>
          <w:p w14:paraId="198F13D6">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 Une visite du site sera organisée.</w:t>
            </w:r>
          </w:p>
          <w:p w14:paraId="0F74498E">
            <w:pPr>
              <w:pStyle w:val="23"/>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Date de la visite :</w:t>
            </w:r>
          </w:p>
          <w:p w14:paraId="730B08DF">
            <w:pPr>
              <w:pStyle w:val="23"/>
            </w:pPr>
            <w:r>
              <w:rPr>
                <w:rFonts w:hint="default" w:ascii="Times New Roman Regular" w:hAnsi="Times New Roman Regular" w:cs="Times New Roman Regular"/>
                <w:sz w:val="21"/>
                <w:szCs w:val="21"/>
                <w:lang w:val="en-US" w:eastAsia="zh-CN"/>
              </w:rPr>
              <w:t>Lieu de rassemblement pour la visite :</w:t>
            </w:r>
          </w:p>
        </w:tc>
        <w:tc>
          <w:tcPr>
            <w:tcW w:w="933" w:type="dxa"/>
            <w:noWrap w:val="0"/>
            <w:vAlign w:val="center"/>
          </w:tcPr>
          <w:p w14:paraId="1DEBABE2">
            <w:pPr>
              <w:keepNext w:val="0"/>
              <w:keepLines w:val="0"/>
              <w:pageBreakBefore w:val="0"/>
              <w:widowControl w:val="0"/>
              <w:kinsoku/>
              <w:wordWrap/>
              <w:overflowPunct/>
              <w:autoSpaceDE/>
              <w:autoSpaceDN/>
              <w:bidi w:val="0"/>
              <w:adjustRightInd w:val="0"/>
              <w:snapToGrid w:val="0"/>
              <w:spacing w:line="240" w:lineRule="auto"/>
              <w:ind w:left="0" w:leftChars="0" w:right="0" w:rightChars="0"/>
              <w:jc w:val="center"/>
              <w:textAlignment w:val="auto"/>
              <w:outlineLvl w:val="9"/>
            </w:pPr>
            <w:r>
              <w:rPr>
                <w:rFonts w:hint="default" w:ascii="Times New Roman Regular" w:hAnsi="Times New Roman Regular" w:cs="Times New Roman Regular"/>
                <w:sz w:val="21"/>
                <w:szCs w:val="21"/>
                <w:highlight w:val="none"/>
                <w:lang w:val="en-US" w:eastAsia="zh-CN"/>
              </w:rPr>
              <w:t>1.8.1</w:t>
            </w:r>
          </w:p>
        </w:tc>
      </w:tr>
      <w:tr w14:paraId="4243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64EA6CD7">
            <w:pPr>
              <w:numPr>
                <w:ilvl w:val="0"/>
                <w:numId w:val="2"/>
              </w:numPr>
              <w:adjustRightInd w:val="0"/>
              <w:snapToGrid w:val="0"/>
              <w:ind w:left="40" w:leftChars="0" w:firstLine="170" w:firstLineChars="0"/>
              <w:jc w:val="center"/>
              <w:rPr>
                <w:rFonts w:hint="default" w:hAnsi="宋体" w:eastAsia="宋体"/>
                <w:highlight w:val="none"/>
                <w:lang w:val="en-US" w:eastAsia="zh-CN"/>
              </w:rPr>
            </w:pPr>
          </w:p>
        </w:tc>
        <w:tc>
          <w:tcPr>
            <w:tcW w:w="1789" w:type="dxa"/>
            <w:noWrap w:val="0"/>
            <w:vAlign w:val="center"/>
          </w:tcPr>
          <w:p w14:paraId="324564B8">
            <w:pPr>
              <w:keepNext w:val="0"/>
              <w:keepLines w:val="0"/>
              <w:pageBreakBefore w:val="0"/>
              <w:widowControl w:val="0"/>
              <w:kinsoku/>
              <w:wordWrap/>
              <w:overflowPunct/>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Regular" w:hAnsi="Times New Roman Regular" w:cs="Times New Roman Regular"/>
                <w:sz w:val="21"/>
                <w:szCs w:val="21"/>
                <w:highlight w:val="none"/>
                <w:lang w:val="en-US" w:eastAsia="zh-CN"/>
              </w:rPr>
            </w:pPr>
            <w:r>
              <w:rPr>
                <w:rFonts w:hint="default" w:ascii="Times New Roman Regular" w:hAnsi="Times New Roman Regular" w:eastAsia="宋体" w:cs="Times New Roman Regular"/>
                <w:sz w:val="21"/>
                <w:szCs w:val="21"/>
                <w:highlight w:val="none"/>
              </w:rPr>
              <w:t>报价</w:t>
            </w:r>
            <w:r>
              <w:rPr>
                <w:rFonts w:hint="default" w:ascii="Times New Roman Regular" w:hAnsi="Times New Roman Regular" w:cs="Times New Roman Regular"/>
                <w:sz w:val="21"/>
                <w:szCs w:val="21"/>
                <w:highlight w:val="none"/>
                <w:lang w:val="en-US" w:eastAsia="zh-CN"/>
              </w:rPr>
              <w:t>方式</w:t>
            </w:r>
          </w:p>
          <w:p w14:paraId="1B724328">
            <w:pPr>
              <w:pStyle w:val="22"/>
              <w:jc w:val="center"/>
              <w:rPr>
                <w:rFonts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lang w:val="en-US" w:eastAsia="zh-CN"/>
              </w:rPr>
              <w:t>Mode de présentation des prix</w:t>
            </w:r>
          </w:p>
        </w:tc>
        <w:tc>
          <w:tcPr>
            <w:tcW w:w="6056" w:type="dxa"/>
            <w:gridSpan w:val="2"/>
            <w:noWrap w:val="0"/>
            <w:vAlign w:val="center"/>
          </w:tcPr>
          <w:p w14:paraId="2AD4B403">
            <w:pPr>
              <w:pStyle w:val="10"/>
              <w:keepNext w:val="0"/>
              <w:keepLines w:val="0"/>
              <w:pageBreakBefore w:val="0"/>
              <w:widowControl w:val="0"/>
              <w:kinsoku/>
              <w:wordWrap/>
              <w:overflowPunct/>
              <w:topLinePunct/>
              <w:autoSpaceDE/>
              <w:autoSpaceDN/>
              <w:bidi w:val="0"/>
              <w:adjustRightInd w:val="0"/>
              <w:snapToGrid w:val="0"/>
              <w:spacing w:after="0" w:afterLines="0" w:line="240" w:lineRule="auto"/>
              <w:ind w:left="0" w:leftChars="0" w:right="0" w:rightChars="0" w:firstLine="0" w:firstLineChars="0"/>
              <w:jc w:val="both"/>
              <w:textAlignment w:val="auto"/>
              <w:outlineLvl w:val="9"/>
              <w:rPr>
                <w:rFonts w:hint="default" w:ascii="Times New Roman Regular" w:hAnsi="Times New Roman Regular" w:eastAsia="宋体" w:cs="Times New Roman Regular"/>
                <w:kern w:val="2"/>
                <w:sz w:val="21"/>
                <w:szCs w:val="21"/>
                <w:highlight w:val="none"/>
                <w:lang w:val="en-US" w:eastAsia="zh-CN" w:bidi="ar-SA"/>
              </w:rPr>
            </w:pPr>
            <w:r>
              <w:rPr>
                <w:rFonts w:hint="default" w:ascii="Times New Roman Regular" w:hAnsi="Times New Roman Regular" w:eastAsia="宋体" w:cs="Times New Roman Regular"/>
                <w:kern w:val="2"/>
                <w:sz w:val="21"/>
                <w:szCs w:val="21"/>
                <w:highlight w:val="none"/>
                <w:lang w:val="en-US" w:eastAsia="zh-CN" w:bidi="ar-SA"/>
              </w:rPr>
              <w:t>□固定总价</w:t>
            </w:r>
          </w:p>
          <w:p w14:paraId="3361193B">
            <w:pPr>
              <w:pStyle w:val="10"/>
              <w:keepNext w:val="0"/>
              <w:keepLines w:val="0"/>
              <w:pageBreakBefore w:val="0"/>
              <w:widowControl w:val="0"/>
              <w:kinsoku/>
              <w:wordWrap/>
              <w:overflowPunct/>
              <w:topLinePunct/>
              <w:autoSpaceDE/>
              <w:autoSpaceDN/>
              <w:bidi w:val="0"/>
              <w:adjustRightInd w:val="0"/>
              <w:snapToGrid w:val="0"/>
              <w:spacing w:after="0" w:afterLines="0" w:line="240" w:lineRule="auto"/>
              <w:ind w:left="0" w:leftChars="0" w:right="0" w:rightChars="0" w:firstLine="0" w:firstLineChars="0"/>
              <w:jc w:val="both"/>
              <w:textAlignment w:val="auto"/>
              <w:outlineLvl w:val="9"/>
              <w:rPr>
                <w:rFonts w:hint="default" w:ascii="Times New Roman Regular" w:hAnsi="Times New Roman Regular" w:eastAsia="宋体" w:cs="Times New Roman Regular"/>
                <w:kern w:val="2"/>
                <w:sz w:val="21"/>
                <w:szCs w:val="21"/>
                <w:highlight w:val="none"/>
                <w:lang w:val="en-US" w:eastAsia="zh-CN" w:bidi="ar-SA"/>
              </w:rPr>
            </w:pPr>
            <w:r>
              <w:rPr>
                <w:rFonts w:hint="default" w:ascii="Times New Roman Regular" w:hAnsi="Times New Roman Regular" w:eastAsia="宋体" w:cs="Times New Roman Regular"/>
                <w:kern w:val="2"/>
                <w:sz w:val="21"/>
                <w:szCs w:val="21"/>
                <w:highlight w:val="none"/>
                <w:lang w:val="en-US" w:eastAsia="zh-CN" w:bidi="ar-SA"/>
              </w:rPr>
              <w:t>☑固定单价</w:t>
            </w:r>
          </w:p>
          <w:p w14:paraId="2697B7CD">
            <w:pPr>
              <w:pStyle w:val="10"/>
              <w:keepNext w:val="0"/>
              <w:keepLines w:val="0"/>
              <w:pageBreakBefore w:val="0"/>
              <w:widowControl w:val="0"/>
              <w:kinsoku/>
              <w:wordWrap/>
              <w:overflowPunct/>
              <w:topLinePunct/>
              <w:autoSpaceDE/>
              <w:autoSpaceDN/>
              <w:bidi w:val="0"/>
              <w:adjustRightInd w:val="0"/>
              <w:snapToGrid w:val="0"/>
              <w:spacing w:after="0" w:afterLines="0" w:line="240" w:lineRule="auto"/>
              <w:ind w:left="0" w:leftChars="0" w:right="0" w:rightChars="0" w:firstLine="0" w:firstLineChars="0"/>
              <w:jc w:val="both"/>
              <w:textAlignment w:val="auto"/>
              <w:outlineLvl w:val="9"/>
              <w:rPr>
                <w:rFonts w:hint="default" w:ascii="Times New Roman Regular" w:hAnsi="Times New Roman Regular" w:eastAsia="宋体" w:cs="Times New Roman Regular"/>
                <w:kern w:val="2"/>
                <w:sz w:val="21"/>
                <w:szCs w:val="21"/>
                <w:highlight w:val="none"/>
                <w:lang w:val="en-US" w:eastAsia="zh-CN" w:bidi="ar-SA"/>
              </w:rPr>
            </w:pPr>
            <w:r>
              <w:rPr>
                <w:rFonts w:hint="default" w:ascii="Times New Roman Regular" w:hAnsi="Times New Roman Regular" w:eastAsia="宋体" w:cs="Times New Roman Regular"/>
                <w:kern w:val="2"/>
                <w:sz w:val="21"/>
                <w:szCs w:val="21"/>
                <w:highlight w:val="none"/>
                <w:lang w:val="en-US" w:eastAsia="zh-CN" w:bidi="ar-SA"/>
              </w:rPr>
              <w:t>☐ Prix global forfaitaire</w:t>
            </w:r>
          </w:p>
          <w:p w14:paraId="0B5C866E">
            <w:pPr>
              <w:pStyle w:val="10"/>
              <w:keepNext w:val="0"/>
              <w:keepLines w:val="0"/>
              <w:pageBreakBefore w:val="0"/>
              <w:widowControl w:val="0"/>
              <w:kinsoku/>
              <w:wordWrap/>
              <w:overflowPunct/>
              <w:topLinePunct/>
              <w:autoSpaceDE/>
              <w:autoSpaceDN/>
              <w:bidi w:val="0"/>
              <w:adjustRightInd w:val="0"/>
              <w:snapToGrid w:val="0"/>
              <w:spacing w:after="0" w:afterLines="0" w:line="240" w:lineRule="auto"/>
              <w:ind w:left="0" w:leftChars="0" w:right="0" w:rightChars="0" w:firstLine="0" w:firstLineChars="0"/>
              <w:jc w:val="both"/>
              <w:textAlignment w:val="auto"/>
              <w:outlineLvl w:val="9"/>
            </w:pPr>
            <w:r>
              <w:rPr>
                <w:rFonts w:hint="default" w:ascii="Times New Roman Regular" w:hAnsi="Times New Roman Regular" w:eastAsia="宋体" w:cs="Times New Roman Regular"/>
                <w:kern w:val="2"/>
                <w:sz w:val="21"/>
                <w:szCs w:val="21"/>
                <w:highlight w:val="none"/>
                <w:lang w:val="en-US" w:eastAsia="zh-CN" w:bidi="ar-SA"/>
              </w:rPr>
              <w:t>☑ Prix unitaire fixe</w:t>
            </w:r>
          </w:p>
        </w:tc>
        <w:tc>
          <w:tcPr>
            <w:tcW w:w="933" w:type="dxa"/>
            <w:noWrap w:val="0"/>
            <w:vAlign w:val="center"/>
          </w:tcPr>
          <w:p w14:paraId="234ED7F4">
            <w:pPr>
              <w:adjustRightInd w:val="0"/>
              <w:snapToGrid w:val="0"/>
              <w:jc w:val="center"/>
            </w:pPr>
            <w:r>
              <w:rPr>
                <w:rFonts w:hint="default" w:ascii="Times New Roman Regular" w:hAnsi="Times New Roman Regular" w:cs="Times New Roman Regular"/>
                <w:sz w:val="21"/>
                <w:szCs w:val="21"/>
                <w:highlight w:val="none"/>
              </w:rPr>
              <w:t>1.6.1</w:t>
            </w:r>
          </w:p>
        </w:tc>
      </w:tr>
      <w:tr w14:paraId="30EE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47A76745">
            <w:pPr>
              <w:numPr>
                <w:ilvl w:val="0"/>
                <w:numId w:val="2"/>
              </w:numPr>
              <w:adjustRightInd w:val="0"/>
              <w:snapToGrid w:val="0"/>
              <w:ind w:left="40" w:leftChars="0" w:firstLine="170" w:firstLineChars="0"/>
              <w:jc w:val="center"/>
              <w:rPr>
                <w:rFonts w:hint="default" w:hAnsi="宋体" w:eastAsia="宋体"/>
                <w:highlight w:val="none"/>
                <w:lang w:val="en-US" w:eastAsia="zh-CN"/>
              </w:rPr>
            </w:pPr>
          </w:p>
        </w:tc>
        <w:tc>
          <w:tcPr>
            <w:tcW w:w="1789" w:type="dxa"/>
            <w:noWrap w:val="0"/>
            <w:vAlign w:val="center"/>
          </w:tcPr>
          <w:p w14:paraId="4A36397B">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最高限价</w:t>
            </w:r>
          </w:p>
          <w:p w14:paraId="3F457A4B">
            <w:pPr>
              <w:pStyle w:val="22"/>
              <w:jc w:val="center"/>
              <w:rPr>
                <w:rFonts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lang w:val="en-US" w:eastAsia="zh-CN"/>
              </w:rPr>
              <w:t>Prix plafond</w:t>
            </w:r>
          </w:p>
        </w:tc>
        <w:tc>
          <w:tcPr>
            <w:tcW w:w="6056" w:type="dxa"/>
            <w:gridSpan w:val="2"/>
            <w:noWrap w:val="0"/>
            <w:vAlign w:val="center"/>
          </w:tcPr>
          <w:p w14:paraId="36BEBF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default" w:ascii="Times New Roman Regular" w:hAnsi="Times New Roman Regular" w:eastAsia="宋体" w:cs="Times New Roman Regular"/>
                <w:sz w:val="21"/>
                <w:szCs w:val="21"/>
                <w:highlight w:val="none"/>
              </w:rPr>
            </w:pPr>
            <w:r>
              <w:rPr>
                <w:rFonts w:hint="default" w:ascii="Times New Roman Regular" w:hAnsi="Times New Roman Regular" w:eastAsia="宋体" w:cs="Times New Roman Regular"/>
                <w:kern w:val="2"/>
                <w:sz w:val="21"/>
                <w:szCs w:val="21"/>
                <w:highlight w:val="none"/>
                <w:lang w:val="en-US" w:eastAsia="zh-CN" w:bidi="ar-SA"/>
              </w:rPr>
              <w:sym w:font="Wingdings 2" w:char="0052"/>
            </w:r>
            <w:r>
              <w:rPr>
                <w:rFonts w:hint="default" w:ascii="Times New Roman Regular" w:hAnsi="Times New Roman Regular" w:eastAsia="宋体" w:cs="Times New Roman Regular"/>
                <w:sz w:val="21"/>
                <w:szCs w:val="21"/>
                <w:highlight w:val="none"/>
              </w:rPr>
              <w:t>不设置</w:t>
            </w:r>
          </w:p>
          <w:p w14:paraId="16CC6625">
            <w:pPr>
              <w:adjustRightInd w:val="0"/>
              <w:snapToGrid w:val="0"/>
              <w:rPr>
                <w:rFonts w:hint="default" w:ascii="Times New Roman Regular" w:hAnsi="Times New Roman Regular" w:cs="Times New Roman Regular"/>
                <w:sz w:val="21"/>
                <w:szCs w:val="21"/>
                <w:highlight w:val="none"/>
                <w:lang w:val="en-US" w:eastAsia="zh-CN"/>
              </w:rPr>
            </w:pPr>
            <w:r>
              <w:rPr>
                <w:rFonts w:hint="default" w:ascii="Times New Roman Regular" w:hAnsi="Times New Roman Regular" w:eastAsia="宋体" w:cs="Times New Roman Regular"/>
                <w:sz w:val="21"/>
                <w:szCs w:val="21"/>
                <w:highlight w:val="none"/>
              </w:rPr>
              <w:t>□设置</w:t>
            </w:r>
            <w:r>
              <w:rPr>
                <w:rFonts w:hint="default" w:ascii="Times New Roman Regular" w:hAnsi="Times New Roman Regular" w:eastAsia="宋体" w:cs="Times New Roman Regular"/>
                <w:sz w:val="21"/>
                <w:szCs w:val="21"/>
                <w:highlight w:val="none"/>
                <w:lang w:eastAsia="zh-CN"/>
              </w:rPr>
              <w:t>，</w:t>
            </w:r>
            <w:r>
              <w:rPr>
                <w:rFonts w:hint="default" w:ascii="Times New Roman Regular" w:hAnsi="Times New Roman Regular" w:eastAsia="宋体" w:cs="Times New Roman Regular"/>
                <w:sz w:val="21"/>
                <w:szCs w:val="21"/>
                <w:highlight w:val="none"/>
              </w:rPr>
              <w:t>最高限价：</w:t>
            </w:r>
            <w:r>
              <w:rPr>
                <w:rFonts w:hint="default" w:ascii="Times New Roman Regular" w:hAnsi="Times New Roman Regular" w:cs="Times New Roman Regular"/>
                <w:sz w:val="21"/>
                <w:szCs w:val="21"/>
                <w:highlight w:val="none"/>
                <w:u w:val="single"/>
                <w:lang w:val="en-US" w:eastAsia="zh-CN"/>
              </w:rPr>
              <w:t xml:space="preserve">      </w:t>
            </w:r>
            <w:r>
              <w:rPr>
                <w:rFonts w:hint="default" w:ascii="Times New Roman Regular" w:hAnsi="Times New Roman Regular" w:cs="Times New Roman Regular"/>
                <w:sz w:val="21"/>
                <w:szCs w:val="21"/>
                <w:highlight w:val="none"/>
                <w:lang w:val="en-US" w:eastAsia="zh-CN"/>
              </w:rPr>
              <w:t>元</w:t>
            </w:r>
          </w:p>
          <w:p w14:paraId="39A46810">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 Aucun prix plafond n'est fixé.</w:t>
            </w:r>
          </w:p>
          <w:p w14:paraId="52FC05AE">
            <w:pPr>
              <w:pStyle w:val="22"/>
              <w:rPr>
                <w:rFonts w:hint="default"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lang w:val="en-US" w:eastAsia="zh-CN"/>
              </w:rPr>
              <w:t>☐ Un prix plafond est fixé : ______ yuans.</w:t>
            </w:r>
          </w:p>
        </w:tc>
        <w:tc>
          <w:tcPr>
            <w:tcW w:w="933" w:type="dxa"/>
            <w:noWrap w:val="0"/>
            <w:vAlign w:val="center"/>
          </w:tcPr>
          <w:p w14:paraId="2D868155">
            <w:pPr>
              <w:adjustRightInd w:val="0"/>
              <w:snapToGrid w:val="0"/>
              <w:jc w:val="center"/>
            </w:pPr>
            <w:r>
              <w:rPr>
                <w:rFonts w:hint="default" w:ascii="Times New Roman Regular" w:hAnsi="Times New Roman Regular" w:cs="Times New Roman Regular"/>
                <w:sz w:val="21"/>
                <w:szCs w:val="21"/>
                <w:highlight w:val="none"/>
              </w:rPr>
              <w:t>1.6.2</w:t>
            </w:r>
          </w:p>
        </w:tc>
      </w:tr>
      <w:tr w14:paraId="4EC4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0291F417">
            <w:pPr>
              <w:numPr>
                <w:ilvl w:val="0"/>
                <w:numId w:val="2"/>
              </w:numPr>
              <w:adjustRightInd w:val="0"/>
              <w:snapToGrid w:val="0"/>
              <w:ind w:left="40" w:leftChars="0" w:firstLine="170" w:firstLineChars="0"/>
              <w:jc w:val="center"/>
              <w:rPr>
                <w:rFonts w:hint="default" w:hAnsi="宋体" w:eastAsia="宋体"/>
                <w:highlight w:val="none"/>
                <w:lang w:val="en-US" w:eastAsia="zh-CN"/>
              </w:rPr>
            </w:pPr>
          </w:p>
        </w:tc>
        <w:tc>
          <w:tcPr>
            <w:tcW w:w="1789" w:type="dxa"/>
            <w:noWrap w:val="0"/>
            <w:vAlign w:val="center"/>
          </w:tcPr>
          <w:p w14:paraId="0150716E">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报价有效期</w:t>
            </w:r>
          </w:p>
          <w:p w14:paraId="3B4D6DDE">
            <w:pPr>
              <w:pStyle w:val="22"/>
              <w:jc w:val="center"/>
              <w:rPr>
                <w:rFonts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rPr>
              <w:t>Durée de validité de 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offre</w:t>
            </w:r>
          </w:p>
        </w:tc>
        <w:tc>
          <w:tcPr>
            <w:tcW w:w="6056" w:type="dxa"/>
            <w:gridSpan w:val="2"/>
            <w:noWrap w:val="0"/>
            <w:vAlign w:val="center"/>
          </w:tcPr>
          <w:p w14:paraId="62BE8ABF">
            <w:pPr>
              <w:adjustRightInd w:val="0"/>
              <w:snapToGrid w:val="0"/>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自规定的报价截止日期后90天</w:t>
            </w:r>
          </w:p>
          <w:p w14:paraId="594541EA">
            <w:pPr>
              <w:pStyle w:val="22"/>
              <w:rPr>
                <w:rFonts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rPr>
              <w:t>Quatre-vingt-dix (90) jours à compter de la date limite de soumission des offres fixée.</w:t>
            </w:r>
          </w:p>
        </w:tc>
        <w:tc>
          <w:tcPr>
            <w:tcW w:w="933" w:type="dxa"/>
            <w:noWrap w:val="0"/>
            <w:vAlign w:val="center"/>
          </w:tcPr>
          <w:p w14:paraId="0D96D68F">
            <w:pPr>
              <w:adjustRightInd w:val="0"/>
              <w:snapToGrid w:val="0"/>
              <w:jc w:val="center"/>
            </w:pPr>
            <w:r>
              <w:rPr>
                <w:rFonts w:hint="default" w:ascii="Times New Roman Regular" w:hAnsi="Times New Roman Regular" w:cs="Times New Roman Regular"/>
                <w:sz w:val="21"/>
                <w:szCs w:val="21"/>
                <w:highlight w:val="none"/>
              </w:rPr>
              <w:t>1.6.3</w:t>
            </w:r>
          </w:p>
        </w:tc>
      </w:tr>
      <w:tr w14:paraId="5DAD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2A510219">
            <w:pPr>
              <w:numPr>
                <w:ilvl w:val="0"/>
                <w:numId w:val="2"/>
              </w:numPr>
              <w:adjustRightInd w:val="0"/>
              <w:snapToGrid w:val="0"/>
              <w:ind w:left="40" w:leftChars="0" w:firstLine="170" w:firstLineChars="0"/>
              <w:jc w:val="center"/>
              <w:rPr>
                <w:rFonts w:hint="default" w:hAnsi="宋体" w:eastAsia="宋体"/>
                <w:highlight w:val="none"/>
                <w:lang w:val="en-US" w:eastAsia="zh-CN"/>
              </w:rPr>
            </w:pPr>
          </w:p>
        </w:tc>
        <w:tc>
          <w:tcPr>
            <w:tcW w:w="1789" w:type="dxa"/>
            <w:noWrap w:val="0"/>
            <w:vAlign w:val="center"/>
          </w:tcPr>
          <w:p w14:paraId="3680F2CA">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首次响应截止时间</w:t>
            </w:r>
          </w:p>
          <w:p w14:paraId="7BEEE7A2">
            <w:pPr>
              <w:pStyle w:val="22"/>
              <w:jc w:val="center"/>
              <w:rPr>
                <w:rFonts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rPr>
              <w:t>Date limite de soumission initiale des offres</w:t>
            </w:r>
          </w:p>
        </w:tc>
        <w:tc>
          <w:tcPr>
            <w:tcW w:w="6056" w:type="dxa"/>
            <w:gridSpan w:val="2"/>
            <w:noWrap w:val="0"/>
            <w:vAlign w:val="center"/>
          </w:tcPr>
          <w:p w14:paraId="2A25B67F">
            <w:pPr>
              <w:adjustRightInd w:val="0"/>
              <w:snapToGrid w:val="0"/>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同谈判公告/谈判邀请书的响应文件首次递交截止时间</w:t>
            </w:r>
          </w:p>
          <w:p w14:paraId="6F4F7065">
            <w:pPr>
              <w:pStyle w:val="22"/>
              <w:rPr>
                <w:rFonts w:hint="default"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rPr>
              <w:t>La date limite de dépôt initial des dossiers de réponse est celle indiquée dans 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avis de négociation / la lettre d</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invitation à négocier.</w:t>
            </w:r>
          </w:p>
        </w:tc>
        <w:tc>
          <w:tcPr>
            <w:tcW w:w="933" w:type="dxa"/>
            <w:noWrap w:val="0"/>
            <w:vAlign w:val="center"/>
          </w:tcPr>
          <w:p w14:paraId="5BE59B3E">
            <w:pPr>
              <w:adjustRightInd w:val="0"/>
              <w:snapToGrid w:val="0"/>
              <w:jc w:val="center"/>
            </w:pPr>
            <w:r>
              <w:rPr>
                <w:rFonts w:hint="default" w:ascii="Times New Roman Regular" w:hAnsi="Times New Roman Regular" w:cs="Times New Roman Regular"/>
                <w:sz w:val="21"/>
                <w:szCs w:val="21"/>
                <w:highlight w:val="none"/>
              </w:rPr>
              <w:t>1.6.4</w:t>
            </w:r>
          </w:p>
        </w:tc>
      </w:tr>
      <w:tr w14:paraId="51A3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18A625EE">
            <w:pPr>
              <w:numPr>
                <w:ilvl w:val="0"/>
                <w:numId w:val="2"/>
              </w:numPr>
              <w:adjustRightInd w:val="0"/>
              <w:snapToGrid w:val="0"/>
              <w:ind w:left="40" w:leftChars="0" w:firstLine="170" w:firstLineChars="0"/>
              <w:jc w:val="center"/>
              <w:rPr>
                <w:rFonts w:hint="default" w:hAnsi="宋体" w:eastAsia="宋体"/>
                <w:highlight w:val="none"/>
                <w:lang w:val="en-US" w:eastAsia="zh-CN"/>
              </w:rPr>
            </w:pPr>
          </w:p>
        </w:tc>
        <w:tc>
          <w:tcPr>
            <w:tcW w:w="1789" w:type="dxa"/>
            <w:noWrap w:val="0"/>
            <w:vAlign w:val="center"/>
          </w:tcPr>
          <w:p w14:paraId="6A34948C">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采购人澄清</w:t>
            </w:r>
          </w:p>
          <w:p w14:paraId="1570128D">
            <w:pPr>
              <w:pStyle w:val="22"/>
              <w:jc w:val="center"/>
              <w:rPr>
                <w:rFonts w:hAnsi="宋体"/>
                <w:highlight w:val="none"/>
              </w:rPr>
            </w:pPr>
            <w:r>
              <w:rPr>
                <w:rFonts w:hint="default" w:ascii="Times New Roman Regular" w:hAnsi="Times New Roman Regular" w:cs="Times New Roman Regular"/>
                <w:sz w:val="21"/>
                <w:szCs w:val="21"/>
              </w:rPr>
              <w:t>Clarifications de 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acheteur</w:t>
            </w:r>
          </w:p>
        </w:tc>
        <w:tc>
          <w:tcPr>
            <w:tcW w:w="6056" w:type="dxa"/>
            <w:gridSpan w:val="2"/>
            <w:noWrap w:val="0"/>
            <w:vAlign w:val="center"/>
          </w:tcPr>
          <w:p w14:paraId="765A16F9">
            <w:pPr>
              <w:adjustRightInd w:val="0"/>
              <w:snapToGrid w:val="0"/>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采购人收到澄清申请1日内日通过zbcg@spicld.com</w:t>
            </w:r>
            <w:r>
              <w:rPr>
                <w:rFonts w:hint="default" w:ascii="Times New Roman Regular" w:hAnsi="Times New Roman Regular" w:cs="Times New Roman Regular"/>
                <w:sz w:val="21"/>
                <w:szCs w:val="21"/>
                <w:highlight w:val="none"/>
                <w:lang w:val="en-US" w:eastAsia="zh-CN"/>
              </w:rPr>
              <w:t>邮箱</w:t>
            </w:r>
            <w:r>
              <w:rPr>
                <w:rFonts w:hint="default" w:ascii="Times New Roman Regular" w:hAnsi="Times New Roman Regular" w:cs="Times New Roman Regular"/>
                <w:sz w:val="21"/>
                <w:szCs w:val="21"/>
                <w:highlight w:val="none"/>
              </w:rPr>
              <w:t>做出答复（收到次日起算）</w:t>
            </w:r>
          </w:p>
          <w:p w14:paraId="35331D21">
            <w:pPr>
              <w:pStyle w:val="22"/>
            </w:pPr>
            <w:r>
              <w:rPr>
                <w:rFonts w:hint="default" w:ascii="Times New Roman Regular" w:hAnsi="Times New Roman Regular" w:cs="Times New Roman Regular"/>
                <w:sz w:val="21"/>
                <w:szCs w:val="21"/>
              </w:rPr>
              <w:t>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acheteur répond aux demandes de clarification par courriel à 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adresse zbcg@spicld.com dans un délai d</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un (1) jour à compter du lendemain de la réception de la demande.</w:t>
            </w:r>
          </w:p>
        </w:tc>
        <w:tc>
          <w:tcPr>
            <w:tcW w:w="933" w:type="dxa"/>
            <w:noWrap w:val="0"/>
            <w:vAlign w:val="center"/>
          </w:tcPr>
          <w:p w14:paraId="7A44DADD">
            <w:pPr>
              <w:adjustRightInd w:val="0"/>
              <w:snapToGrid w:val="0"/>
              <w:jc w:val="center"/>
            </w:pPr>
            <w:r>
              <w:rPr>
                <w:rFonts w:hint="default" w:ascii="Times New Roman Regular" w:hAnsi="Times New Roman Regular" w:cs="Times New Roman Regular"/>
                <w:sz w:val="21"/>
                <w:szCs w:val="21"/>
                <w:highlight w:val="none"/>
              </w:rPr>
              <w:t>2.2.2</w:t>
            </w:r>
          </w:p>
        </w:tc>
      </w:tr>
      <w:tr w14:paraId="78B1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70C92448">
            <w:pPr>
              <w:numPr>
                <w:ilvl w:val="0"/>
                <w:numId w:val="2"/>
              </w:numPr>
              <w:adjustRightInd w:val="0"/>
              <w:snapToGrid w:val="0"/>
              <w:ind w:left="40" w:leftChars="0" w:firstLine="170" w:firstLineChars="0"/>
              <w:jc w:val="center"/>
              <w:rPr>
                <w:rFonts w:hint="default" w:hAnsi="宋体" w:eastAsia="宋体"/>
                <w:highlight w:val="none"/>
                <w:lang w:val="en-US" w:eastAsia="zh-CN"/>
              </w:rPr>
            </w:pPr>
          </w:p>
        </w:tc>
        <w:tc>
          <w:tcPr>
            <w:tcW w:w="1789" w:type="dxa"/>
            <w:noWrap w:val="0"/>
            <w:vAlign w:val="center"/>
          </w:tcPr>
          <w:p w14:paraId="02B97832">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签字或盖章要求</w:t>
            </w:r>
          </w:p>
          <w:p w14:paraId="14E5B51D">
            <w:pPr>
              <w:pStyle w:val="22"/>
              <w:jc w:val="center"/>
              <w:rPr>
                <w:rFonts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lang w:val="en-US" w:eastAsia="zh-CN"/>
              </w:rPr>
              <w:t>Exigences relatives aux signatures et aux cachets</w:t>
            </w:r>
          </w:p>
        </w:tc>
        <w:tc>
          <w:tcPr>
            <w:tcW w:w="6056" w:type="dxa"/>
            <w:gridSpan w:val="2"/>
            <w:noWrap w:val="0"/>
            <w:vAlign w:val="center"/>
          </w:tcPr>
          <w:p w14:paraId="7F5142A7">
            <w:pPr>
              <w:adjustRightInd w:val="0"/>
              <w:snapToGrid w:val="0"/>
              <w:rPr>
                <w:rFonts w:hint="eastAsia" w:ascii="Times New Roman Regular" w:hAnsi="Times New Roman Regular" w:eastAsia="宋体" w:cs="Times New Roman Regular"/>
                <w:sz w:val="21"/>
                <w:szCs w:val="21"/>
                <w:highlight w:val="none"/>
                <w:lang w:eastAsia="zh-CN"/>
              </w:rPr>
            </w:pPr>
            <w:r>
              <w:rPr>
                <w:rFonts w:hint="default" w:ascii="Times New Roman Regular" w:hAnsi="Times New Roman Regular" w:cs="Times New Roman Regular"/>
                <w:sz w:val="21"/>
                <w:szCs w:val="21"/>
                <w:highlight w:val="none"/>
              </w:rPr>
              <w:t>按照本采购文件的相关要求和规定在封面、表格、证明材料、其他材料等相关位置加盖单位章、法定代表人（单位负责人）或其委托代理人签字或加盖单位章</w:t>
            </w:r>
            <w:r>
              <w:rPr>
                <w:rFonts w:hint="eastAsia" w:ascii="Times New Roman Regular" w:hAnsi="Times New Roman Regular" w:cs="Times New Roman Regular"/>
                <w:sz w:val="21"/>
                <w:szCs w:val="21"/>
                <w:highlight w:val="none"/>
                <w:lang w:eastAsia="zh-CN"/>
              </w:rPr>
              <w:t>。</w:t>
            </w:r>
          </w:p>
          <w:p w14:paraId="395B6E5C">
            <w:pPr>
              <w:pStyle w:val="22"/>
              <w:rPr>
                <w:rFonts w:hint="eastAsia"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lang w:val="en-US" w:eastAsia="zh-CN"/>
              </w:rPr>
              <w:t>Conformément aux exigences et dispositions du présent dossier de consultation, le cachet de l'entité doit être apposé aux emplacements prévus à cet effet sur la page de couverture, les formulaires, les pièces justificatives et les autres documents pertinents. Les documents concernés doivent également être signés par le représentant légal (ou le responsable de l'entité) ou par son mandataire, ou porter le cachet de l'entité, conformément aux exigences applicables.</w:t>
            </w:r>
          </w:p>
        </w:tc>
        <w:tc>
          <w:tcPr>
            <w:tcW w:w="933" w:type="dxa"/>
            <w:noWrap w:val="0"/>
            <w:vAlign w:val="center"/>
          </w:tcPr>
          <w:p w14:paraId="39F5EF0C">
            <w:pPr>
              <w:adjustRightInd w:val="0"/>
              <w:snapToGrid w:val="0"/>
              <w:jc w:val="center"/>
            </w:pPr>
            <w:r>
              <w:rPr>
                <w:rFonts w:hint="default" w:ascii="Times New Roman Regular" w:hAnsi="Times New Roman Regular" w:cs="Times New Roman Regular"/>
                <w:sz w:val="21"/>
                <w:szCs w:val="21"/>
                <w:highlight w:val="none"/>
              </w:rPr>
              <w:t>/</w:t>
            </w:r>
          </w:p>
        </w:tc>
      </w:tr>
      <w:tr w14:paraId="508B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5B3978B3">
            <w:pPr>
              <w:numPr>
                <w:ilvl w:val="0"/>
                <w:numId w:val="2"/>
              </w:numPr>
              <w:adjustRightInd w:val="0"/>
              <w:snapToGrid w:val="0"/>
              <w:ind w:left="40" w:leftChars="0" w:firstLine="170" w:firstLineChars="0"/>
              <w:jc w:val="center"/>
              <w:rPr>
                <w:rFonts w:hint="default" w:hAnsi="宋体" w:eastAsia="宋体"/>
                <w:highlight w:val="none"/>
                <w:lang w:val="en-US" w:eastAsia="zh-CN"/>
              </w:rPr>
            </w:pPr>
          </w:p>
        </w:tc>
        <w:tc>
          <w:tcPr>
            <w:tcW w:w="1789" w:type="dxa"/>
            <w:noWrap w:val="0"/>
            <w:vAlign w:val="center"/>
          </w:tcPr>
          <w:p w14:paraId="5BAFBEF2">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递交响应文件地点</w:t>
            </w:r>
          </w:p>
          <w:p w14:paraId="35CCEDCA">
            <w:pPr>
              <w:pStyle w:val="22"/>
              <w:jc w:val="center"/>
              <w:rPr>
                <w:rFonts w:hint="eastAsia"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rPr>
              <w:t>Lieu de remise des dossiers de réponse</w:t>
            </w:r>
          </w:p>
        </w:tc>
        <w:tc>
          <w:tcPr>
            <w:tcW w:w="6056" w:type="dxa"/>
            <w:gridSpan w:val="2"/>
            <w:noWrap w:val="0"/>
            <w:vAlign w:val="center"/>
          </w:tcPr>
          <w:p w14:paraId="66DA2501">
            <w:pPr>
              <w:adjustRightInd w:val="0"/>
              <w:snapToGrid w:val="0"/>
              <w:rPr>
                <w:rFonts w:hint="eastAsia"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highlight w:val="none"/>
                <w:lang w:val="fr-FR"/>
              </w:rPr>
              <w:t>zbcg@spicld.com</w:t>
            </w:r>
          </w:p>
        </w:tc>
        <w:tc>
          <w:tcPr>
            <w:tcW w:w="933" w:type="dxa"/>
            <w:noWrap w:val="0"/>
            <w:vAlign w:val="center"/>
          </w:tcPr>
          <w:p w14:paraId="48B3539F">
            <w:pPr>
              <w:adjustRightInd w:val="0"/>
              <w:snapToGrid w:val="0"/>
              <w:jc w:val="center"/>
            </w:pPr>
            <w:r>
              <w:rPr>
                <w:rFonts w:hint="default" w:ascii="Times New Roman Regular" w:hAnsi="Times New Roman Regular" w:cs="Times New Roman Regular"/>
                <w:sz w:val="21"/>
                <w:szCs w:val="21"/>
                <w:highlight w:val="none"/>
              </w:rPr>
              <w:t>/</w:t>
            </w:r>
          </w:p>
        </w:tc>
      </w:tr>
      <w:tr w14:paraId="0B61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3111896A">
            <w:pPr>
              <w:numPr>
                <w:ilvl w:val="0"/>
                <w:numId w:val="2"/>
              </w:numPr>
              <w:adjustRightInd w:val="0"/>
              <w:snapToGrid w:val="0"/>
              <w:ind w:left="40" w:leftChars="0" w:firstLine="170" w:firstLineChars="0"/>
              <w:jc w:val="center"/>
              <w:rPr>
                <w:rFonts w:hint="eastAsia" w:hAnsi="宋体"/>
                <w:highlight w:val="none"/>
                <w:lang w:val="en-US" w:eastAsia="zh-CN"/>
              </w:rPr>
            </w:pPr>
          </w:p>
        </w:tc>
        <w:tc>
          <w:tcPr>
            <w:tcW w:w="1789" w:type="dxa"/>
            <w:noWrap w:val="0"/>
            <w:vAlign w:val="center"/>
          </w:tcPr>
          <w:p w14:paraId="44CDD8A1">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成交候选人公告媒介</w:t>
            </w:r>
          </w:p>
          <w:p w14:paraId="682727FD">
            <w:pPr>
              <w:pStyle w:val="22"/>
              <w:jc w:val="center"/>
              <w:rPr>
                <w:rFonts w:hint="eastAsia" w:ascii="Times New Roman" w:hAnsi="宋体" w:eastAsia="宋体"/>
                <w:kern w:val="2"/>
                <w:sz w:val="21"/>
                <w:highlight w:val="none"/>
                <w:lang w:val="en-US" w:eastAsia="zh-CN" w:bidi="ar-SA"/>
              </w:rPr>
            </w:pPr>
            <w:r>
              <w:rPr>
                <w:rFonts w:hint="default" w:ascii="Times New Roman Regular" w:hAnsi="Times New Roman Regular" w:cs="Times New Roman Regular"/>
                <w:sz w:val="21"/>
                <w:szCs w:val="21"/>
              </w:rPr>
              <w:t>Support de publication de 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avis relatif aux candidats pressentis pour 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attribution du marché</w:t>
            </w:r>
          </w:p>
        </w:tc>
        <w:tc>
          <w:tcPr>
            <w:tcW w:w="6056" w:type="dxa"/>
            <w:gridSpan w:val="2"/>
            <w:noWrap w:val="0"/>
            <w:vAlign w:val="center"/>
          </w:tcPr>
          <w:p w14:paraId="5FDA5B8B">
            <w:pPr>
              <w:adjustRightInd w:val="0"/>
              <w:snapToGrid w:val="0"/>
              <w:rPr>
                <w:rFonts w:hint="eastAsia" w:eastAsia="宋体"/>
                <w:lang w:eastAsia="zh-CN"/>
              </w:rPr>
            </w:pPr>
            <w:r>
              <w:rPr>
                <w:rFonts w:hint="default" w:ascii="Times New Roman Regular" w:hAnsi="Times New Roman Regular" w:cs="Times New Roman Regular"/>
                <w:sz w:val="21"/>
                <w:szCs w:val="21"/>
                <w:highlight w:val="none"/>
                <w:lang w:val="en-US" w:eastAsia="zh-CN"/>
              </w:rPr>
              <w:t>/</w:t>
            </w:r>
          </w:p>
        </w:tc>
        <w:tc>
          <w:tcPr>
            <w:tcW w:w="933" w:type="dxa"/>
            <w:noWrap w:val="0"/>
            <w:vAlign w:val="center"/>
          </w:tcPr>
          <w:p w14:paraId="0B4B1E14">
            <w:pPr>
              <w:adjustRightInd w:val="0"/>
              <w:snapToGrid w:val="0"/>
              <w:jc w:val="center"/>
            </w:pPr>
            <w:r>
              <w:rPr>
                <w:rFonts w:hint="default" w:ascii="Times New Roman Regular" w:hAnsi="Times New Roman Regular" w:cs="Times New Roman Regular"/>
                <w:sz w:val="21"/>
                <w:szCs w:val="21"/>
                <w:highlight w:val="none"/>
              </w:rPr>
              <w:t>/</w:t>
            </w:r>
          </w:p>
        </w:tc>
      </w:tr>
      <w:tr w14:paraId="39F3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2F2B687E">
            <w:pPr>
              <w:numPr>
                <w:ilvl w:val="0"/>
                <w:numId w:val="2"/>
              </w:numPr>
              <w:adjustRightInd w:val="0"/>
              <w:snapToGrid w:val="0"/>
              <w:ind w:left="40" w:leftChars="0" w:firstLine="170" w:firstLineChars="0"/>
              <w:jc w:val="center"/>
              <w:rPr>
                <w:rFonts w:hint="eastAsia" w:hAnsi="宋体"/>
                <w:highlight w:val="none"/>
                <w:lang w:val="en-US" w:eastAsia="zh-CN"/>
              </w:rPr>
            </w:pPr>
          </w:p>
        </w:tc>
        <w:tc>
          <w:tcPr>
            <w:tcW w:w="1789" w:type="dxa"/>
            <w:noWrap w:val="0"/>
            <w:vAlign w:val="center"/>
          </w:tcPr>
          <w:p w14:paraId="0A21BD30">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响应文件首次开启</w:t>
            </w:r>
          </w:p>
          <w:p w14:paraId="17505759">
            <w:pPr>
              <w:pStyle w:val="22"/>
              <w:jc w:val="center"/>
              <w:rPr>
                <w:rFonts w:hint="eastAsia" w:ascii="Times New Roman" w:hAnsi="Times New Roman" w:eastAsia="宋体"/>
                <w:b/>
                <w:color w:val="000000"/>
                <w:kern w:val="2"/>
                <w:sz w:val="21"/>
                <w:highlight w:val="none"/>
                <w:lang w:val="en-US" w:eastAsia="zh-CN" w:bidi="ar-SA"/>
              </w:rPr>
            </w:pPr>
            <w:r>
              <w:rPr>
                <w:rFonts w:hint="default" w:ascii="Times New Roman Regular" w:hAnsi="Times New Roman Regular" w:cs="Times New Roman Regular"/>
                <w:sz w:val="21"/>
                <w:szCs w:val="21"/>
                <w:lang w:val="en-US" w:eastAsia="zh-CN"/>
              </w:rPr>
              <w:t>Ouverture initiale des dossiers de réponse</w:t>
            </w:r>
          </w:p>
        </w:tc>
        <w:tc>
          <w:tcPr>
            <w:tcW w:w="6056" w:type="dxa"/>
            <w:gridSpan w:val="2"/>
            <w:noWrap w:val="0"/>
            <w:vAlign w:val="center"/>
          </w:tcPr>
          <w:p w14:paraId="594EB85E">
            <w:pPr>
              <w:adjustRightInd w:val="0"/>
              <w:snapToGrid w:val="0"/>
              <w:rPr>
                <w:rFonts w:hint="default" w:ascii="Times New Roman Regular" w:hAnsi="Times New Roman Regular" w:eastAsia="宋体" w:cs="Times New Roman Regular"/>
                <w:sz w:val="21"/>
                <w:szCs w:val="21"/>
                <w:highlight w:val="none"/>
                <w:lang w:eastAsia="zh-CN"/>
              </w:rPr>
            </w:pPr>
            <w:r>
              <w:rPr>
                <w:rFonts w:hint="default" w:ascii="Times New Roman Regular" w:hAnsi="Times New Roman Regular" w:cs="Times New Roman Regular"/>
                <w:sz w:val="21"/>
                <w:szCs w:val="21"/>
                <w:highlight w:val="none"/>
              </w:rPr>
              <w:sym w:font="Wingdings 2" w:char="0052"/>
            </w:r>
            <w:r>
              <w:rPr>
                <w:rFonts w:hint="default" w:ascii="Times New Roman Regular" w:hAnsi="Times New Roman Regular" w:cs="Times New Roman Regular"/>
                <w:spacing w:val="-1"/>
                <w:sz w:val="21"/>
                <w:szCs w:val="21"/>
                <w:highlight w:val="none"/>
              </w:rPr>
              <w:t>公开谈判，</w:t>
            </w:r>
            <w:r>
              <w:rPr>
                <w:rFonts w:hint="default" w:ascii="Times New Roman Regular" w:hAnsi="Times New Roman Regular" w:cs="Times New Roman Regular"/>
                <w:sz w:val="21"/>
                <w:szCs w:val="21"/>
                <w:highlight w:val="none"/>
              </w:rPr>
              <w:t>在规定提交响应文件截止时间若应答人为两家时，在不违反公平、公正及竞争原则的前提下，评审小组可继续按照原程序进行谈判，若应答人为一家时，可转为直接采购</w:t>
            </w:r>
            <w:r>
              <w:rPr>
                <w:rFonts w:hint="default" w:ascii="Times New Roman Regular" w:hAnsi="Times New Roman Regular" w:cs="Times New Roman Regular"/>
                <w:sz w:val="21"/>
                <w:szCs w:val="21"/>
                <w:highlight w:val="none"/>
                <w:lang w:eastAsia="zh-CN"/>
              </w:rPr>
              <w:t>。</w:t>
            </w:r>
          </w:p>
          <w:p w14:paraId="0FC6CE6F">
            <w:pPr>
              <w:adjustRightInd w:val="0"/>
              <w:snapToGrid w:val="0"/>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pacing w:val="-1"/>
                <w:sz w:val="21"/>
                <w:szCs w:val="21"/>
                <w:highlight w:val="none"/>
              </w:rPr>
              <w:t>□邀请谈判，</w:t>
            </w:r>
            <w:r>
              <w:rPr>
                <w:rFonts w:hint="default" w:ascii="Times New Roman Regular" w:hAnsi="Times New Roman Regular" w:cs="Times New Roman Regular"/>
                <w:sz w:val="21"/>
                <w:szCs w:val="21"/>
                <w:highlight w:val="none"/>
              </w:rPr>
              <w:t>在规定提交响应文件截止时间若应答人仅为一家时，应终止本次谈判活动，转为公开采购方式进行；若项目有保密需求，可转为直接采购。</w:t>
            </w:r>
          </w:p>
          <w:p w14:paraId="4E7A4631">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 Négociation ouverte : si deux (2) soumissionnaires ont remis une offre à la date limite fixée, le comité d'évaluation peut poursuivre les négociations conformément à la procédure initialement prévue, à condition de respecter les principes d'équité, d'impartialité et de concurrence. Si un seul (1) soumissionnaire a remis une offre, la procédure peut être convertie en procédure de passation directe.</w:t>
            </w:r>
          </w:p>
          <w:p w14:paraId="6ACFA285">
            <w:pPr>
              <w:pStyle w:val="22"/>
            </w:pPr>
            <w:r>
              <w:rPr>
                <w:rFonts w:hint="default" w:ascii="Times New Roman Regular" w:hAnsi="Times New Roman Regular" w:cs="Times New Roman Regular"/>
                <w:sz w:val="21"/>
                <w:szCs w:val="21"/>
                <w:lang w:val="en-US" w:eastAsia="zh-CN"/>
              </w:rPr>
              <w:t>☐ Négociation sur invitation : si un seul (1) soumissionnaire a remis une offre à la date limite fixée, la procédure de négociation en cours doit être interrompue et remplacée par une procédure de consultation ouverte. Si le projet nécessite des mesures de confidentialité, la procédure peut être convertie en procédure de passation directe.</w:t>
            </w:r>
          </w:p>
        </w:tc>
        <w:tc>
          <w:tcPr>
            <w:tcW w:w="933" w:type="dxa"/>
            <w:noWrap w:val="0"/>
            <w:vAlign w:val="center"/>
          </w:tcPr>
          <w:p w14:paraId="7E9A7403">
            <w:pPr>
              <w:adjustRightInd w:val="0"/>
              <w:snapToGrid w:val="0"/>
              <w:jc w:val="center"/>
            </w:pPr>
            <w:r>
              <w:rPr>
                <w:rFonts w:hint="default" w:ascii="Times New Roman Regular" w:hAnsi="Times New Roman Regular" w:cs="Times New Roman Regular"/>
                <w:sz w:val="21"/>
                <w:szCs w:val="21"/>
                <w:highlight w:val="none"/>
              </w:rPr>
              <w:t>/</w:t>
            </w:r>
          </w:p>
        </w:tc>
      </w:tr>
      <w:tr w14:paraId="2AA2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51216705">
            <w:pPr>
              <w:numPr>
                <w:ilvl w:val="0"/>
                <w:numId w:val="2"/>
              </w:numPr>
              <w:adjustRightInd w:val="0"/>
              <w:snapToGrid w:val="0"/>
              <w:ind w:left="40" w:leftChars="0" w:firstLine="170" w:firstLineChars="0"/>
              <w:jc w:val="center"/>
              <w:rPr>
                <w:rFonts w:hint="eastAsia" w:hAnsi="宋体"/>
                <w:highlight w:val="none"/>
                <w:lang w:val="en-US" w:eastAsia="zh-CN"/>
              </w:rPr>
            </w:pPr>
          </w:p>
        </w:tc>
        <w:tc>
          <w:tcPr>
            <w:tcW w:w="1789" w:type="dxa"/>
            <w:noWrap w:val="0"/>
            <w:vAlign w:val="center"/>
          </w:tcPr>
          <w:p w14:paraId="0CEE73C2">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谈判轮次和顺序</w:t>
            </w:r>
          </w:p>
          <w:p w14:paraId="5E4CE779">
            <w:pPr>
              <w:pStyle w:val="22"/>
              <w:jc w:val="center"/>
              <w:rPr>
                <w:rFonts w:hint="eastAsia" w:ascii="Times New Roman" w:hAnsi="Times New Roman" w:eastAsia="宋体"/>
                <w:b/>
                <w:color w:val="000000"/>
                <w:kern w:val="2"/>
                <w:sz w:val="21"/>
                <w:highlight w:val="none"/>
                <w:lang w:val="en-US" w:eastAsia="zh-CN" w:bidi="ar-SA"/>
              </w:rPr>
            </w:pPr>
            <w:r>
              <w:rPr>
                <w:rFonts w:hint="default" w:ascii="Times New Roman Regular" w:hAnsi="Times New Roman Regular" w:cs="Times New Roman Regular"/>
                <w:sz w:val="21"/>
                <w:szCs w:val="21"/>
              </w:rPr>
              <w:t>Nombre de tours et ordre des négociations</w:t>
            </w:r>
          </w:p>
        </w:tc>
        <w:tc>
          <w:tcPr>
            <w:tcW w:w="6056" w:type="dxa"/>
            <w:gridSpan w:val="2"/>
            <w:noWrap w:val="0"/>
            <w:vAlign w:val="center"/>
          </w:tcPr>
          <w:p w14:paraId="6D9FA797">
            <w:pPr>
              <w:adjustRightInd w:val="0"/>
              <w:snapToGrid w:val="0"/>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谈判轮次不超过3轮；谈判顺序按应答人名称首字母顺序轮候。</w:t>
            </w:r>
          </w:p>
          <w:p w14:paraId="78B6392D">
            <w:pPr>
              <w:pStyle w:val="22"/>
            </w:pPr>
            <w:r>
              <w:rPr>
                <w:rFonts w:hint="default" w:ascii="Times New Roman Regular" w:hAnsi="Times New Roman Regular" w:cs="Times New Roman Regular"/>
                <w:sz w:val="21"/>
                <w:szCs w:val="21"/>
              </w:rPr>
              <w:t>Le nombre de tours de négociation ne doit pas dépasser trois (3). 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ordre de passage des soumissionnaires est déterminé selon 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ordre alphabétique de la première lettre de leur dénomination.</w:t>
            </w:r>
          </w:p>
        </w:tc>
        <w:tc>
          <w:tcPr>
            <w:tcW w:w="933" w:type="dxa"/>
            <w:noWrap w:val="0"/>
            <w:vAlign w:val="center"/>
          </w:tcPr>
          <w:p w14:paraId="0EC5FDB0">
            <w:pPr>
              <w:adjustRightInd w:val="0"/>
              <w:snapToGrid w:val="0"/>
              <w:jc w:val="center"/>
            </w:pPr>
            <w:r>
              <w:rPr>
                <w:rFonts w:hint="default" w:ascii="Times New Roman Regular" w:hAnsi="Times New Roman Regular" w:cs="Times New Roman Regular"/>
                <w:sz w:val="21"/>
                <w:szCs w:val="21"/>
                <w:highlight w:val="none"/>
              </w:rPr>
              <w:t>4.4.2</w:t>
            </w:r>
          </w:p>
        </w:tc>
      </w:tr>
      <w:tr w14:paraId="6470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67F0C6BF">
            <w:pPr>
              <w:numPr>
                <w:ilvl w:val="0"/>
                <w:numId w:val="2"/>
              </w:numPr>
              <w:adjustRightInd w:val="0"/>
              <w:snapToGrid w:val="0"/>
              <w:ind w:left="40" w:leftChars="0" w:firstLine="170" w:firstLineChars="0"/>
              <w:jc w:val="center"/>
              <w:rPr>
                <w:rFonts w:hint="eastAsia" w:hAnsi="宋体"/>
                <w:highlight w:val="none"/>
                <w:lang w:val="en-US" w:eastAsia="zh-CN"/>
              </w:rPr>
            </w:pPr>
          </w:p>
        </w:tc>
        <w:tc>
          <w:tcPr>
            <w:tcW w:w="1789" w:type="dxa"/>
            <w:noWrap w:val="0"/>
            <w:vAlign w:val="center"/>
          </w:tcPr>
          <w:p w14:paraId="1F66273E">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lang w:val="en-US" w:eastAsia="zh-CN"/>
              </w:rPr>
              <w:t>应答</w:t>
            </w:r>
            <w:r>
              <w:rPr>
                <w:rFonts w:hint="default" w:ascii="Times New Roman Regular" w:hAnsi="Times New Roman Regular" w:cs="Times New Roman Regular"/>
                <w:sz w:val="21"/>
                <w:szCs w:val="21"/>
                <w:highlight w:val="none"/>
              </w:rPr>
              <w:t>保证金</w:t>
            </w:r>
          </w:p>
          <w:p w14:paraId="648951F3">
            <w:pPr>
              <w:pStyle w:val="22"/>
              <w:jc w:val="center"/>
              <w:rPr>
                <w:rFonts w:hint="eastAsia" w:ascii="Times New Roman" w:hAnsi="Times New Roman" w:eastAsia="宋体"/>
                <w:b/>
                <w:color w:val="000000"/>
                <w:kern w:val="2"/>
                <w:sz w:val="21"/>
                <w:highlight w:val="none"/>
                <w:lang w:val="en-US" w:eastAsia="zh-CN" w:bidi="ar-SA"/>
              </w:rPr>
            </w:pPr>
            <w:r>
              <w:rPr>
                <w:rFonts w:hint="default" w:ascii="Times New Roman Regular" w:hAnsi="Times New Roman Regular" w:cs="Times New Roman Regular"/>
                <w:sz w:val="21"/>
                <w:szCs w:val="21"/>
                <w:lang w:val="en-US" w:eastAsia="zh-CN"/>
              </w:rPr>
              <w:t>Garantie de soumission</w:t>
            </w:r>
          </w:p>
        </w:tc>
        <w:tc>
          <w:tcPr>
            <w:tcW w:w="6056" w:type="dxa"/>
            <w:gridSpan w:val="2"/>
            <w:noWrap w:val="0"/>
            <w:vAlign w:val="center"/>
          </w:tcPr>
          <w:p w14:paraId="080994E7">
            <w:pPr>
              <w:adjustRightInd w:val="0"/>
              <w:snapToGrid w:val="0"/>
              <w:rPr>
                <w:rFonts w:hint="default" w:ascii="Times New Roman Regular" w:hAnsi="Times New Roman Regular" w:cs="Times New Roman Regular"/>
                <w:sz w:val="21"/>
                <w:szCs w:val="21"/>
                <w:highlight w:val="none"/>
                <w:lang w:val="en-US" w:eastAsia="zh-CN"/>
              </w:rPr>
            </w:pPr>
            <w:r>
              <w:rPr>
                <w:rFonts w:hint="default" w:ascii="Times New Roman Regular" w:hAnsi="Times New Roman Regular" w:cs="Times New Roman Regular"/>
                <w:sz w:val="21"/>
                <w:szCs w:val="21"/>
                <w:highlight w:val="none"/>
              </w:rPr>
              <w:sym w:font="Wingdings 2" w:char="0052"/>
            </w:r>
            <w:r>
              <w:rPr>
                <w:rFonts w:hint="default" w:ascii="Times New Roman Regular" w:hAnsi="Times New Roman Regular" w:cs="Times New Roman Regular"/>
                <w:sz w:val="21"/>
                <w:szCs w:val="21"/>
                <w:highlight w:val="none"/>
                <w:lang w:val="en-US" w:eastAsia="zh-CN"/>
              </w:rPr>
              <w:t>自主采购：不要求</w:t>
            </w:r>
          </w:p>
          <w:p w14:paraId="2524B764">
            <w:pPr>
              <w:adjustRightInd w:val="0"/>
              <w:snapToGrid w:val="0"/>
              <w:rPr>
                <w:rFonts w:hint="default" w:ascii="Times New Roman Regular" w:hAnsi="Times New Roman Regular" w:cs="Times New Roman Regular"/>
                <w:sz w:val="21"/>
                <w:szCs w:val="21"/>
                <w:highlight w:val="none"/>
                <w:lang w:val="en-US" w:eastAsia="zh-CN"/>
              </w:rPr>
            </w:pPr>
            <w:r>
              <w:rPr>
                <w:rFonts w:hint="default" w:ascii="Times New Roman Regular" w:hAnsi="Times New Roman Regular" w:cs="Times New Roman Regular"/>
                <w:sz w:val="21"/>
                <w:szCs w:val="21"/>
                <w:highlight w:val="none"/>
              </w:rPr>
              <w:sym w:font="Wingdings 2" w:char="00A3"/>
            </w:r>
            <w:r>
              <w:rPr>
                <w:rFonts w:hint="default" w:ascii="Times New Roman Regular" w:hAnsi="Times New Roman Regular" w:cs="Times New Roman Regular"/>
                <w:sz w:val="21"/>
                <w:szCs w:val="21"/>
                <w:highlight w:val="none"/>
                <w:lang w:val="en-US" w:eastAsia="zh-CN"/>
              </w:rPr>
              <w:t>委托采购：要求</w:t>
            </w:r>
          </w:p>
          <w:p w14:paraId="65CB669E">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 Achat effectué en propre : non exigée.</w:t>
            </w:r>
          </w:p>
          <w:p w14:paraId="4B4B170F">
            <w:pPr>
              <w:pStyle w:val="22"/>
            </w:pPr>
            <w:r>
              <w:rPr>
                <w:rFonts w:hint="default" w:ascii="Times New Roman Regular" w:hAnsi="Times New Roman Regular" w:cs="Times New Roman Regular"/>
                <w:sz w:val="21"/>
                <w:szCs w:val="21"/>
                <w:lang w:val="en-US" w:eastAsia="zh-CN"/>
              </w:rPr>
              <w:t>☐ Achat effectué par délégation : exigée.</w:t>
            </w:r>
          </w:p>
        </w:tc>
        <w:tc>
          <w:tcPr>
            <w:tcW w:w="933" w:type="dxa"/>
            <w:noWrap w:val="0"/>
            <w:vAlign w:val="center"/>
          </w:tcPr>
          <w:p w14:paraId="2AD9ED17">
            <w:pPr>
              <w:adjustRightInd w:val="0"/>
              <w:snapToGrid w:val="0"/>
              <w:jc w:val="center"/>
            </w:pPr>
            <w:r>
              <w:rPr>
                <w:rFonts w:hint="default" w:ascii="Times New Roman Regular" w:hAnsi="Times New Roman Regular" w:cs="Times New Roman Regular"/>
                <w:sz w:val="21"/>
                <w:szCs w:val="21"/>
                <w:highlight w:val="none"/>
              </w:rPr>
              <w:t>/</w:t>
            </w:r>
          </w:p>
        </w:tc>
      </w:tr>
      <w:tr w14:paraId="3EE5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094DF973">
            <w:pPr>
              <w:numPr>
                <w:ilvl w:val="0"/>
                <w:numId w:val="2"/>
              </w:numPr>
              <w:adjustRightInd w:val="0"/>
              <w:snapToGrid w:val="0"/>
              <w:ind w:left="40" w:leftChars="0" w:firstLine="170" w:firstLineChars="0"/>
              <w:jc w:val="center"/>
              <w:rPr>
                <w:rFonts w:hint="eastAsia" w:hAnsi="宋体"/>
                <w:highlight w:val="none"/>
                <w:lang w:val="en-US" w:eastAsia="zh-CN"/>
              </w:rPr>
            </w:pPr>
          </w:p>
        </w:tc>
        <w:tc>
          <w:tcPr>
            <w:tcW w:w="1789" w:type="dxa"/>
            <w:noWrap w:val="0"/>
            <w:vAlign w:val="center"/>
          </w:tcPr>
          <w:p w14:paraId="66C1C099">
            <w:pPr>
              <w:jc w:val="center"/>
              <w:rPr>
                <w:rFonts w:hint="default" w:ascii="Times New Roman Regular" w:hAnsi="Times New Roman Regular" w:cs="Times New Roman Regular"/>
                <w:color w:val="000000"/>
                <w:sz w:val="21"/>
                <w:szCs w:val="21"/>
                <w:highlight w:val="none"/>
                <w:lang w:val="en-US" w:eastAsia="zh-CN"/>
              </w:rPr>
            </w:pPr>
            <w:r>
              <w:rPr>
                <w:rFonts w:hint="default" w:ascii="Times New Roman Regular" w:hAnsi="Times New Roman Regular" w:cs="Times New Roman Regular"/>
                <w:color w:val="000000"/>
                <w:sz w:val="21"/>
                <w:szCs w:val="21"/>
                <w:highlight w:val="none"/>
                <w:lang w:val="en-US" w:eastAsia="zh-CN"/>
              </w:rPr>
              <w:t>首次响应文件编制要求</w:t>
            </w:r>
          </w:p>
          <w:p w14:paraId="6F1B79F6">
            <w:pPr>
              <w:pStyle w:val="22"/>
              <w:jc w:val="center"/>
              <w:rPr>
                <w:rFonts w:hint="eastAsia" w:ascii="Times New Roman" w:hAnsi="Times New Roman" w:eastAsia="宋体"/>
                <w:b/>
                <w:color w:val="000000"/>
                <w:kern w:val="2"/>
                <w:sz w:val="21"/>
                <w:highlight w:val="none"/>
                <w:lang w:val="en-US" w:eastAsia="zh-CN" w:bidi="ar-SA"/>
              </w:rPr>
            </w:pPr>
            <w:r>
              <w:rPr>
                <w:rFonts w:hint="default" w:ascii="Times New Roman Regular" w:hAnsi="Times New Roman Regular" w:cs="Times New Roman Regular"/>
                <w:sz w:val="21"/>
                <w:szCs w:val="21"/>
                <w:lang w:val="en-US" w:eastAsia="zh-CN"/>
              </w:rPr>
              <w:t>Exigences relatives à l'élaboration du dossier de réponse initial</w:t>
            </w:r>
          </w:p>
        </w:tc>
        <w:tc>
          <w:tcPr>
            <w:tcW w:w="6056" w:type="dxa"/>
            <w:gridSpan w:val="2"/>
            <w:noWrap w:val="0"/>
            <w:vAlign w:val="center"/>
          </w:tcPr>
          <w:p w14:paraId="2879BBFC">
            <w:pPr>
              <w:adjustRightInd w:val="0"/>
              <w:snapToGrid w:val="0"/>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1.</w:t>
            </w:r>
            <w:r>
              <w:rPr>
                <w:rFonts w:hint="default" w:ascii="Times New Roman Regular" w:hAnsi="Times New Roman Regular" w:cs="Times New Roman Regular"/>
                <w:sz w:val="21"/>
                <w:szCs w:val="21"/>
                <w:highlight w:val="none"/>
                <w:lang w:val="en-US" w:eastAsia="zh-CN"/>
              </w:rPr>
              <w:t>首次</w:t>
            </w:r>
            <w:r>
              <w:rPr>
                <w:rFonts w:hint="default" w:ascii="Times New Roman Regular" w:hAnsi="Times New Roman Regular" w:cs="Times New Roman Regular"/>
                <w:sz w:val="21"/>
                <w:szCs w:val="21"/>
                <w:highlight w:val="none"/>
              </w:rPr>
              <w:t>响应文件按</w:t>
            </w:r>
            <w:r>
              <w:rPr>
                <w:rFonts w:hint="default" w:ascii="Times New Roman Regular" w:hAnsi="Times New Roman Regular" w:cs="Times New Roman Regular"/>
                <w:sz w:val="21"/>
                <w:szCs w:val="21"/>
                <w:highlight w:val="none"/>
                <w:lang w:val="en-US" w:eastAsia="zh-CN"/>
              </w:rPr>
              <w:t>商务</w:t>
            </w:r>
            <w:r>
              <w:rPr>
                <w:rFonts w:hint="default" w:ascii="Times New Roman Regular" w:hAnsi="Times New Roman Regular" w:cs="Times New Roman Regular"/>
                <w:sz w:val="21"/>
                <w:szCs w:val="21"/>
                <w:highlight w:val="none"/>
                <w:lang w:eastAsia="zh-CN"/>
              </w:rPr>
              <w:t>、</w:t>
            </w:r>
            <w:r>
              <w:rPr>
                <w:rFonts w:hint="default" w:ascii="Times New Roman Regular" w:hAnsi="Times New Roman Regular" w:cs="Times New Roman Regular"/>
                <w:sz w:val="21"/>
                <w:szCs w:val="21"/>
                <w:highlight w:val="none"/>
                <w:lang w:val="en-US" w:eastAsia="zh-CN"/>
              </w:rPr>
              <w:t>技术</w:t>
            </w:r>
            <w:r>
              <w:rPr>
                <w:rFonts w:hint="default" w:ascii="Times New Roman Regular" w:hAnsi="Times New Roman Regular" w:cs="Times New Roman Regular"/>
                <w:sz w:val="21"/>
                <w:szCs w:val="21"/>
                <w:highlight w:val="none"/>
              </w:rPr>
              <w:t>部分（也称文件A）和价格部分（也称文件B）须分开编制，单独上传，详细要求见第四章响应文件格式。</w:t>
            </w:r>
          </w:p>
          <w:p w14:paraId="3FF4B8E5">
            <w:pPr>
              <w:adjustRightInd w:val="0"/>
              <w:snapToGrid w:val="0"/>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2.响应文件为PDF文件，当采购系统报价与响应文件B中报价汇总表总金额之间有差异时，以PDF文件为准；所有报价价格表须同时提供Word或Excel格式文件。</w:t>
            </w:r>
          </w:p>
          <w:p w14:paraId="52812E1B">
            <w:pP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3.响应文件命名统一采用如“公司名称+××项目响应文件A”、“公司名称+××项目响应文件B”方式。</w:t>
            </w:r>
          </w:p>
          <w:p w14:paraId="3F94BD0D">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Le dossier de réponse initial doit être établi séparément en deux parties : la partie commerciale et technique (également désignée « Dossier A ») et la partie financière (également désignée « Dossier B »). Ces deux parties doivent être téléversées séparément. Pour plus de détails, se reporter au Chapitre IV – Format du dossier de réponse.</w:t>
            </w:r>
          </w:p>
          <w:p w14:paraId="6920A943">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Le dossier de réponse doit être fourni au format PDF. En cas de divergence entre le montant de l'offre saisi dans le système de passation des achats et le montant total figurant dans le tableau récapitulatif des prix du Dossier B, le montant figurant dans le fichier PDF prévaut. Tous les tableaux de prix doivent également être fournis au format Word ou Excel.</w:t>
            </w:r>
          </w:p>
          <w:p w14:paraId="0F8E05A2">
            <w:pPr>
              <w:pStyle w:val="22"/>
            </w:pPr>
            <w:r>
              <w:rPr>
                <w:rFonts w:hint="default" w:ascii="Times New Roman Regular" w:hAnsi="Times New Roman Regular" w:cs="Times New Roman Regular"/>
                <w:sz w:val="21"/>
                <w:szCs w:val="21"/>
                <w:lang w:val="en-US" w:eastAsia="zh-CN"/>
              </w:rPr>
              <w:t>Les dossiers de réponse doivent être nommés selon le format suivant : « Nom de la société + Réponse à l'appel d'offres du projet XX – Dossier A » et « Nom de la société + Réponse à l'appel d'offres du projet XX – Dossier B ».</w:t>
            </w:r>
          </w:p>
        </w:tc>
        <w:tc>
          <w:tcPr>
            <w:tcW w:w="933" w:type="dxa"/>
            <w:noWrap w:val="0"/>
            <w:vAlign w:val="center"/>
          </w:tcPr>
          <w:p w14:paraId="5B11B184">
            <w:pPr>
              <w:adjustRightInd w:val="0"/>
              <w:snapToGrid w:val="0"/>
              <w:jc w:val="center"/>
            </w:pPr>
            <w:r>
              <w:rPr>
                <w:rFonts w:hint="default" w:ascii="Times New Roman Regular" w:hAnsi="Times New Roman Regular" w:cs="Times New Roman Regular"/>
                <w:sz w:val="21"/>
                <w:szCs w:val="21"/>
                <w:highlight w:val="none"/>
              </w:rPr>
              <w:t>/</w:t>
            </w:r>
          </w:p>
        </w:tc>
      </w:tr>
      <w:tr w14:paraId="49EC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52B685DB">
            <w:pPr>
              <w:numPr>
                <w:ilvl w:val="0"/>
                <w:numId w:val="2"/>
              </w:numPr>
              <w:adjustRightInd w:val="0"/>
              <w:snapToGrid w:val="0"/>
              <w:ind w:left="40" w:leftChars="0" w:firstLine="170" w:firstLineChars="0"/>
              <w:jc w:val="center"/>
              <w:rPr>
                <w:rFonts w:hint="eastAsia" w:hAnsi="宋体"/>
                <w:highlight w:val="none"/>
                <w:lang w:val="en-US" w:eastAsia="zh-CN"/>
              </w:rPr>
            </w:pPr>
          </w:p>
        </w:tc>
        <w:tc>
          <w:tcPr>
            <w:tcW w:w="1789" w:type="dxa"/>
            <w:noWrap w:val="0"/>
            <w:vAlign w:val="center"/>
          </w:tcPr>
          <w:p w14:paraId="368936C9">
            <w:pPr>
              <w:jc w:val="center"/>
              <w:rPr>
                <w:rFonts w:hint="default" w:ascii="Times New Roman Regular" w:hAnsi="Times New Roman Regular" w:cs="Times New Roman Regular"/>
                <w:color w:val="000000"/>
                <w:sz w:val="21"/>
                <w:szCs w:val="21"/>
                <w:highlight w:val="none"/>
                <w:lang w:val="en-US" w:eastAsia="zh-CN"/>
              </w:rPr>
            </w:pPr>
            <w:r>
              <w:rPr>
                <w:rFonts w:hint="default" w:ascii="Times New Roman Regular" w:hAnsi="Times New Roman Regular" w:cs="Times New Roman Regular"/>
                <w:color w:val="000000"/>
                <w:sz w:val="21"/>
                <w:szCs w:val="21"/>
                <w:highlight w:val="none"/>
                <w:lang w:val="en-US" w:eastAsia="zh-CN"/>
              </w:rPr>
              <w:t>谈判回复文件要求</w:t>
            </w:r>
          </w:p>
          <w:p w14:paraId="1B6C0052">
            <w:pPr>
              <w:pStyle w:val="22"/>
              <w:jc w:val="center"/>
              <w:rPr>
                <w:rFonts w:hint="eastAsia" w:ascii="Times New Roman" w:hAnsi="Times New Roman" w:eastAsia="宋体"/>
                <w:b/>
                <w:color w:val="000000"/>
                <w:kern w:val="2"/>
                <w:sz w:val="21"/>
                <w:highlight w:val="none"/>
                <w:lang w:val="en-US" w:eastAsia="zh-CN" w:bidi="ar-SA"/>
              </w:rPr>
            </w:pPr>
            <w:r>
              <w:rPr>
                <w:rFonts w:hint="default" w:ascii="Times New Roman Regular" w:hAnsi="Times New Roman Regular" w:cs="Times New Roman Regular"/>
                <w:sz w:val="21"/>
                <w:szCs w:val="21"/>
                <w:lang w:val="en-US" w:eastAsia="zh-CN"/>
              </w:rPr>
              <w:t>Exigences relatives aux réponses aux négociations</w:t>
            </w:r>
          </w:p>
        </w:tc>
        <w:tc>
          <w:tcPr>
            <w:tcW w:w="6056" w:type="dxa"/>
            <w:gridSpan w:val="2"/>
            <w:noWrap w:val="0"/>
            <w:vAlign w:val="center"/>
          </w:tcPr>
          <w:p w14:paraId="174ED769">
            <w:pPr>
              <w:adjustRightInd w:val="0"/>
              <w:snapToGrid w:val="0"/>
              <w:jc w:val="left"/>
              <w:rPr>
                <w:rFonts w:hint="default" w:ascii="Times New Roman Regular" w:hAnsi="Times New Roman Regular" w:eastAsia="宋体" w:cs="Times New Roman Regular"/>
                <w:sz w:val="21"/>
                <w:szCs w:val="21"/>
                <w:highlight w:val="none"/>
              </w:rPr>
            </w:pPr>
            <w:r>
              <w:rPr>
                <w:rFonts w:hint="default" w:ascii="Times New Roman Regular" w:hAnsi="Times New Roman Regular" w:eastAsia="宋体" w:cs="Times New Roman Regular"/>
                <w:sz w:val="21"/>
                <w:szCs w:val="21"/>
                <w:highlight w:val="none"/>
              </w:rPr>
              <w:t>谈判</w:t>
            </w:r>
            <w:r>
              <w:rPr>
                <w:rFonts w:hint="default" w:ascii="Times New Roman Regular" w:hAnsi="Times New Roman Regular" w:eastAsia="宋体" w:cs="Times New Roman Regular"/>
                <w:sz w:val="21"/>
                <w:szCs w:val="21"/>
                <w:highlight w:val="none"/>
                <w:lang w:val="en-US" w:eastAsia="zh-CN"/>
              </w:rPr>
              <w:t>回复</w:t>
            </w:r>
            <w:r>
              <w:rPr>
                <w:rFonts w:hint="default" w:ascii="Times New Roman Regular" w:hAnsi="Times New Roman Regular" w:eastAsia="宋体" w:cs="Times New Roman Regular"/>
                <w:sz w:val="21"/>
                <w:szCs w:val="21"/>
                <w:highlight w:val="none"/>
              </w:rPr>
              <w:t>文件内容以供需双方谈判确认结果为准，须在采购人</w:t>
            </w:r>
            <w:r>
              <w:rPr>
                <w:rFonts w:hint="default" w:ascii="Times New Roman Regular" w:hAnsi="Times New Roman Regular" w:eastAsia="宋体" w:cs="Times New Roman Regular"/>
                <w:sz w:val="21"/>
                <w:szCs w:val="21"/>
                <w:highlight w:val="none"/>
                <w:lang w:val="en-US" w:eastAsia="zh-CN"/>
              </w:rPr>
              <w:t>规定</w:t>
            </w:r>
            <w:r>
              <w:rPr>
                <w:rFonts w:hint="default" w:ascii="Times New Roman Regular" w:hAnsi="Times New Roman Regular" w:eastAsia="宋体" w:cs="Times New Roman Regular"/>
                <w:sz w:val="21"/>
                <w:szCs w:val="21"/>
                <w:highlight w:val="none"/>
              </w:rPr>
              <w:t>时限内上传</w:t>
            </w:r>
            <w:r>
              <w:rPr>
                <w:rFonts w:hint="default" w:ascii="Times New Roman Regular" w:hAnsi="Times New Roman Regular" w:cs="Times New Roman Regular"/>
                <w:sz w:val="21"/>
                <w:szCs w:val="21"/>
                <w:highlight w:val="none"/>
                <w:lang w:val="en-US" w:eastAsia="zh-CN"/>
              </w:rPr>
              <w:t>邮箱</w:t>
            </w:r>
            <w:r>
              <w:rPr>
                <w:rFonts w:hint="default" w:ascii="Times New Roman Regular" w:hAnsi="Times New Roman Regular" w:cs="Times New Roman Regular"/>
                <w:sz w:val="21"/>
                <w:szCs w:val="21"/>
                <w:lang w:val="fr-FR"/>
              </w:rPr>
              <w:t>zbcg@spicld.com</w:t>
            </w:r>
            <w:r>
              <w:rPr>
                <w:rFonts w:hint="default" w:ascii="Times New Roman Regular" w:hAnsi="Times New Roman Regular" w:eastAsia="宋体" w:cs="Times New Roman Regular"/>
                <w:sz w:val="21"/>
                <w:szCs w:val="21"/>
                <w:highlight w:val="none"/>
                <w:lang w:val="en-US" w:eastAsia="zh-CN"/>
              </w:rPr>
              <w:t>，</w:t>
            </w:r>
            <w:r>
              <w:rPr>
                <w:rFonts w:hint="default" w:ascii="Times New Roman Regular" w:hAnsi="Times New Roman Regular" w:eastAsia="宋体" w:cs="Times New Roman Regular"/>
                <w:sz w:val="21"/>
                <w:szCs w:val="21"/>
                <w:highlight w:val="none"/>
              </w:rPr>
              <w:t>对于应答人未在规定时间内提交报价的，评审小组有权否决其响应文件，未予否决的，应当以其最后一轮提交的有效报价为准；书面明确退出谈判的，应否决其响应文件。</w:t>
            </w:r>
          </w:p>
          <w:p w14:paraId="0C63253B">
            <w:pPr>
              <w:pStyle w:val="22"/>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Le contenu des réponses aux négociations doit correspondre aux résultats convenus entre le fournisseur et l'acheteur à l'issue des négociations. Les dossiers correspondants doivent être téléversés à l'adresse électronique zbcg@spicld.com dans le délai fixé par l'acheteur.</w:t>
            </w:r>
          </w:p>
          <w:p w14:paraId="2AC9CAAE">
            <w:pPr>
              <w:pStyle w:val="22"/>
            </w:pPr>
            <w:r>
              <w:rPr>
                <w:rFonts w:hint="default" w:ascii="Times New Roman Regular" w:hAnsi="Times New Roman Regular" w:cs="Times New Roman Regular"/>
                <w:sz w:val="21"/>
                <w:szCs w:val="21"/>
                <w:lang w:val="en-US" w:eastAsia="zh-CN"/>
              </w:rPr>
              <w:t>Si un soumissionnaire ne soumet pas son offre financière dans le délai imparti, le comité d'évaluation est habilité à rejeter son dossier de réponse. Si le dossier n'est pas rejeté, la dernière offre financière valide soumise par le soumissionnaire sera retenue. Tout soumissionnaire qui déclare explicitement par écrit se retirer des négociations verra son dossier de réponse rejeté.</w:t>
            </w:r>
          </w:p>
        </w:tc>
        <w:tc>
          <w:tcPr>
            <w:tcW w:w="933" w:type="dxa"/>
            <w:noWrap w:val="0"/>
            <w:vAlign w:val="center"/>
          </w:tcPr>
          <w:p w14:paraId="075FD9D9">
            <w:pPr>
              <w:adjustRightInd w:val="0"/>
              <w:snapToGrid w:val="0"/>
              <w:jc w:val="center"/>
            </w:pPr>
            <w:r>
              <w:rPr>
                <w:rFonts w:hint="default" w:ascii="Times New Roman Regular" w:hAnsi="Times New Roman Regular" w:cs="Times New Roman Regular"/>
                <w:sz w:val="21"/>
                <w:szCs w:val="21"/>
                <w:highlight w:val="none"/>
              </w:rPr>
              <w:t>/</w:t>
            </w:r>
          </w:p>
        </w:tc>
      </w:tr>
      <w:tr w14:paraId="4F80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3915EC2D">
            <w:pPr>
              <w:numPr>
                <w:ilvl w:val="0"/>
                <w:numId w:val="2"/>
              </w:numPr>
              <w:adjustRightInd w:val="0"/>
              <w:snapToGrid w:val="0"/>
              <w:ind w:left="40" w:leftChars="0" w:firstLine="170" w:firstLineChars="0"/>
              <w:jc w:val="center"/>
              <w:rPr>
                <w:rFonts w:hint="eastAsia" w:hAnsi="宋体"/>
                <w:highlight w:val="none"/>
                <w:lang w:val="en-US" w:eastAsia="zh-CN"/>
              </w:rPr>
            </w:pPr>
          </w:p>
        </w:tc>
        <w:tc>
          <w:tcPr>
            <w:tcW w:w="1789" w:type="dxa"/>
            <w:noWrap w:val="0"/>
            <w:vAlign w:val="center"/>
          </w:tcPr>
          <w:p w14:paraId="25E675A3">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异议及投诉受理</w:t>
            </w:r>
          </w:p>
          <w:p w14:paraId="360E5998">
            <w:pPr>
              <w:pStyle w:val="22"/>
              <w:jc w:val="center"/>
              <w:rPr>
                <w:rFonts w:hint="eastAsia" w:ascii="Times New Roman" w:hAnsi="Times New Roman" w:eastAsia="宋体"/>
                <w:b/>
                <w:color w:val="000000"/>
                <w:kern w:val="2"/>
                <w:sz w:val="21"/>
                <w:highlight w:val="none"/>
                <w:lang w:val="en-US" w:eastAsia="zh-CN" w:bidi="ar-SA"/>
              </w:rPr>
            </w:pPr>
            <w:r>
              <w:rPr>
                <w:rFonts w:hint="default" w:ascii="Times New Roman Regular" w:hAnsi="Times New Roman Regular" w:cs="Times New Roman Regular"/>
                <w:sz w:val="21"/>
                <w:szCs w:val="21"/>
                <w:lang w:val="en-US" w:eastAsia="zh-CN"/>
              </w:rPr>
              <w:t>Réception des objections et des réclamations</w:t>
            </w:r>
          </w:p>
        </w:tc>
        <w:tc>
          <w:tcPr>
            <w:tcW w:w="6056" w:type="dxa"/>
            <w:gridSpan w:val="2"/>
            <w:noWrap w:val="0"/>
            <w:vAlign w:val="center"/>
          </w:tcPr>
          <w:p w14:paraId="4DD02949">
            <w:pPr>
              <w:adjustRightInd w:val="0"/>
              <w:snapToGrid w:val="0"/>
              <w:rPr>
                <w:rFonts w:hint="eastAsia" w:ascii="Times New Roman Regular" w:hAnsi="Times New Roman Regular" w:cs="Times New Roman Regular"/>
                <w:sz w:val="21"/>
                <w:szCs w:val="21"/>
                <w:highlight w:val="none"/>
                <w:lang w:val="en-US" w:eastAsia="zh-CN"/>
              </w:rPr>
            </w:pPr>
            <w:r>
              <w:rPr>
                <w:rFonts w:hint="default" w:ascii="Times New Roman Regular" w:hAnsi="Times New Roman Regular" w:cs="Times New Roman Regular"/>
                <w:sz w:val="21"/>
                <w:szCs w:val="21"/>
                <w:highlight w:val="none"/>
              </w:rPr>
              <w:t>单位（部门）：国家电投集团铝电投资有限公司</w:t>
            </w:r>
            <w:r>
              <w:rPr>
                <w:rFonts w:hint="eastAsia" w:ascii="Times New Roman Regular" w:hAnsi="Times New Roman Regular" w:cs="Times New Roman Regular"/>
                <w:sz w:val="21"/>
                <w:szCs w:val="21"/>
                <w:highlight w:val="none"/>
                <w:lang w:val="en-US" w:eastAsia="zh-CN"/>
              </w:rPr>
              <w:t>市场部</w:t>
            </w:r>
          </w:p>
          <w:p w14:paraId="60737408">
            <w:pPr>
              <w:adjustRightInd w:val="0"/>
              <w:snapToGrid w:val="0"/>
              <w:rPr>
                <w:rFonts w:hint="default" w:ascii="Times New Roman Regular" w:hAnsi="Times New Roman Regular" w:eastAsia="宋体" w:cs="Times New Roman Regular"/>
                <w:sz w:val="21"/>
                <w:szCs w:val="21"/>
                <w:highlight w:val="none"/>
                <w:lang w:val="en-US" w:eastAsia="zh-CN"/>
              </w:rPr>
            </w:pPr>
            <w:r>
              <w:rPr>
                <w:rFonts w:hint="default" w:ascii="Times New Roman Regular" w:hAnsi="Times New Roman Regular" w:cs="Times New Roman Regular"/>
                <w:sz w:val="21"/>
                <w:szCs w:val="21"/>
                <w:highlight w:val="none"/>
              </w:rPr>
              <w:t>联系电话：0951-6665</w:t>
            </w:r>
            <w:r>
              <w:rPr>
                <w:rFonts w:hint="eastAsia" w:ascii="Times New Roman Regular" w:hAnsi="Times New Roman Regular" w:cs="Times New Roman Regular"/>
                <w:sz w:val="21"/>
                <w:szCs w:val="21"/>
                <w:highlight w:val="none"/>
                <w:lang w:val="en-US" w:eastAsia="zh-CN"/>
              </w:rPr>
              <w:t>740</w:t>
            </w:r>
          </w:p>
          <w:p w14:paraId="4CF0EF70">
            <w:pPr>
              <w:adjustRightInd w:val="0"/>
              <w:snapToGrid w:val="0"/>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邮箱：</w:t>
            </w:r>
            <w:r>
              <w:rPr>
                <w:rFonts w:hint="default" w:ascii="Times New Roman Regular" w:hAnsi="Times New Roman Regular" w:cs="Times New Roman Regular"/>
                <w:sz w:val="21"/>
                <w:szCs w:val="21"/>
                <w:highlight w:val="none"/>
              </w:rPr>
              <w:fldChar w:fldCharType="begin"/>
            </w:r>
            <w:r>
              <w:rPr>
                <w:rFonts w:hint="default" w:ascii="Times New Roman Regular" w:hAnsi="Times New Roman Regular" w:cs="Times New Roman Regular"/>
                <w:sz w:val="21"/>
                <w:szCs w:val="21"/>
                <w:highlight w:val="none"/>
              </w:rPr>
              <w:instrText xml:space="preserve"> HYPERLINK "mailto:falvshiwu@spic.com.cn" </w:instrText>
            </w:r>
            <w:r>
              <w:rPr>
                <w:rFonts w:hint="default" w:ascii="Times New Roman Regular" w:hAnsi="Times New Roman Regular" w:cs="Times New Roman Regular"/>
                <w:sz w:val="21"/>
                <w:szCs w:val="21"/>
                <w:highlight w:val="none"/>
              </w:rPr>
              <w:fldChar w:fldCharType="separate"/>
            </w:r>
            <w:r>
              <w:rPr>
                <w:rStyle w:val="41"/>
                <w:rFonts w:hint="default" w:ascii="Times New Roman Regular" w:hAnsi="Times New Roman Regular" w:cs="Times New Roman Regular"/>
                <w:sz w:val="21"/>
                <w:szCs w:val="21"/>
                <w:highlight w:val="none"/>
              </w:rPr>
              <w:t>mkt_sc_supervis@spic.com.cn</w:t>
            </w:r>
            <w:r>
              <w:rPr>
                <w:rStyle w:val="41"/>
                <w:rFonts w:hint="default" w:ascii="Times New Roman Regular" w:hAnsi="Times New Roman Regular" w:cs="Times New Roman Regular"/>
                <w:sz w:val="21"/>
                <w:szCs w:val="21"/>
                <w:highlight w:val="none"/>
              </w:rPr>
              <w:br w:type="textWrapping"/>
            </w:r>
            <w:r>
              <w:rPr>
                <w:rFonts w:hint="default" w:ascii="Times New Roman Regular" w:hAnsi="Times New Roman Regular" w:cs="Times New Roman Regular"/>
                <w:sz w:val="21"/>
                <w:szCs w:val="21"/>
                <w:highlight w:val="none"/>
              </w:rPr>
              <w:fldChar w:fldCharType="end"/>
            </w:r>
            <w:r>
              <w:rPr>
                <w:rFonts w:hint="default" w:ascii="Times New Roman Regular" w:hAnsi="Times New Roman Regular" w:cs="Times New Roman Regular"/>
                <w:sz w:val="21"/>
                <w:szCs w:val="21"/>
                <w:highlight w:val="none"/>
              </w:rPr>
              <w:t>Organisme (département) : Département juridique et de gestion des risques de SPIC Aluminum &amp; Power Investment Co., Ltd.</w:t>
            </w:r>
          </w:p>
          <w:p w14:paraId="2696B5CC">
            <w:pPr>
              <w:adjustRightInd w:val="0"/>
              <w:snapToGrid w:val="0"/>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Téléphone : 0951-6665057</w:t>
            </w:r>
          </w:p>
          <w:p w14:paraId="0529CDFC">
            <w:pPr>
              <w:adjustRightInd w:val="0"/>
              <w:snapToGrid w:val="0"/>
            </w:pPr>
            <w:r>
              <w:rPr>
                <w:rFonts w:hint="default" w:ascii="Times New Roman Regular" w:hAnsi="Times New Roman Regular" w:cs="Times New Roman Regular"/>
                <w:sz w:val="21"/>
                <w:szCs w:val="21"/>
                <w:highlight w:val="none"/>
              </w:rPr>
              <w:t>Courriel : falvshiwu@spic.com.cn</w:t>
            </w:r>
          </w:p>
        </w:tc>
        <w:tc>
          <w:tcPr>
            <w:tcW w:w="933" w:type="dxa"/>
            <w:noWrap w:val="0"/>
            <w:vAlign w:val="center"/>
          </w:tcPr>
          <w:p w14:paraId="67258307">
            <w:pPr>
              <w:adjustRightInd w:val="0"/>
              <w:snapToGrid w:val="0"/>
              <w:jc w:val="center"/>
            </w:pPr>
            <w:r>
              <w:rPr>
                <w:rFonts w:hint="default" w:ascii="Times New Roman Regular" w:hAnsi="Times New Roman Regular" w:cs="Times New Roman Regular"/>
                <w:sz w:val="21"/>
                <w:szCs w:val="21"/>
                <w:highlight w:val="none"/>
              </w:rPr>
              <w:t>/</w:t>
            </w:r>
          </w:p>
        </w:tc>
      </w:tr>
      <w:tr w14:paraId="4BB2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dxa"/>
            <w:noWrap w:val="0"/>
            <w:vAlign w:val="center"/>
          </w:tcPr>
          <w:p w14:paraId="4FFF6A44">
            <w:pPr>
              <w:numPr>
                <w:ilvl w:val="0"/>
                <w:numId w:val="2"/>
              </w:numPr>
              <w:adjustRightInd w:val="0"/>
              <w:snapToGrid w:val="0"/>
              <w:ind w:left="40" w:leftChars="0" w:firstLine="170" w:firstLineChars="0"/>
              <w:jc w:val="center"/>
              <w:rPr>
                <w:rFonts w:hint="eastAsia" w:hAnsi="宋体"/>
                <w:highlight w:val="none"/>
                <w:lang w:val="en-US" w:eastAsia="zh-CN"/>
              </w:rPr>
            </w:pPr>
          </w:p>
        </w:tc>
        <w:tc>
          <w:tcPr>
            <w:tcW w:w="1789" w:type="dxa"/>
            <w:noWrap w:val="0"/>
            <w:vAlign w:val="center"/>
          </w:tcPr>
          <w:p w14:paraId="40324F3C">
            <w:pPr>
              <w:adjustRightInd w:val="0"/>
              <w:snapToGrid w:val="0"/>
              <w:jc w:val="center"/>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采购人澄清</w:t>
            </w:r>
          </w:p>
          <w:p w14:paraId="37527D01">
            <w:pPr>
              <w:pStyle w:val="22"/>
              <w:jc w:val="center"/>
              <w:rPr>
                <w:rFonts w:hint="eastAsia" w:ascii="Times New Roman" w:hAnsi="Times New Roman" w:eastAsia="宋体"/>
                <w:b/>
                <w:color w:val="000000"/>
                <w:kern w:val="2"/>
                <w:sz w:val="21"/>
                <w:highlight w:val="none"/>
                <w:lang w:val="en-US" w:eastAsia="zh-CN" w:bidi="ar-SA"/>
              </w:rPr>
            </w:pPr>
            <w:r>
              <w:rPr>
                <w:rFonts w:hint="default" w:ascii="Times New Roman Regular" w:hAnsi="Times New Roman Regular" w:cs="Times New Roman Regular"/>
                <w:sz w:val="21"/>
                <w:szCs w:val="21"/>
              </w:rPr>
              <w:t>Clarifications de 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acheteur</w:t>
            </w:r>
          </w:p>
        </w:tc>
        <w:tc>
          <w:tcPr>
            <w:tcW w:w="6056" w:type="dxa"/>
            <w:gridSpan w:val="2"/>
            <w:noWrap w:val="0"/>
            <w:vAlign w:val="center"/>
          </w:tcPr>
          <w:p w14:paraId="634F8791">
            <w:pPr>
              <w:adjustRightInd w:val="0"/>
              <w:snapToGrid w:val="0"/>
              <w:rPr>
                <w:rFonts w:hint="default" w:ascii="Times New Roman Regular" w:hAnsi="Times New Roman Regular" w:cs="Times New Roman Regular"/>
                <w:sz w:val="21"/>
                <w:szCs w:val="21"/>
                <w:highlight w:val="none"/>
              </w:rPr>
            </w:pPr>
            <w:r>
              <w:rPr>
                <w:rFonts w:hint="default" w:ascii="Times New Roman Regular" w:hAnsi="Times New Roman Regular" w:cs="Times New Roman Regular"/>
                <w:sz w:val="21"/>
                <w:szCs w:val="21"/>
                <w:highlight w:val="none"/>
              </w:rPr>
              <w:t>采购人收到澄清申请1日内日通过zbcg@spicld.com</w:t>
            </w:r>
            <w:r>
              <w:rPr>
                <w:rFonts w:hint="default" w:ascii="Times New Roman Regular" w:hAnsi="Times New Roman Regular" w:cs="Times New Roman Regular"/>
                <w:sz w:val="21"/>
                <w:szCs w:val="21"/>
                <w:highlight w:val="none"/>
                <w:lang w:val="en-US" w:eastAsia="zh-CN"/>
              </w:rPr>
              <w:t>邮箱</w:t>
            </w:r>
            <w:r>
              <w:rPr>
                <w:rFonts w:hint="default" w:ascii="Times New Roman Regular" w:hAnsi="Times New Roman Regular" w:cs="Times New Roman Regular"/>
                <w:sz w:val="21"/>
                <w:szCs w:val="21"/>
                <w:highlight w:val="none"/>
              </w:rPr>
              <w:t>做出答复（收到次日起算）</w:t>
            </w:r>
          </w:p>
          <w:p w14:paraId="50539E1F">
            <w:pPr>
              <w:pStyle w:val="22"/>
            </w:pPr>
            <w:r>
              <w:rPr>
                <w:rFonts w:hint="default" w:ascii="Times New Roman Regular" w:hAnsi="Times New Roman Regular" w:cs="Times New Roman Regular"/>
                <w:sz w:val="21"/>
                <w:szCs w:val="21"/>
              </w:rPr>
              <w:t>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acheteur répond aux demandes de clarification par courriel à l</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adresse zbcg@spicld.com dans un délai d</w:t>
            </w:r>
            <w:r>
              <w:rPr>
                <w:rFonts w:hint="default" w:ascii="Times New Roman Regular" w:hAnsi="Times New Roman Regular" w:cs="Times New Roman Regular"/>
                <w:sz w:val="21"/>
                <w:szCs w:val="21"/>
                <w:lang w:val="en-US"/>
              </w:rPr>
              <w:t>'</w:t>
            </w:r>
            <w:r>
              <w:rPr>
                <w:rFonts w:hint="default" w:ascii="Times New Roman Regular" w:hAnsi="Times New Roman Regular" w:cs="Times New Roman Regular"/>
                <w:sz w:val="21"/>
                <w:szCs w:val="21"/>
              </w:rPr>
              <w:t>un (1) jour à compter du lendemain de la réception de la demande.</w:t>
            </w:r>
          </w:p>
        </w:tc>
        <w:tc>
          <w:tcPr>
            <w:tcW w:w="933" w:type="dxa"/>
            <w:noWrap w:val="0"/>
            <w:vAlign w:val="center"/>
          </w:tcPr>
          <w:p w14:paraId="168CC76F">
            <w:pPr>
              <w:adjustRightInd w:val="0"/>
              <w:snapToGrid w:val="0"/>
              <w:jc w:val="center"/>
            </w:pPr>
            <w:r>
              <w:rPr>
                <w:rFonts w:hint="default" w:ascii="Times New Roman Regular" w:hAnsi="Times New Roman Regular" w:cs="Times New Roman Regular"/>
                <w:sz w:val="21"/>
                <w:szCs w:val="21"/>
                <w:highlight w:val="none"/>
              </w:rPr>
              <w:t>2.2.2</w:t>
            </w:r>
          </w:p>
        </w:tc>
      </w:tr>
    </w:tbl>
    <w:p w14:paraId="1E5C17F1">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highlight w:val="none"/>
        </w:rPr>
        <w:br w:type="page"/>
      </w:r>
      <w:bookmarkEnd w:id="0"/>
      <w:r>
        <w:rPr>
          <w:rStyle w:val="36"/>
          <w:sz w:val="21"/>
          <w:szCs w:val="21"/>
        </w:rPr>
        <w:t>1. 总则 / Dispositions générales</w:t>
      </w:r>
    </w:p>
    <w:p w14:paraId="1DE49331">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1.1 定义 / Définitions</w:t>
      </w:r>
    </w:p>
    <w:p w14:paraId="62F613C0">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1.1.1</w:t>
      </w:r>
      <w:r>
        <w:rPr>
          <w:sz w:val="21"/>
          <w:szCs w:val="21"/>
        </w:rPr>
        <w:t xml:space="preserve"> 采购执行单位：见应答人须知前附表。 Unité chargée de l'exécution de l'achat : voir le tableau préliminaire des instructions aux candidats.</w:t>
      </w:r>
    </w:p>
    <w:p w14:paraId="137310A0">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1.1.2</w:t>
      </w:r>
      <w:r>
        <w:rPr>
          <w:sz w:val="21"/>
          <w:szCs w:val="21"/>
        </w:rPr>
        <w:t xml:space="preserve"> 采购需求单位：见应答人须知前附表。 Unité demanderesse de l'achat : voir le tableau préliminaire des instructions aux candidats.</w:t>
      </w:r>
    </w:p>
    <w:p w14:paraId="59612A4A">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1.1.3</w:t>
      </w:r>
      <w:r>
        <w:rPr>
          <w:sz w:val="21"/>
          <w:szCs w:val="21"/>
        </w:rPr>
        <w:t xml:space="preserve"> 项目名称：见应答人须知前附表。 Intitulé du projet : voir le tableau préliminaire des instructions aux candidats.</w:t>
      </w:r>
    </w:p>
    <w:p w14:paraId="5DC09BBB">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1.1.4</w:t>
      </w:r>
      <w:r>
        <w:rPr>
          <w:sz w:val="21"/>
          <w:szCs w:val="21"/>
        </w:rPr>
        <w:t xml:space="preserve"> 项目地点：见应答人须知前附表。 Lieu d'exécution du projet : voir le tableau préliminaire des instructions aux candidats.</w:t>
      </w:r>
    </w:p>
    <w:p w14:paraId="0493B0C1">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1.1.5</w:t>
      </w:r>
      <w:r>
        <w:rPr>
          <w:sz w:val="21"/>
          <w:szCs w:val="21"/>
        </w:rPr>
        <w:t xml:space="preserve"> 项目规模：见应答人须知前附表。 Envergure du projet : voir le tableau préliminaire des instructions aux candidats.</w:t>
      </w:r>
    </w:p>
    <w:p w14:paraId="053F107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1.1.6</w:t>
      </w:r>
      <w:r>
        <w:rPr>
          <w:sz w:val="21"/>
          <w:szCs w:val="21"/>
        </w:rPr>
        <w:t xml:space="preserve"> 应答人：参与本项目竞争的法人或其他组织。 Candidat : toute personne morale ou autre organisation participant à la concurrence pour le présent projet.</w:t>
      </w:r>
    </w:p>
    <w:p w14:paraId="16D7ED5C">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1.1.7</w:t>
      </w:r>
      <w:r>
        <w:rPr>
          <w:sz w:val="21"/>
          <w:szCs w:val="21"/>
        </w:rPr>
        <w:t xml:space="preserve"> 成交人：最终被授予合同的应答人。 Adjudicataire : le candidat auquel le contrat est finalement attribué.</w:t>
      </w:r>
    </w:p>
    <w:p w14:paraId="3F46C45B">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1.2 采购范围、服务期限和质量标准 / Étendue de l'achat, durée des prestations et exigences de qualité</w:t>
      </w:r>
    </w:p>
    <w:p w14:paraId="21595ACC">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1.2.1</w:t>
      </w:r>
      <w:r>
        <w:rPr>
          <w:sz w:val="21"/>
          <w:szCs w:val="21"/>
        </w:rPr>
        <w:t xml:space="preserve"> 采购范围：见应答人须知前附表。 Étendue de l'achat : voir le tableau préliminaire des instructions aux candidats.</w:t>
      </w:r>
    </w:p>
    <w:p w14:paraId="7C81C140">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1.2.2</w:t>
      </w:r>
      <w:r>
        <w:rPr>
          <w:sz w:val="21"/>
          <w:szCs w:val="21"/>
        </w:rPr>
        <w:t xml:space="preserve"> 服务期限：见应答人须知前附表。 Durée des prestations : voir le tableau préliminaire des instructions aux candidats.</w:t>
      </w:r>
    </w:p>
    <w:p w14:paraId="17FC245C">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1.2.3</w:t>
      </w:r>
      <w:r>
        <w:rPr>
          <w:sz w:val="21"/>
          <w:szCs w:val="21"/>
        </w:rPr>
        <w:t xml:space="preserve"> 质量标准：见应答人须知前附表。 Exigences de qualité : voir le tableau préliminaire des instructions aux candidats.</w:t>
      </w:r>
    </w:p>
    <w:p w14:paraId="455321D5">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1.3 项目概况 / Présentation du projet</w:t>
      </w:r>
    </w:p>
    <w:p w14:paraId="24612A1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本项目谈判范围为本采购文件所规定的全部服务内容，包括但不限于为完成服务所需的全部材料、备品备件、专用工具、消耗品，以及配套的设计、技术资料和技术服务等。具体内容详见采购文件技术部分的相关规定。 Le périmètre de négociation du présent projet couvre l'ensemble des prestations spécifiées dans le présent document d'achat, y compris, sans s'y limiter, tous les matériaux, pièces de rechange, outillages spécialisés et consommables nécessaires à l'exécution des prestations, ainsi que la conception, la documentation technique et les services techniques associés. Le contenu détaillé figure dans les dispositions pertinentes de la partie technique du présent document d'achat.</w:t>
      </w:r>
    </w:p>
    <w:p w14:paraId="00AB4C4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1.3.1</w:t>
      </w:r>
      <w:r>
        <w:rPr>
          <w:sz w:val="21"/>
          <w:szCs w:val="21"/>
        </w:rPr>
        <w:t xml:space="preserve"> 付款方式：见应答人须知前附表。 Modalités de paiement : voir le tableau préliminaire des instructions aux candidats.</w:t>
      </w:r>
    </w:p>
    <w:p w14:paraId="1A52714D">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1.4 应答人资格要求 / Exigences de qualification des candidats</w:t>
      </w:r>
    </w:p>
    <w:p w14:paraId="17BAC50D">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1.4.1</w:t>
      </w:r>
      <w:r>
        <w:rPr>
          <w:sz w:val="21"/>
          <w:szCs w:val="21"/>
        </w:rPr>
        <w:t xml:space="preserve"> 应答人基本资格要求：见应答人须知前附表。 Exigences de qualification générales : voir le tableau préliminaire des instructions aux candidats.</w:t>
      </w:r>
    </w:p>
    <w:p w14:paraId="2F53A9A5">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1.4.2</w:t>
      </w:r>
      <w:r>
        <w:rPr>
          <w:sz w:val="21"/>
          <w:szCs w:val="21"/>
        </w:rPr>
        <w:t xml:space="preserve"> 应答人专项资格要求：见应答人须知前附表。 Exigences de qualification spécifiques : voir le tableau préliminaire des instructions aux candidats.</w:t>
      </w:r>
    </w:p>
    <w:p w14:paraId="5912CE30">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1.5 联合体 / Consortium</w:t>
      </w:r>
    </w:p>
    <w:p w14:paraId="36CE345A">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1.5.1</w:t>
      </w:r>
      <w:r>
        <w:rPr>
          <w:sz w:val="21"/>
          <w:szCs w:val="21"/>
        </w:rPr>
        <w:t xml:space="preserve"> 是否接受联合体报价：应答人须知前附表规定接受联合体报价的，除应符合应答人须知前附表的要求外，还应遵守以下规定： L'acceptation d'offres en consortium : lorsque le tableau préliminaire des instructions aux candidats prévoit l'acceptation d'offres en consortium, les candidats concernés doivent, outre le respect des exigences dudit tableau, se conformer aux dispositions suivantes :</w:t>
      </w:r>
    </w:p>
    <w:p w14:paraId="2B0F7B5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(1) 联合体各方应按采购文件提供的格式签订联合体协议书，明确联合体牵头人和各方权利义务； Les membres du consortium doivent conclure une convention de consortium selon le modèle fourni dans le présent document d'achat, en précisant le mandataire du consortium ainsi que les droits et obligations de chaque membre ;</w:t>
      </w:r>
    </w:p>
    <w:p w14:paraId="37DA717D">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(2) 由同一专业的单位组成的联合体，按照资质等级较低的单位确定资质等级； Lorsqu'un consortium est composé d'unités relevant de la même spécialité, le niveau de qualification du consortium est déterminé sur la base de celui de l'unité ayant le niveau le plus bas ;</w:t>
      </w:r>
    </w:p>
    <w:p w14:paraId="17A12860">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(3) 联合体各方不得再以自己名义单独或参加其他联合体在本采购项目中报价，否则各相关应答均无效； Aucun membre du consortium ne peut soumettre d'offre au titre du présent projet d'achat, à titre individuel ou en participant à un autre consortium, sous peine de nullité de toutes les offres concernées ;</w:t>
      </w:r>
    </w:p>
    <w:p w14:paraId="4091383A">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(4) 不同联合体的成员间存在单位负责人为同一人或者存在控股、管理关系的，不得同时参加本采购项目应答。 Les membres de consortiums différents ne peuvent pas participer simultanément à la réponse au présent appel si leur représentant légal est identique ou s'ils sont liés par des relations de contrôle ou de gestion.</w:t>
      </w:r>
    </w:p>
    <w:p w14:paraId="2353F792">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1.6 报价 / Offre de prix</w:t>
      </w:r>
    </w:p>
    <w:p w14:paraId="42517744">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1.6.1</w:t>
      </w:r>
      <w:r>
        <w:rPr>
          <w:sz w:val="21"/>
          <w:szCs w:val="21"/>
        </w:rPr>
        <w:t xml:space="preserve"> 报价方式：见应答人须知前附表。 Modalités de soumission de l'offre de prix : voir le tableau préliminaire des instructions aux candidats.</w:t>
      </w:r>
    </w:p>
    <w:p w14:paraId="22CB84E6">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1.6.2</w:t>
      </w:r>
      <w:r>
        <w:rPr>
          <w:sz w:val="21"/>
          <w:szCs w:val="21"/>
        </w:rPr>
        <w:t xml:space="preserve"> 最高限价：见应答人须知前附表。 Prix plafond : voir le tableau préliminaire des instructions aux candidats.</w:t>
      </w:r>
    </w:p>
    <w:p w14:paraId="58126435">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1.6.3</w:t>
      </w:r>
      <w:r>
        <w:rPr>
          <w:sz w:val="21"/>
          <w:szCs w:val="21"/>
        </w:rPr>
        <w:t xml:space="preserve"> 报价有效期：见应答人须知前附表。 Validité de l'offre : voir le tableau préliminaire des instructions aux candidats.</w:t>
      </w:r>
    </w:p>
    <w:p w14:paraId="513096A6">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1.6.4</w:t>
      </w:r>
      <w:r>
        <w:rPr>
          <w:sz w:val="21"/>
          <w:szCs w:val="21"/>
        </w:rPr>
        <w:t xml:space="preserve"> 首次响应截止时间：见应答人须知前附表。 Date limite de remise de la première réponse : voir le tableau préliminaire des instructions aux candidats.</w:t>
      </w:r>
    </w:p>
    <w:p w14:paraId="5477B252">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1.7 响应与偏差 / Réponse et écarts</w:t>
      </w:r>
    </w:p>
    <w:p w14:paraId="3AB2218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1.7.1</w:t>
      </w:r>
      <w:r>
        <w:rPr>
          <w:sz w:val="21"/>
          <w:szCs w:val="21"/>
        </w:rPr>
        <w:t xml:space="preserve"> 响应文件应当对采购文件的实质性要求和条件作出满足性或更有利于采购人的响应，否则，应答人的响应文件将被否决。实质性要求和条件见应答人须知前附表。 Le dossier de réponse doit apporter une réponse satisfaisante aux exigences et conditions substantielles du présent document d'achat, ou plus favorable à l'Acheteur ; à défaut, le dossier de réponse du candidat sera rejeté. Les exigences et conditions substantielles figurent dans le tableau préliminaire des instructions aux candidats.</w:t>
      </w:r>
    </w:p>
    <w:p w14:paraId="0B0296CB">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1.7.2</w:t>
      </w:r>
      <w:r>
        <w:rPr>
          <w:sz w:val="21"/>
          <w:szCs w:val="21"/>
        </w:rPr>
        <w:t xml:space="preserve"> 应答人须知前附表规定了可以偏差的范围和最高偏差项数的，偏差应当符合应答人须知前附表规定的偏差范围和最高项数，超出偏差范围和最高偏差项数的响应将被否决。 Lorsque le tableau préliminaire des instructions aux candidats définit la marge d'écart admissible et le nombre maximal d'écarts, les écarts doivent respecter la marge et le nombre maximal prévus ; toute réponse excédant la marge ou le nombre maximal d'écarts sera rejetée.</w:t>
      </w:r>
    </w:p>
    <w:p w14:paraId="27ADC81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1.7.3</w:t>
      </w:r>
      <w:r>
        <w:rPr>
          <w:sz w:val="21"/>
          <w:szCs w:val="21"/>
        </w:rPr>
        <w:t xml:space="preserve"> 响应文件对采购文件的全部偏差，均应在响应文件的偏差表中列明，除列明的内容外，视为应答人响应采购文件的全部要求。 L'ensemble des écarts du dossier de réponse par rapport au présent document d'achat doivent être mentionnés dans le tableau des écarts du dossier de réponse ; hormis les éléments y figurant, le candidat est réputé avoir répondu à toutes les exigences du présent document d'achat.</w:t>
      </w:r>
    </w:p>
    <w:p w14:paraId="7A0184A7">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1.8 踏勘现场 / Visite des lieux</w:t>
      </w:r>
    </w:p>
    <w:p w14:paraId="72785638">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1.8.1</w:t>
      </w:r>
      <w:r>
        <w:rPr>
          <w:sz w:val="21"/>
          <w:szCs w:val="21"/>
        </w:rPr>
        <w:t xml:space="preserve"> 应答人须知前附表规定组织踏勘现场的，采购人按应答人须知前附表规定的时间、地点组织应答人踏勘项目现场。 Lorsque le tableau préliminaire des instructions aux candidats prévoit l'organisation d'une visite des lieux, l'Acheteur organise la visite du site du projet aux date et lieu indiqués dans ledit tableau.</w:t>
      </w:r>
    </w:p>
    <w:p w14:paraId="7A617369">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1.8.2</w:t>
      </w:r>
      <w:r>
        <w:rPr>
          <w:sz w:val="21"/>
          <w:szCs w:val="21"/>
        </w:rPr>
        <w:t xml:space="preserve"> 应答人踏勘现场发生的费用自理。 Les frais engagés par le candidat à l'occasion de la visite des lieux restent à sa charge.</w:t>
      </w:r>
    </w:p>
    <w:p w14:paraId="29E96ADC">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1.8.3</w:t>
      </w:r>
      <w:r>
        <w:rPr>
          <w:sz w:val="21"/>
          <w:szCs w:val="21"/>
        </w:rPr>
        <w:t xml:space="preserve"> 除采购人的原因外，应答人自行负责在踏勘现场中所发生的人员伤亡和财产损失。 Sauf en cas de cause imputable à l'Acheteur, le candidat est seul responsable des dommages corporels et pertes matérielles survenus lors de la visite des lieux.</w:t>
      </w:r>
    </w:p>
    <w:p w14:paraId="4BBA59F6">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1.8.4</w:t>
      </w:r>
      <w:r>
        <w:rPr>
          <w:sz w:val="21"/>
          <w:szCs w:val="21"/>
        </w:rPr>
        <w:t xml:space="preserve"> 采购人在踏勘现场中介绍的服务场地和相关的周边环境情况，供应答人在编制响应文件时参考，采购人不对应答人据此作出的判断和决策负责。 Les informations relatives au site des prestations et à son environnement fournies par l'Acheteur lors de la visite des lieux sont données à titre de référence pour l'élaboration du dossier de réponse ; l'Acheteur décline toute responsabilité quant aux jugements et décisions pris par le candidat sur cette base.</w:t>
      </w:r>
    </w:p>
    <w:p w14:paraId="05A9B14C">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2. 采购文件 / Document d'achat</w:t>
      </w:r>
    </w:p>
    <w:p w14:paraId="4960DC8E">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2.1 采购文件的组成 / Composition du document d'achat</w:t>
      </w:r>
    </w:p>
    <w:p w14:paraId="1E10F076">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采购文件用以阐明采购范围，介绍基本的谈判程序，提供相应的合同条款，提纲见目录。 Le document d'achat a pour objet de préciser l'étendue de l'achat, de présenter la procédure de négociation et de fournir les clauses contractuelles correspondantes, dont le sommaire figure en table des matières.</w:t>
      </w:r>
    </w:p>
    <w:p w14:paraId="7366DF83">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应答人应认真阅读采购文件中所有的须知、格式、条款、技术要求和其他资料。如果应答人没有按照采购文件要求提交全部资料，或者提交的资料没有对采购文件在各方面都做出实质性响应而导致其报价被拒绝，该责任由应答人承担。 Le candidat doit lire attentivement l'ensemble des instructions, formulaires, clauses, exigences techniques et autres informations contenus dans le document d'achat. Si le candidat n'a pas soumis tous les documents requis conformément au document d'achat, ou si les documents soumis ne constituent pas une réponse substantielle à tous les aspects du document d'achat, ce qui entraîne le rejet de son offre, cette responsabilité incombe au candidat.</w:t>
      </w:r>
    </w:p>
    <w:p w14:paraId="1F8CFAF0">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2.2 采购文件的澄清 / Clarifications du document d'achat</w:t>
      </w:r>
    </w:p>
    <w:p w14:paraId="23698E2E">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2.2.1</w:t>
      </w:r>
      <w:r>
        <w:rPr>
          <w:sz w:val="21"/>
          <w:szCs w:val="21"/>
        </w:rPr>
        <w:t xml:space="preserve"> 应答人澄清：见应答人须知前附表。 Clarification par le candidat : voir le tableau préliminaire des instructions aux candidats.</w:t>
      </w:r>
    </w:p>
    <w:p w14:paraId="5FB99C88">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2.2.2</w:t>
      </w:r>
      <w:r>
        <w:rPr>
          <w:sz w:val="21"/>
          <w:szCs w:val="21"/>
        </w:rPr>
        <w:t xml:space="preserve"> 采购人澄清：见应答人须知前附表。 Clarification par l'Acheteur : voir le tableau préliminaire des instructions aux candidats.</w:t>
      </w:r>
    </w:p>
    <w:p w14:paraId="58D101CC">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2.3 采购文件的解释权 / Droit d'interprétation du document d'achat</w:t>
      </w:r>
    </w:p>
    <w:p w14:paraId="521BC606">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本采购文件的各个组成文件应互为解释，互为说明，如有不明确或不一致时：构成合同文件组成内容的，以合同文件约定内容为准，且以合同条款约定的合同文件优先顺序解释；若采购文件前文与后文内容不一致的，以前文为准；按本款前述规定仍不能形成结论的，采购人有最终解释权。 Les différents documents constitutifs du présent document d'achat s'interprètent et se complètent mutuellement. En cas d'ambiguïté ou de contradiction : pour les éléments constitutifs du contrat, les stipulations du contrat priment, l'ordre de priorité étant celui prévu par les clauses contractuelles ; si le contenu antérieur et postérieur du document d'achat est contradictoire, le contenu antérieur prévaut ; à défaut de conclusion sur la base des dispositions susmentionnées, l'Acheteur dispose du droit d'interprétation final.</w:t>
      </w:r>
    </w:p>
    <w:p w14:paraId="6BFC9447">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3. 响应文件 / Dossier de réponse</w:t>
      </w:r>
    </w:p>
    <w:p w14:paraId="778E9945">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3.1 响应文件的组成 / Composition du dossier de réponse</w:t>
      </w:r>
    </w:p>
    <w:p w14:paraId="27130FD9">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响应文件应包括内容：详见第四章响应文件格式。 Le contenu du dossier de réponse : voir le chapitre IV « Formats du dossier de réponse ».</w:t>
      </w:r>
    </w:p>
    <w:p w14:paraId="1E1A491D">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 谈判及评审 / Négociation et évaluation</w:t>
      </w:r>
    </w:p>
    <w:p w14:paraId="3236AF65">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4.1 评审小组 / Comité d'évaluation</w:t>
      </w:r>
    </w:p>
    <w:p w14:paraId="6C6EE304">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评审由采购人依法组建的评审小组负责。评审小组由采购人、所属单位、工程设计、监理、委托管理等单位专家组成。 L'évaluation est assurée par le comité d'évaluation constitué par l'Acheteur conformément à la loi. Le comité d'évaluation est composé d'experts de l'Acheteur et de ses entités rattachées, ainsi que des unités de conception, de maîtrise d'œuvre et d'encadrement délégué.</w:t>
      </w:r>
    </w:p>
    <w:p w14:paraId="75CD88EC">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4.2 初步评审 / Évaluation préliminaire</w:t>
      </w:r>
    </w:p>
    <w:p w14:paraId="28220604">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评审小组按照 "评审表" 规定的初步评审因素及标准对响应文件进行评审。 Le comité d'évaluation examine les dossiers de réponse selon les facteurs et critères d'évaluation préliminaire définis dans la « grille d'évaluation ».</w:t>
      </w:r>
    </w:p>
    <w:p w14:paraId="76625D87">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4.3 评审澄清 / Clarification au cours de l'évaluation</w:t>
      </w:r>
    </w:p>
    <w:p w14:paraId="28430CD0">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4.3.1</w:t>
      </w:r>
      <w:r>
        <w:rPr>
          <w:sz w:val="21"/>
          <w:szCs w:val="21"/>
        </w:rPr>
        <w:t xml:space="preserve"> 评审小组对响应文件中不满足采购文件要求、不清楚、不明确之处进行专门标注和记录，整理出需要应答人澄清的问题。 Le comité d'évaluation signale et consigne les points des dossiers de réponse qui ne satisfont pas aux exigences du document d'achat ou qui sont peu clairs ou ambigus, et recense les questions nécessitant une clarification de la part des candidats.</w:t>
      </w:r>
    </w:p>
    <w:p w14:paraId="7CB616C6">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4.3.2</w:t>
      </w:r>
      <w:r>
        <w:rPr>
          <w:sz w:val="21"/>
          <w:szCs w:val="21"/>
        </w:rPr>
        <w:t xml:space="preserve"> 评审小组可针对响应文件中含义不明确或前后说法不一或明显笔误的内容要求应答人澄清。应答人应将书面答复签字 / 盖章后通过采购平台上传。 Le comité d'évaluation peut demander aux candidats de clarifier les contenus dont le sens est ambigu, incohérent ou manifestement erroné. Le candidat doit transmettre sa réponse écrite signée/estampillée via la plateforme d'achat.</w:t>
      </w:r>
    </w:p>
    <w:p w14:paraId="4ADEF3A5">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4.3.3</w:t>
      </w:r>
      <w:r>
        <w:rPr>
          <w:sz w:val="21"/>
          <w:szCs w:val="21"/>
        </w:rPr>
        <w:t xml:space="preserve"> 澄清文件作为响应文件的有效的补充文件。应答人不得超出原采购文件的范围或对原响应文件内容作实质性修改。 Le document de clarification constitue un complément valable du dossier de réponse. Le candidat ne peut ni aller au-delà du périmètre du document d'achat initial ni modifier substantiellement le contenu de son dossier de réponse initial.</w:t>
      </w:r>
    </w:p>
    <w:p w14:paraId="4CFC2058">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4.4 谈判 / Négociation</w:t>
      </w:r>
    </w:p>
    <w:p w14:paraId="542F6933">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4.4.1</w:t>
      </w:r>
      <w:r>
        <w:rPr>
          <w:sz w:val="21"/>
          <w:szCs w:val="21"/>
        </w:rPr>
        <w:t xml:space="preserve"> 谈判对象为通过初评评审的应答人。 Les candidats concernés par la négociation sont ceux ayant passé l'évaluation préliminaire.</w:t>
      </w:r>
    </w:p>
    <w:p w14:paraId="61CE4B3C">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4.4.2</w:t>
      </w:r>
      <w:r>
        <w:rPr>
          <w:sz w:val="21"/>
          <w:szCs w:val="21"/>
        </w:rPr>
        <w:t xml:space="preserve"> 谈判轮次和顺序：按照应答人须知前附表规定的谈判轮次及谈判顺序与通过初步评审的应答人逐一进行谈判。 Nombre de tours et ordre de négociation : conformément aux tours et à l'ordre de négociation prévus dans le tableau préliminaire des instructions aux candidats, la négociation est menée tour à tour avec chaque candidat ayant passé l'évaluation préliminaire.</w:t>
      </w:r>
    </w:p>
    <w:p w14:paraId="052CFC67">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4.4.3</w:t>
      </w:r>
      <w:r>
        <w:rPr>
          <w:sz w:val="21"/>
          <w:szCs w:val="21"/>
        </w:rPr>
        <w:t xml:space="preserve"> 评审小组应集中与单一应答人逐一进行谈判，并给于所有通过初评评审的应答人平等的谈判机会。应答人的法定代表人 (单位负责人) 或其授权的代理人应参加谈判。应答人的法定代表人 (单位负责人) 或其授权的代理人在谈判中做出的承诺构成响应文件的组成部分。 Le comité d'évaluation négocie avec les candidats individuellement et successivement, en offrant à tous les candidats ayant passé l'évaluation préliminaire une chance égale de négociation. Le représentant légal (responsable de l'unité) du candidat ou son mandataire autorisé doit participer à la négociation. Les engagements pris lors de la négociation par le représentant légal (responsable de l'unité) du candidat ou son mandataire autorisé constituent une partie intégrante du dossier de réponse.</w:t>
      </w:r>
    </w:p>
    <w:p w14:paraId="27302688">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4.4.4</w:t>
      </w:r>
      <w:r>
        <w:rPr>
          <w:sz w:val="21"/>
          <w:szCs w:val="21"/>
        </w:rPr>
        <w:t xml:space="preserve"> 通过初评评审的应答人未准时参加某一轮次谈判的，视为其放弃参加该轮次谈判，但其仍有权参加后续谈判采购活动。 Le candidat ayant passé l'évaluation préliminaire qui ne participe pas à temps à un tour de négociation est réputé avoir renoncé à ce tour, sans perdre pour autant son droit de participer aux étapes ultérieures de la négociation.</w:t>
      </w:r>
    </w:p>
    <w:p w14:paraId="4358BA7A">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4.4.5</w:t>
      </w:r>
      <w:r>
        <w:rPr>
          <w:sz w:val="21"/>
          <w:szCs w:val="21"/>
        </w:rPr>
        <w:t xml:space="preserve"> 在谈判中，谈判的任何一方不得透露与谈判有关的其他应答人的技术资料、价格和其他信息。 Au cours de la négociation, aucune des parties ne peut divulguer les données techniques, prix ou autres informations des autres candidats relatives à la négociation.</w:t>
      </w:r>
    </w:p>
    <w:p w14:paraId="0FA70A59">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4.4.6</w:t>
      </w:r>
      <w:r>
        <w:rPr>
          <w:sz w:val="21"/>
          <w:szCs w:val="21"/>
        </w:rPr>
        <w:t xml:space="preserve"> 评审小组在某一轮次谈判结束后，通过国家电投电子商务平台通知所有通过初评的应答人开启本轮次报价截止时间，采购人在本轮次报价截止时间开启报价（不公开开启）。 À l'issue de chaque tour de négociation, le comité d'évaluation notifie à tous les candidats ayant passé l'évaluation préliminaire, via la Plateforme de commerce électronique de SPIC, la date limite de remise de l'offre de prix de ce tour ; à cette date limite, l'Acheteur procède à l'ouverture des offres de prix (sans ouverture publique).</w:t>
      </w:r>
    </w:p>
    <w:p w14:paraId="47E84040">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4.5 采购与响应文件的修改和补充 / Modification et complément du document d'achat et du dossier de réponse</w:t>
      </w:r>
    </w:p>
    <w:p w14:paraId="70C9DEE2">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4.5.1</w:t>
      </w:r>
      <w:r>
        <w:rPr>
          <w:sz w:val="21"/>
          <w:szCs w:val="21"/>
        </w:rPr>
        <w:t xml:space="preserve"> 在谈判过程中，评审小组可根据谈判情况对采购文件进行修改和补充，但不得实质性改变评审标准或改变可能影响初步评审结果的内容。采购文件修改和补充的内容构成采购文件的组成部分。 Au cours de la négociation, le comité d'évaluation peut modifier et compléter le document d'achat en fonction de l'avancement de la négociation, sans toutefois modifier substantiellement les critères d'évaluation ni les éléments susceptibles d'affecter le résultat de l'évaluation préliminaire. Les modifications et compléments du document d'achat en font partie intégrante.</w:t>
      </w:r>
    </w:p>
    <w:p w14:paraId="7DBD44F8">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4.5.2</w:t>
      </w:r>
      <w:r>
        <w:rPr>
          <w:sz w:val="21"/>
          <w:szCs w:val="21"/>
        </w:rPr>
        <w:t xml:space="preserve"> 通过初步评审的应答人应对采购文件进行修改和补充部分进行回复。回复文件应由应答人的法定代表人 (单位负责人) 或其授权的代理人签字或加盖单位章。回复文件与首次递交的响应文件共同构成应答人响应文件的组成部分，二者内容不一致的部分，以回复文件内容为准。 Les candidats ayant passé l'évaluation préliminaire doivent répondre aux parties modifiées et complétées du document d'achat. Le document de réponse doit être signé par le représentant légal (responsable de l'unité) du candidat ou son mandataire autorisé, ou revêtu du cachet de l'unité. Le document de réponse constitue, avec le dossier de réponse initialement soumis, une partie intégrante du dossier de réponse du candidat ; en cas de contradiction entre les deux, le contenu du document de réponse prévaut.</w:t>
      </w:r>
    </w:p>
    <w:p w14:paraId="0F98FA6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4.6 开启最终报价 / Ouverture des offres finales</w:t>
      </w:r>
    </w:p>
    <w:p w14:paraId="2F7A575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对于应答人未在规定时间内提交报价的，评审小组有权否决其响应文件，未予否决的，应当以其最后一轮提交的有效报价为准；书面明确退出谈判的，应否决其响应文件。 Pour tout candidat n'ayant pas soumis d'offre de prix dans le délai imparti, le comité d'évaluation a le droit de rejeter son dossier de réponse ; à défaut de rejet, l'offre valide soumise lors de son dernier tour fait foi. En cas de retrait écrit et explicite de la négociation, son dossier de réponse est rejeté.</w:t>
      </w:r>
    </w:p>
    <w:p w14:paraId="3B8F21D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4.7 谈判失败 / Échec de la négociation</w:t>
      </w:r>
    </w:p>
    <w:p w14:paraId="0A67A51E">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4.7.1</w:t>
      </w:r>
      <w:r>
        <w:rPr>
          <w:sz w:val="21"/>
          <w:szCs w:val="21"/>
        </w:rPr>
        <w:t xml:space="preserve"> 有下列情形之一的，采购人有权决定重新采购或采取其它的方式选择承包人： Dans l'un des cas suivants, l'Acheteur a le droit de décider d'un nouvel achat ou de choisir l'entrepreneur par d'autres moyens :</w:t>
      </w:r>
    </w:p>
    <w:p w14:paraId="698AC0F7">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(1) 经评审小组评审后否决所有应答人的； tous les dossiers de réponse ont été rejetés à l'issue de l'évaluation par le comité d'évaluation ;</w:t>
      </w:r>
    </w:p>
    <w:p w14:paraId="7A3FB88B">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(2) 因情况变化，不再符合规定的</w:t>
      </w:r>
      <w:r>
        <w:rPr>
          <w:rFonts w:hint="eastAsia"/>
          <w:sz w:val="21"/>
          <w:szCs w:val="21"/>
          <w:lang w:eastAsia="zh-CN"/>
        </w:rPr>
        <w:t>谈判</w:t>
      </w:r>
      <w:r>
        <w:rPr>
          <w:sz w:val="21"/>
          <w:szCs w:val="21"/>
        </w:rPr>
        <w:t>采购方式适用情形的或采购项目取消的； en raison de l'évolution des circonstances, les conditions d'application de la procédure de négociation compétitive ne sont plus réunies, ou le projet d'achat est annulé ;</w:t>
      </w:r>
    </w:p>
    <w:p w14:paraId="6A964C88">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(3) 出现影响采购公正的违法、违规行为的。 survenance d'actes illégaux ou irréguliers portant atteinte à l'équité de l'achat.</w:t>
      </w:r>
    </w:p>
    <w:p w14:paraId="5060D4A8">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 评审方法 / Méthode d'évaluation</w:t>
      </w:r>
    </w:p>
    <w:p w14:paraId="2882BD4B">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4.8.1</w:t>
      </w:r>
      <w:r>
        <w:rPr>
          <w:sz w:val="21"/>
          <w:szCs w:val="21"/>
        </w:rPr>
        <w:t xml:space="preserve"> 报价复核：对各有效应答人的最终报价按采购文件规定的修正原则进行算术性复核，确定修正后的评审价格。最终报价有算术错误及其他错误的，评审小组按以下原则要求应答人对最终报价进行修正，并要求应答人书面澄清确认。应答人拒不澄清确认的，评审小组应当否决其报价： Contrôle arithmétique de l'offre : les offres finales de chaque candidat valide font l'objet d'un contrôle arithmétique conformément aux principes de correction définis dans le document d'achat, afin de déterminer le prix d'évaluation après correction. En cas d'erreur arithmétique ou autre dans l'offre finale, le comité d'évaluation demande au candidat de corriger son offre finale selon les principes suivants, et exige une confirmation écrite par clarification. Si le candidat refuse de clarifier ou de confirmer, le comité d'évaluation doit rejeter son offre :</w:t>
      </w:r>
    </w:p>
    <w:p w14:paraId="7F6772A6">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4.8.1.1</w:t>
      </w:r>
      <w:r>
        <w:rPr>
          <w:sz w:val="21"/>
          <w:szCs w:val="21"/>
        </w:rPr>
        <w:t xml:space="preserve"> 响应文件中的大写金额和小写金额不一致的，以大写金额为准； En cas d'incohérence entre le montant en lettres et le montant en chiffres du dossier de réponse, le montant en lettres prévaut ;</w:t>
      </w:r>
    </w:p>
    <w:p w14:paraId="50A4C33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4.8.1.2</w:t>
      </w:r>
      <w:r>
        <w:rPr>
          <w:sz w:val="21"/>
          <w:szCs w:val="21"/>
        </w:rPr>
        <w:t xml:space="preserve"> 响应文件的分项价之和与总价（合计价格）有出入时，以分项价为准；由单价计算出的分项价与原分项价不符时，以单价为准，单价金额小数点有明显错误的，以分项价为准，并修改单价；对不同文字文本响应文件的解释发生异议的，以中文文本为准； Lorsque la somme des prix de détail du dossier de réponse diffère du prix total (montant global), les prix de détail prévalent ; lorsque le prix de détail calculé à partir du prix unitaire diffère du prix de détail initial, le prix unitaire prévaut ; si le prix unitaire comporte une erreur manifeste de décimale, le prix de détail prévaut et le prix unitaire est corrigé en conséquence ; en cas de divergence d'interprétation entre les différentes versions linguistiques du dossier de réponse, la version chinoise prévaut ;</w:t>
      </w:r>
    </w:p>
    <w:p w14:paraId="704FD24A">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4.8.1.3</w:t>
      </w:r>
      <w:r>
        <w:rPr>
          <w:sz w:val="21"/>
          <w:szCs w:val="21"/>
        </w:rPr>
        <w:t xml:space="preserve"> 应答人漏报的分项项目价格，按其他应答人相应项目最高报价进行计算；如果漏报的部分，其他应答人没有相应的价格，则可以按其他服务相当的价格估算记入，但应答人经澄清确认漏报分项属免费提供的除外，该情形以其最终报价作为评审价格； Pour les éléments omis par le candidat dans ses prix de détail, le calcul est effectué sur la base du prix le plus élevé proposé par les autres candidats pour l'élément correspondant ; si aucun autre candidat n'a proposé de prix pour l'élément omis, une estimation peut être retenue sur la base du prix de prestations comparables, sauf lorsque le candidat confirme par clarification que l'élément omis est fourni gratuitement, auquel cas son offre finale fait office de prix d'évaluation ;</w:t>
      </w:r>
    </w:p>
    <w:p w14:paraId="27D22881">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4.8.1.4</w:t>
      </w:r>
      <w:r>
        <w:rPr>
          <w:sz w:val="21"/>
          <w:szCs w:val="21"/>
        </w:rPr>
        <w:t xml:space="preserve"> 应答人多报的分项项目，按其所报分项价扣除； Les éléments surfacturés par le candidat sont déduits à hauteur des prix de détail déclarés ;</w:t>
      </w:r>
    </w:p>
    <w:p w14:paraId="5FC9FAE1">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4.8.1.5</w:t>
      </w:r>
      <w:r>
        <w:rPr>
          <w:sz w:val="21"/>
          <w:szCs w:val="21"/>
        </w:rPr>
        <w:t xml:space="preserve"> 应答人对同一部套件或分项项目的不同分包商所报价格不同时，一般按其所报价格中最高报价计算评审价格； Lorsque les prix proposés par un candidat pour un même ensemble ou un même élément diffèrent selon les sous-traitants, le prix d'évaluation est généralement calculé sur la base du prix le plus élevé proposé ;</w:t>
      </w:r>
    </w:p>
    <w:p w14:paraId="7D9984E4">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4.8.1.6</w:t>
      </w:r>
      <w:r>
        <w:rPr>
          <w:sz w:val="21"/>
          <w:szCs w:val="21"/>
        </w:rPr>
        <w:t xml:space="preserve"> 各应答人报价适用增值税税率不一致时，评审统一以不含税价格作为评审价计算基准；非增值税计税报价按总报价核算，不对税率差异进行价格折算。 Lorsque les taux de TVA applicables aux offres des candidats diffèrent, l'évaluation est uniformément calculée sur la base du prix hors taxes ; les offres non assujetties à la TVA sont calculées sur le montant total proposé, sans conversion des écarts de taux ;</w:t>
      </w:r>
    </w:p>
    <w:p w14:paraId="38E7DDAB">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4.8.1.7</w:t>
      </w:r>
      <w:r>
        <w:rPr>
          <w:sz w:val="21"/>
          <w:szCs w:val="21"/>
        </w:rPr>
        <w:t xml:space="preserve"> 采购范围以采购文件及澄清内容为准； Le périmètre de l'achat est déterminé par le document d'achat et les contenus de clarification ;</w:t>
      </w:r>
    </w:p>
    <w:p w14:paraId="4AC1D848">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4.8.1.8</w:t>
      </w:r>
      <w:r>
        <w:rPr>
          <w:sz w:val="21"/>
          <w:szCs w:val="21"/>
        </w:rPr>
        <w:t xml:space="preserve"> 对于支付条件、履约承诺等商务和技术、性能保证参数等指标的差异，应当按采购文件规定的折算至同一基准计算评审价格； Les différences relatives aux conditions de paiement, aux engagements d'exécution et aux paramètres techniques ou de performance garantie, etc., sont converties sur une base unique conformément au document d'achat pour le calcul du prix d'évaluation ;</w:t>
      </w:r>
    </w:p>
    <w:p w14:paraId="6EB1E3D2">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4.8.1.9</w:t>
      </w:r>
      <w:r>
        <w:rPr>
          <w:sz w:val="21"/>
          <w:szCs w:val="21"/>
        </w:rPr>
        <w:t xml:space="preserve"> 响应文件中没有列入的价格和优惠条件在评审时不予考虑。对响应文件中提出的无条件优惠，评审时应当纳入评审价格计算，带有附加条件的优惠，评审时不应当纳入评审价格计算。 Les prix et conditions de remise non mentionnés dans le dossier de réponse ne sont pas pris en compte lors de l'évaluation. Les remises inconditionnelles proposées dans le dossier de réponse sont intégrées au calcul du prix d'évaluation ; les remises assorties de conditions ne sont pas prises en compte dans le calcul du prix d'évaluation.</w:t>
      </w:r>
    </w:p>
    <w:p w14:paraId="04D3F557">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4.9 采购异常低价审查要求 / Exigences relatives à l'examen des prix anormalement bas</w:t>
      </w:r>
    </w:p>
    <w:p w14:paraId="6837BEB1">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4.9.1 审查程序的启动 / Déclenchement de la procédure d'examen</w:t>
      </w:r>
    </w:p>
    <w:p w14:paraId="10B4D39E">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采购评审中出现下列情形之一的，评审小组应当启动异常低价响应审查程序： Lorsque l'une des situations suivantes survient lors de l'évaluation, le comité d'évaluation doit déclencher la procédure d'examen de l'offre à prix anormalement bas :</w:t>
      </w:r>
    </w:p>
    <w:p w14:paraId="2792D6E1">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(1) 最终报价低于全部通过符合性审查供应商最终报价平均值 50% 的，即最终报价 &lt; 全部通过符合性审查供应商最终报价平均值 ×50%； le prix final est inférieur à 50 % de la moyenne des prix finaux des fournisseurs ayant passé le contrôle de conformité, soit : prix final &lt; moyenne des prix finaux des fournisseurs ayant passé le contrôle de conformité × 50 % ;</w:t>
      </w:r>
    </w:p>
    <w:p w14:paraId="47F890A7">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(2) 最终报价低于通过符合性审查的次低报价供应商最终报价 50% 的，即最终报价 &lt; 通过符合性审查的次低报价供应商最终报价 ×50%； le prix final est inférieur à 50 % du prix final du fournisseur au deuxième prix le plus bas parmi ceux ayant passé le contrôle de conformité, soit : prix final &lt; prix final dudit fournisseur × 50 % ;</w:t>
      </w:r>
    </w:p>
    <w:p w14:paraId="12B5E00A">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(3) 最终报价低于采购项目最高限价 45% 的，即最终报价 &lt; 采购项目最高限价 ×45%。 le prix final est inférieur à 45 % du prix plafond du projet d'achat, soit : prix final &lt; prix plafond du projet d'achat × 45 %.</w:t>
      </w:r>
    </w:p>
    <w:p w14:paraId="1B6A0389">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4.9.2 审查要求 / Exigences de l'examen</w:t>
      </w:r>
    </w:p>
    <w:p w14:paraId="6B2F1857">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评审小组启动异常低价响应审查后，属于前述 4.9.1 第（1）项至第（3）项情形的，应当要求相关供应商在评审合理的时间内对最终报价作出解释，提供项目具体成本测算等与报价合理性相关的书面说明及必要的证明材料，包括但不限于原材料成本、人工成本、制造费用等，给予相关供应商的合理时间一般不少于 30 分钟。其中，属于 4.9.1 第（3）项情形，供应商已随谈判回复文件一并提交相关书面说明及必要的证明材料的，在评审现场可不再重复提交。评审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小组会应当否决其响应。 Après déclenchement de l'examen de l'offre à prix anormalement bas, dans les cas visés aux points (1) à (3) du 4.9.1, le comité d'évaluation doit demander au (x) fournisseur (s) concerné(s) d'expliquer son (leur) prix final dans un délai raisonnable fixé lors de l'évaluation, en fournissant des explications écrites relatives à la rationalité du prix ainsi que les justificatifs nécessaires, y compris, sans s'y limiter, les coûts des matières premières, les coûts de main-d'œuvre et les frais de fabrication ; le délai raisonnable accordé au (x) fournisseur (s) concerné(s) n'est généralement pas inférieur à 30 minutes. Dans le cas visé au point (3) du 4.9.1, si le fournisseur a déjà joint les explications écrites et les justificatifs nécessaires à son document de réponse de négociation, il n'est pas tenu de les présenter à nouveau lors de l'évaluation. Le comité d'évaluation apprécie la rationalité du prix sur la base de son expertise professionnelle, en référence au prix de transaction de projets comparables, au niveau des prix du marché des produits similaires, aux barèmes de main-d'œuvre du secteur et aux coûts moyens sectoriels publiés par les associations professionnelles sous la conduite des autorités compétentes. Si le fournisseur ne peut pas fournir d'explications écrites ou de justificatifs, ou si les explications écrites et les justificatifs fournis ne démontrent pas la rationalité de son prix, le comité d'évaluation doit rejeter sa réponse.</w:t>
      </w:r>
    </w:p>
    <w:p w14:paraId="47531882">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rStyle w:val="36"/>
          <w:sz w:val="21"/>
          <w:szCs w:val="21"/>
        </w:rPr>
        <w:t>4.10 成交候选人排序方法 / Méthode de classement des candidats à l'attribution</w:t>
      </w:r>
    </w:p>
    <w:p w14:paraId="438A098A">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textAlignment w:val="auto"/>
        <w:rPr>
          <w:sz w:val="21"/>
          <w:szCs w:val="21"/>
        </w:rPr>
      </w:pPr>
      <w:r>
        <w:rPr>
          <w:sz w:val="21"/>
          <w:szCs w:val="21"/>
        </w:rPr>
        <w:t>评审小组将根据应答人须知前附表规定和第四章响应文件构成规定提供的文件及谈判后的最终报价文件采用综合评估法。首先按综合得分从高到低进行排序。在此基础上一般应按 "技术得分高、且经评审的最终报价低者优先" 原则进行排序，如综合得分第一名的应答人技术得分非第一名，则将技术得分高于综合得分第一名的应答人按综合得分排序依次与综合得分第一名的应答人进行评审价格比较，若技术得分高的应答人评审价格低，则该应答人为推荐排序第一名，原综合得分第一名的应答人暂列第二名，然后对新的排序按以上原则再次进行排序，其余排序均以此类推，并以此为基础最终形成推荐排序。 Le comité d'évaluation applique la méthode d'évaluation globale (méthode composite) sur la base des documents prévus par le tableau préliminaire des instructions aux candidats, de la composition du dossier de réponse définie au chapitre IV, et des offres finales soumises après négociation. Les candidats sont d'abord classés par note globale décroissante. Sur cette base, le classement s'effectue en principe selon la règle « note technique élevée et prix final évalué faible prioritaire ». Si le candidat classé premier au titre de la note globale n'a pas la note technique la plus élevée, les candidats dont la note technique est supérieure à celle du premier sont comparés, dans l'ordre de leur note globale, avec le premier quant au prix d'évaluation ; si le prix d'évaluation du candidat ayant la note technique la plus élevée est inférieur, ce candidat est classé premier, le premier initial au titre de la note globale étant provisoirement classé deuxième ; le nouveau classement est ensuite soumis aux mêmes principes, et ainsi de suite, pour aboutir au classement final recommandé.</w:t>
      </w:r>
    </w:p>
    <w:p w14:paraId="1DB2D627">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00" w:lineRule="exact"/>
        <w:textAlignment w:val="auto"/>
        <w:rPr>
          <w:sz w:val="21"/>
          <w:szCs w:val="21"/>
        </w:rPr>
      </w:pPr>
      <w:r>
        <w:rPr>
          <w:rStyle w:val="36"/>
          <w:sz w:val="21"/>
          <w:szCs w:val="21"/>
        </w:rPr>
        <w:t>4.11 分值构成 / Composition des notes</w:t>
      </w:r>
    </w:p>
    <w:p w14:paraId="238D9F44">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00" w:lineRule="exact"/>
        <w:textAlignment w:val="auto"/>
        <w:rPr>
          <w:sz w:val="21"/>
          <w:szCs w:val="21"/>
        </w:rPr>
      </w:pPr>
      <w:r>
        <w:rPr>
          <w:sz w:val="21"/>
          <w:szCs w:val="21"/>
        </w:rPr>
        <w:t>综合评分满分 100 分，根据以下评分项得分按权重比例进行加权计算，即：应答人综合评分 = A+B+C，A = 技术评分 × 权重，B = 商务资信评分 × 权重，C = 价格评分 × 权重。 La note globale maximale est de 100 points. La note est calculée par pondération des notes obtenues pour chaque critère, à savoir : Note globale du candidat = A + B + C, où A = Note technique × coefficient de pondération, B = Note commerciale et de crédibilité × coefficient de pondération, C = Note de prix × coefficient de pondération.</w:t>
      </w:r>
    </w:p>
    <w:p w14:paraId="05869C64">
      <w:pPr>
        <w:keepNext w:val="0"/>
        <w:keepLines w:val="0"/>
        <w:pageBreakBefore w:val="0"/>
        <w:kinsoku/>
        <w:wordWrap/>
        <w:overflowPunct/>
        <w:topLinePunct w:val="0"/>
        <w:autoSpaceDE/>
        <w:autoSpaceDN/>
        <w:bidi w:val="0"/>
        <w:adjustRightInd/>
        <w:snapToGrid/>
        <w:spacing w:line="300" w:lineRule="exact"/>
        <w:ind w:left="0" w:leftChars="0" w:right="0" w:rightChars="0"/>
        <w:textAlignment w:val="auto"/>
        <w:outlineLvl w:val="9"/>
        <w:rPr>
          <w:rFonts w:hint="default" w:ascii="宋体" w:hAnsi="宋体" w:cs="宋体"/>
          <w:b/>
          <w:kern w:val="0"/>
          <w:sz w:val="21"/>
          <w:szCs w:val="21"/>
          <w:highlight w:val="none"/>
          <w:lang w:val="en-US" w:eastAsia="zh-CN" w:bidi="ar-SA"/>
        </w:rPr>
      </w:pPr>
      <w:bookmarkStart w:id="13" w:name="_Toc7360392"/>
      <w:bookmarkStart w:id="14" w:name="_Toc6830438"/>
      <w:bookmarkStart w:id="15" w:name="_Toc452121912"/>
      <w:bookmarkStart w:id="16" w:name="_Toc26309"/>
      <w:r>
        <w:rPr>
          <w:rFonts w:hint="eastAsia" w:ascii="宋体" w:hAnsi="宋体" w:cs="宋体"/>
          <w:b/>
          <w:kern w:val="0"/>
          <w:sz w:val="21"/>
          <w:szCs w:val="21"/>
          <w:highlight w:val="none"/>
          <w:lang w:val="en-US" w:eastAsia="zh-CN" w:bidi="ar-SA"/>
        </w:rPr>
        <w:t>4.12评审表</w:t>
      </w:r>
    </w:p>
    <w:p w14:paraId="53336FC6">
      <w:pPr>
        <w:keepNext w:val="0"/>
        <w:keepLines w:val="0"/>
        <w:pageBreakBefore w:val="0"/>
        <w:kinsoku/>
        <w:wordWrap/>
        <w:overflowPunct/>
        <w:topLinePunct w:val="0"/>
        <w:autoSpaceDE/>
        <w:autoSpaceDN/>
        <w:bidi w:val="0"/>
        <w:adjustRightInd/>
        <w:snapToGrid/>
        <w:spacing w:line="300" w:lineRule="exact"/>
        <w:ind w:left="0" w:leftChars="0" w:right="0" w:rightChars="0"/>
        <w:textAlignment w:val="auto"/>
        <w:outlineLvl w:val="9"/>
        <w:rPr>
          <w:rFonts w:hint="eastAsia" w:ascii="Times New Roman" w:hAnsi="Times New Roman" w:cs="Times New Roman"/>
          <w:b/>
          <w:kern w:val="0"/>
          <w:sz w:val="21"/>
          <w:szCs w:val="21"/>
          <w:highlight w:val="none"/>
          <w:lang w:val="en-US" w:eastAsia="zh-CN" w:bidi="ar-SA"/>
        </w:rPr>
      </w:pPr>
      <w:r>
        <w:rPr>
          <w:rFonts w:hint="eastAsia" w:cs="Times New Roman"/>
          <w:b/>
          <w:kern w:val="0"/>
          <w:sz w:val="21"/>
          <w:szCs w:val="21"/>
          <w:highlight w:val="none"/>
          <w:lang w:val="en-US" w:eastAsia="zh-CN" w:bidi="ar-SA"/>
        </w:rPr>
        <w:t>4.12</w:t>
      </w:r>
      <w:r>
        <w:rPr>
          <w:rFonts w:hint="eastAsia" w:ascii="Times New Roman" w:hAnsi="Times New Roman" w:cs="Times New Roman"/>
          <w:b/>
          <w:kern w:val="0"/>
          <w:sz w:val="21"/>
          <w:szCs w:val="21"/>
          <w:highlight w:val="none"/>
          <w:lang w:val="en-US" w:eastAsia="zh-CN" w:bidi="ar-SA"/>
        </w:rPr>
        <w:t>Tableau d’évaluation</w:t>
      </w:r>
    </w:p>
    <w:tbl>
      <w:tblPr>
        <w:tblStyle w:val="33"/>
        <w:tblW w:w="98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3"/>
        <w:gridCol w:w="76"/>
        <w:gridCol w:w="1280"/>
        <w:gridCol w:w="1555"/>
        <w:gridCol w:w="6238"/>
      </w:tblGrid>
      <w:tr w14:paraId="282DD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769" w:type="dxa"/>
            <w:gridSpan w:val="2"/>
            <w:noWrap w:val="0"/>
            <w:vAlign w:val="center"/>
          </w:tcPr>
          <w:p w14:paraId="6EF0A7A6">
            <w:pPr>
              <w:jc w:val="center"/>
              <w:rPr>
                <w:rFonts w:hint="eastAsia" w:ascii="宋体" w:hAnsi="宋体"/>
                <w:b/>
                <w:sz w:val="21"/>
                <w:szCs w:val="21"/>
                <w:highlight w:val="none"/>
              </w:rPr>
            </w:pPr>
            <w:r>
              <w:rPr>
                <w:rFonts w:hint="eastAsia" w:ascii="宋体" w:hAnsi="宋体"/>
                <w:b/>
                <w:sz w:val="21"/>
                <w:szCs w:val="21"/>
                <w:highlight w:val="none"/>
              </w:rPr>
              <w:t>序号</w:t>
            </w:r>
          </w:p>
        </w:tc>
        <w:tc>
          <w:tcPr>
            <w:tcW w:w="2835" w:type="dxa"/>
            <w:gridSpan w:val="2"/>
            <w:noWrap w:val="0"/>
            <w:vAlign w:val="center"/>
          </w:tcPr>
          <w:p w14:paraId="7DFE4145">
            <w:pPr>
              <w:jc w:val="center"/>
              <w:rPr>
                <w:rFonts w:ascii="宋体" w:hAnsi="宋体"/>
                <w:b/>
                <w:sz w:val="21"/>
                <w:szCs w:val="21"/>
                <w:highlight w:val="none"/>
              </w:rPr>
            </w:pPr>
            <w:r>
              <w:rPr>
                <w:rFonts w:ascii="宋体" w:hAnsi="宋体"/>
                <w:b/>
                <w:sz w:val="21"/>
                <w:szCs w:val="21"/>
                <w:highlight w:val="none"/>
              </w:rPr>
              <w:t>评审因素</w:t>
            </w:r>
          </w:p>
        </w:tc>
        <w:tc>
          <w:tcPr>
            <w:tcW w:w="6238" w:type="dxa"/>
            <w:noWrap w:val="0"/>
            <w:vAlign w:val="center"/>
          </w:tcPr>
          <w:p w14:paraId="34426CEC">
            <w:pPr>
              <w:jc w:val="center"/>
              <w:rPr>
                <w:rFonts w:ascii="宋体" w:hAnsi="宋体"/>
                <w:b/>
                <w:sz w:val="21"/>
                <w:szCs w:val="21"/>
                <w:highlight w:val="none"/>
              </w:rPr>
            </w:pPr>
            <w:r>
              <w:rPr>
                <w:rFonts w:ascii="宋体" w:hAnsi="宋体"/>
                <w:b/>
                <w:sz w:val="21"/>
                <w:szCs w:val="21"/>
                <w:highlight w:val="none"/>
              </w:rPr>
              <w:t>评审标准</w:t>
            </w:r>
          </w:p>
        </w:tc>
      </w:tr>
      <w:tr w14:paraId="0AEF2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restart"/>
            <w:noWrap w:val="0"/>
            <w:vAlign w:val="center"/>
          </w:tcPr>
          <w:p w14:paraId="1B653F47">
            <w:pPr>
              <w:jc w:val="center"/>
              <w:rPr>
                <w:rFonts w:ascii="宋体" w:hAnsi="宋体"/>
                <w:sz w:val="21"/>
                <w:szCs w:val="21"/>
                <w:highlight w:val="none"/>
              </w:rPr>
            </w:pPr>
            <w:r>
              <w:rPr>
                <w:rFonts w:hint="eastAsia" w:ascii="宋体" w:hAnsi="宋体"/>
                <w:sz w:val="21"/>
                <w:szCs w:val="21"/>
                <w:highlight w:val="none"/>
              </w:rPr>
              <w:t>1</w:t>
            </w:r>
          </w:p>
        </w:tc>
        <w:tc>
          <w:tcPr>
            <w:tcW w:w="2835" w:type="dxa"/>
            <w:gridSpan w:val="2"/>
            <w:noWrap w:val="0"/>
            <w:vAlign w:val="center"/>
          </w:tcPr>
          <w:p w14:paraId="31A4DD11">
            <w:pPr>
              <w:jc w:val="center"/>
              <w:rPr>
                <w:rFonts w:ascii="宋体" w:hAnsi="宋体"/>
                <w:sz w:val="21"/>
                <w:szCs w:val="21"/>
                <w:highlight w:val="none"/>
              </w:rPr>
            </w:pPr>
            <w:r>
              <w:rPr>
                <w:rFonts w:hint="eastAsia" w:ascii="宋体" w:hAnsi="宋体"/>
                <w:sz w:val="21"/>
                <w:szCs w:val="21"/>
                <w:highlight w:val="none"/>
              </w:rPr>
              <w:t>应答人</w:t>
            </w:r>
            <w:r>
              <w:rPr>
                <w:rFonts w:ascii="宋体" w:hAnsi="宋体"/>
                <w:sz w:val="21"/>
                <w:szCs w:val="21"/>
                <w:highlight w:val="none"/>
              </w:rPr>
              <w:t>名称</w:t>
            </w:r>
            <w:r>
              <w:rPr>
                <w:rFonts w:ascii="Times New Roman" w:hAnsi="Times New Roman" w:eastAsia="宋体" w:cs="Times New Roman"/>
                <w:kern w:val="0"/>
                <w:sz w:val="21"/>
                <w:szCs w:val="21"/>
                <w:lang w:val="en-US" w:eastAsia="zh-CN" w:bidi="ar-SA"/>
              </w:rPr>
              <w:t>Dénomination du candidat</w:t>
            </w:r>
          </w:p>
        </w:tc>
        <w:tc>
          <w:tcPr>
            <w:tcW w:w="6238" w:type="dxa"/>
            <w:noWrap w:val="0"/>
            <w:vAlign w:val="center"/>
          </w:tcPr>
          <w:p w14:paraId="2738EF37">
            <w:pPr>
              <w:rPr>
                <w:rFonts w:ascii="宋体" w:hAnsi="宋体"/>
                <w:sz w:val="21"/>
                <w:szCs w:val="21"/>
                <w:highlight w:val="none"/>
              </w:rPr>
            </w:pPr>
            <w:r>
              <w:rPr>
                <w:rFonts w:ascii="宋体" w:hAnsi="宋体"/>
                <w:sz w:val="21"/>
                <w:szCs w:val="21"/>
                <w:highlight w:val="none"/>
              </w:rPr>
              <w:t>与营业执照、资质证书一致</w:t>
            </w:r>
          </w:p>
          <w:p w14:paraId="2162168A">
            <w:pPr>
              <w:rPr>
                <w:rFonts w:ascii="宋体" w:hAnsi="宋体"/>
                <w:sz w:val="21"/>
                <w:szCs w:val="21"/>
                <w:highlight w:val="none"/>
              </w:rPr>
            </w:pPr>
            <w:r>
              <w:rPr>
                <w:rFonts w:ascii="Times New Roman" w:hAnsi="Times New Roman" w:eastAsia="宋体" w:cs="Times New Roman"/>
                <w:kern w:val="0"/>
                <w:sz w:val="21"/>
                <w:szCs w:val="21"/>
                <w:lang w:val="en-US" w:eastAsia="zh-CN" w:bidi="ar-SA"/>
              </w:rPr>
              <w:t>Conforme à la licence commerciale et aux certificats de qualification</w:t>
            </w:r>
          </w:p>
        </w:tc>
      </w:tr>
      <w:tr w14:paraId="7ACE2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2" w:hRule="atLeast"/>
          <w:jc w:val="center"/>
        </w:trPr>
        <w:tc>
          <w:tcPr>
            <w:tcW w:w="769" w:type="dxa"/>
            <w:gridSpan w:val="2"/>
            <w:vMerge w:val="continue"/>
            <w:noWrap w:val="0"/>
            <w:vAlign w:val="center"/>
          </w:tcPr>
          <w:p w14:paraId="5B75D774">
            <w:pPr>
              <w:rPr>
                <w:rFonts w:ascii="宋体" w:hAnsi="宋体"/>
                <w:sz w:val="21"/>
                <w:szCs w:val="21"/>
                <w:highlight w:val="none"/>
              </w:rPr>
            </w:pPr>
          </w:p>
        </w:tc>
        <w:tc>
          <w:tcPr>
            <w:tcW w:w="2835" w:type="dxa"/>
            <w:gridSpan w:val="2"/>
            <w:noWrap w:val="0"/>
            <w:vAlign w:val="center"/>
          </w:tcPr>
          <w:p w14:paraId="4D1696ED">
            <w:pPr>
              <w:jc w:val="center"/>
              <w:rPr>
                <w:rFonts w:ascii="宋体" w:hAnsi="宋体" w:eastAsia="宋体"/>
                <w:kern w:val="2"/>
                <w:sz w:val="21"/>
                <w:szCs w:val="21"/>
                <w:highlight w:val="none"/>
                <w:lang w:val="en-US" w:eastAsia="zh-CN" w:bidi="ar-SA"/>
              </w:rPr>
            </w:pPr>
            <w:r>
              <w:rPr>
                <w:rFonts w:hint="eastAsia" w:ascii="宋体" w:hAnsi="宋体"/>
                <w:sz w:val="21"/>
                <w:szCs w:val="21"/>
                <w:highlight w:val="none"/>
              </w:rPr>
              <w:t>响应</w:t>
            </w:r>
            <w:r>
              <w:rPr>
                <w:rFonts w:ascii="宋体" w:hAnsi="宋体"/>
                <w:sz w:val="21"/>
                <w:szCs w:val="21"/>
                <w:highlight w:val="none"/>
              </w:rPr>
              <w:t>函签字盖章</w:t>
            </w:r>
            <w:r>
              <w:rPr>
                <w:rFonts w:ascii="Times New Roman" w:hAnsi="Times New Roman" w:eastAsia="宋体" w:cs="Times New Roman"/>
                <w:kern w:val="0"/>
                <w:sz w:val="21"/>
                <w:szCs w:val="21"/>
                <w:lang w:val="en-US" w:eastAsia="zh-CN" w:bidi="ar-SA"/>
              </w:rPr>
              <w:t>Signature et cachet de la lettre de réponse</w:t>
            </w:r>
          </w:p>
        </w:tc>
        <w:tc>
          <w:tcPr>
            <w:tcW w:w="6238" w:type="dxa"/>
            <w:noWrap w:val="0"/>
            <w:vAlign w:val="center"/>
          </w:tcPr>
          <w:p w14:paraId="362D6BFB">
            <w:pPr>
              <w:rPr>
                <w:rFonts w:hint="eastAsia" w:ascii="宋体" w:hAnsi="宋体"/>
                <w:sz w:val="21"/>
                <w:szCs w:val="21"/>
                <w:highlight w:val="none"/>
              </w:rPr>
            </w:pPr>
            <w:r>
              <w:rPr>
                <w:rFonts w:hint="eastAsia" w:ascii="宋体" w:hAnsi="宋体"/>
                <w:sz w:val="21"/>
                <w:szCs w:val="21"/>
                <w:highlight w:val="none"/>
                <w:lang w:val="en-US" w:eastAsia="zh-CN"/>
              </w:rPr>
              <w:t>有</w:t>
            </w:r>
            <w:r>
              <w:rPr>
                <w:rFonts w:hint="eastAsia" w:ascii="宋体" w:hAnsi="宋体"/>
                <w:sz w:val="21"/>
                <w:szCs w:val="21"/>
                <w:highlight w:val="none"/>
              </w:rPr>
              <w:t>法定代表人（单位负责人）或其委托代理人签字或加盖单位章</w:t>
            </w:r>
          </w:p>
          <w:p w14:paraId="769E366A">
            <w:pPr>
              <w:rPr>
                <w:rFonts w:hint="eastAsia" w:ascii="宋体" w:hAnsi="宋体"/>
                <w:sz w:val="21"/>
                <w:szCs w:val="21"/>
                <w:highlight w:val="none"/>
                <w:lang w:val="en-US" w:eastAsia="zh-CN"/>
              </w:rPr>
            </w:pPr>
            <w:r>
              <w:rPr>
                <w:rFonts w:ascii="Times New Roman" w:hAnsi="Times New Roman" w:eastAsia="宋体" w:cs="Times New Roman"/>
                <w:kern w:val="0"/>
                <w:sz w:val="21"/>
                <w:szCs w:val="21"/>
                <w:lang w:val="en-US" w:eastAsia="zh-CN" w:bidi="ar-SA"/>
              </w:rPr>
              <w:t>Portant la signature du représentant légal (responsable de l'unité) ou de son mandataire, ou revêtue du cachet de l'unité</w:t>
            </w:r>
          </w:p>
        </w:tc>
      </w:tr>
      <w:tr w14:paraId="048F7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6" w:hRule="atLeast"/>
          <w:jc w:val="center"/>
        </w:trPr>
        <w:tc>
          <w:tcPr>
            <w:tcW w:w="769" w:type="dxa"/>
            <w:gridSpan w:val="2"/>
            <w:vMerge w:val="restart"/>
            <w:noWrap w:val="0"/>
            <w:vAlign w:val="center"/>
          </w:tcPr>
          <w:p w14:paraId="70F6C223">
            <w:pPr>
              <w:jc w:val="center"/>
              <w:rPr>
                <w:rFonts w:ascii="宋体" w:hAnsi="宋体"/>
                <w:sz w:val="21"/>
                <w:szCs w:val="21"/>
                <w:highlight w:val="none"/>
              </w:rPr>
            </w:pPr>
            <w:r>
              <w:rPr>
                <w:rFonts w:hint="eastAsia" w:ascii="宋体" w:hAnsi="宋体"/>
                <w:sz w:val="21"/>
                <w:szCs w:val="21"/>
                <w:highlight w:val="none"/>
              </w:rPr>
              <w:t>2</w:t>
            </w:r>
          </w:p>
        </w:tc>
        <w:tc>
          <w:tcPr>
            <w:tcW w:w="2835" w:type="dxa"/>
            <w:gridSpan w:val="2"/>
            <w:noWrap w:val="0"/>
            <w:vAlign w:val="center"/>
          </w:tcPr>
          <w:p w14:paraId="3755F40A">
            <w:pPr>
              <w:jc w:val="center"/>
              <w:rPr>
                <w:rFonts w:hint="eastAsia" w:ascii="宋体" w:hAnsi="宋体"/>
                <w:sz w:val="21"/>
                <w:szCs w:val="21"/>
                <w:highlight w:val="none"/>
              </w:rPr>
            </w:pPr>
            <w:r>
              <w:rPr>
                <w:rFonts w:hint="eastAsia" w:ascii="宋体" w:hAnsi="宋体"/>
                <w:sz w:val="21"/>
                <w:szCs w:val="21"/>
                <w:highlight w:val="none"/>
              </w:rPr>
              <w:t>串通响应等违法行为评审条件</w:t>
            </w:r>
            <w:r>
              <w:rPr>
                <w:rFonts w:ascii="宋体" w:hAnsi="宋体" w:eastAsia="宋体" w:cs="宋体"/>
                <w:sz w:val="21"/>
                <w:szCs w:val="21"/>
              </w:rPr>
              <w:t>Critère d'examen des actes illicites tels que la collusion dans la réponse</w:t>
            </w:r>
          </w:p>
        </w:tc>
        <w:tc>
          <w:tcPr>
            <w:tcW w:w="6238" w:type="dxa"/>
            <w:noWrap w:val="0"/>
            <w:vAlign w:val="center"/>
          </w:tcPr>
          <w:p w14:paraId="225BB320">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除国家招标投标法、招标投标法实施条例等规定外，不同应答人的响应文件出现以下情形的，均视为应答人串通投标，将被否决。其在本批次所有应答的项目均将被否决。 Outre les dispositions de la Loi sur les appels d'offres et les soumissions, de son Règlement d'application, etc., lorsque les dossiers de réponse de différents candidats présentent l'une des situations suivantes, les candidats concernés sont réputés avoir commis une collusion dans la soumission et leurs réponses seront rejetées ; tous les projets auxquels ils ont répondu dans le présent lot seront également rejetés.</w:t>
            </w:r>
          </w:p>
          <w:p w14:paraId="15F6E2F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360" w:leftChars="0" w:firstLine="420" w:firstLineChars="200"/>
              <w:textAlignment w:val="auto"/>
              <w:rPr>
                <w:sz w:val="21"/>
                <w:szCs w:val="21"/>
              </w:rPr>
            </w:pPr>
            <w:r>
              <w:rPr>
                <w:rFonts w:hint="eastAsia"/>
                <w:sz w:val="21"/>
                <w:szCs w:val="21"/>
                <w:lang w:val="en-US" w:eastAsia="zh-CN"/>
              </w:rPr>
              <w:t>1.</w:t>
            </w:r>
            <w:r>
              <w:rPr>
                <w:sz w:val="21"/>
                <w:szCs w:val="21"/>
              </w:rPr>
              <w:t xml:space="preserve">有下列情形之一的，视为应答人串通投标，其响应无效： Dans l'un des cas suivants, les candidats sont réputés avoir commis une collusion dans la </w:t>
            </w:r>
            <w:r>
              <w:rPr>
                <w:rFonts w:hint="eastAsia"/>
                <w:sz w:val="21"/>
                <w:szCs w:val="21"/>
                <w:lang w:val="en-US" w:eastAsia="zh-CN"/>
              </w:rPr>
              <w:t xml:space="preserve"> </w:t>
            </w:r>
            <w:r>
              <w:rPr>
                <w:sz w:val="21"/>
                <w:szCs w:val="21"/>
              </w:rPr>
              <w:t>soumission et leur réponse est nulle :</w:t>
            </w:r>
          </w:p>
          <w:p w14:paraId="4FF95723">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(1) 不同应答人的响应文件由同一单位或者个人编制（不同应答人的电子响应文件上传计算机的网卡 MAC 地址、CPU 序列号和硬盘序列号等硬件信息均相同，视为响应文件由同一单位或者个人编制）； les dossiers de réponse de différents candidats sont établis par la même unité ou la même personne (lorsque les informations matérielles — adresse MAC de la carte réseau, numéro de série du processeur, numéro de série du disque dur, etc. — des ordinateurs utilisés pour le téléversement des dossiers de réponse électroniques de différents candidats sont identiques, les dossiers sont réputés avoir été établis par la même unité ou la même personne) ;</w:t>
            </w:r>
          </w:p>
          <w:p w14:paraId="39EFB933">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(2) 不同应答人委托同一单位或者个人办理响应事宜； différents candidats mandatent la même unité ou la même personne pour traiter les formalités relatives à la réponse ;</w:t>
            </w:r>
          </w:p>
          <w:p w14:paraId="1ABDA3D7">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(3) 不同应答人的响应文件载明的项目管理成员为同一人； les dossiers de réponse de différents candidats désignent la même personne comme membre de la direction du projet ;</w:t>
            </w:r>
          </w:p>
          <w:p w14:paraId="3E2609A8">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(4) 不同应答人的响应文件异常一致或者响应报价呈规律性差异； les dossiers de réponse de différents candidats sont anormalement identiques, ou leurs offres de prix présentent des différences régulières ;</w:t>
            </w:r>
          </w:p>
          <w:p w14:paraId="0D953185">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(5) 不同应答人的响应文件相互混装； les dossiers de réponse de différents candidats sont mutuellement mélangés ;</w:t>
            </w:r>
          </w:p>
          <w:p w14:paraId="55A5422E">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(6) 不同应答人的投标保证金从同一单位或者个人的账户转出； les cautions de soumission de différents candidats sont transférées depuis le compte d'une même unité ou d'une même personne ;</w:t>
            </w:r>
          </w:p>
          <w:p w14:paraId="6290F9C8">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(7) 不同应答人使用相同 IP 地址上传响应文件； différents candidats utilisent la même adresse IP pour téléverser leurs dossiers de réponse ;</w:t>
            </w:r>
          </w:p>
          <w:p w14:paraId="13287DC1">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(8) 不同应答人使用相同 IP 地址下载采购文件； différents candidats utilisent la même adresse IP pour télécharger le document d'achat ;</w:t>
            </w:r>
          </w:p>
          <w:p w14:paraId="768AFB84">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(9) 不同应答人购标人员姓名或联系方式相同。 les noms ou coordonnées des personnes en charge de l'achat du dossier sont identiques entre différents candidats ;</w:t>
            </w:r>
          </w:p>
          <w:p w14:paraId="049320EF">
            <w:pPr>
              <w:pStyle w:val="3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exact"/>
              <w:ind w:left="0"/>
              <w:textAlignment w:val="auto"/>
              <w:rPr>
                <w:sz w:val="21"/>
                <w:szCs w:val="21"/>
              </w:rPr>
            </w:pPr>
            <w:r>
              <w:rPr>
                <w:sz w:val="21"/>
                <w:szCs w:val="21"/>
              </w:rPr>
              <w:t>(10) 响应文件文档最后编辑人或作者为同一人名，且评审小组经评审后无法合理解释的。 le dernier éditeur ou l'auteur des documents du dossier de réponse porte le même nom chez différents candidats, sans qu'aucune explication raisonnable puisse être fournie par le comité d'évaluation après examen.</w:t>
            </w:r>
          </w:p>
          <w:p w14:paraId="29BC29D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360" w:leftChars="0" w:firstLine="420" w:firstLineChars="200"/>
              <w:textAlignment w:val="auto"/>
              <w:rPr>
                <w:rFonts w:hint="eastAsia" w:ascii="宋体" w:hAnsi="宋体"/>
                <w:sz w:val="21"/>
                <w:szCs w:val="21"/>
                <w:highlight w:val="none"/>
              </w:rPr>
            </w:pPr>
            <w:r>
              <w:rPr>
                <w:rFonts w:hint="eastAsia"/>
                <w:sz w:val="21"/>
                <w:szCs w:val="21"/>
                <w:lang w:val="en-US" w:eastAsia="zh-CN"/>
              </w:rPr>
              <w:t>2.</w:t>
            </w:r>
            <w:r>
              <w:rPr>
                <w:sz w:val="21"/>
                <w:szCs w:val="21"/>
              </w:rPr>
              <w:t>重新采购后，原应答人在前次响应中有串通投标、弄虚作假、行贿等违法行为的。 Lorsqu'après un nouvel achat, le candidat initial a commis, lors de sa réponse précédente, des actes illicites tels que collusion dans la soumission, falsification ou versement de pots-de-vin.</w:t>
            </w:r>
          </w:p>
        </w:tc>
      </w:tr>
      <w:tr w14:paraId="48034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9" w:hRule="atLeast"/>
          <w:jc w:val="center"/>
        </w:trPr>
        <w:tc>
          <w:tcPr>
            <w:tcW w:w="769" w:type="dxa"/>
            <w:gridSpan w:val="2"/>
            <w:vMerge w:val="continue"/>
            <w:noWrap w:val="0"/>
            <w:vAlign w:val="center"/>
          </w:tcPr>
          <w:p w14:paraId="616FC2B2">
            <w:pPr>
              <w:rPr>
                <w:rFonts w:ascii="宋体" w:hAnsi="宋体"/>
                <w:sz w:val="21"/>
                <w:szCs w:val="21"/>
                <w:highlight w:val="none"/>
              </w:rPr>
            </w:pPr>
          </w:p>
        </w:tc>
        <w:tc>
          <w:tcPr>
            <w:tcW w:w="2835" w:type="dxa"/>
            <w:gridSpan w:val="2"/>
            <w:noWrap w:val="0"/>
            <w:vAlign w:val="center"/>
          </w:tcPr>
          <w:p w14:paraId="41426B26">
            <w:pPr>
              <w:jc w:val="center"/>
              <w:rPr>
                <w:rFonts w:hint="eastAsia" w:ascii="宋体" w:hAnsi="宋体"/>
                <w:sz w:val="21"/>
                <w:szCs w:val="21"/>
                <w:highlight w:val="none"/>
              </w:rPr>
            </w:pPr>
            <w:r>
              <w:rPr>
                <w:rFonts w:ascii="宋体" w:hAnsi="宋体" w:eastAsia="宋体" w:cs="宋体"/>
                <w:sz w:val="21"/>
                <w:szCs w:val="21"/>
              </w:rPr>
              <w:t xml:space="preserve">无效响应条件 / </w:t>
            </w:r>
            <w:r>
              <w:rPr>
                <w:rFonts w:ascii="Times New Roman" w:hAnsi="Times New Roman" w:eastAsia="宋体" w:cs="Times New Roman"/>
                <w:sz w:val="21"/>
                <w:szCs w:val="21"/>
              </w:rPr>
              <w:t>Conditions de nullité de la réponse</w:t>
            </w:r>
          </w:p>
        </w:tc>
        <w:tc>
          <w:tcPr>
            <w:tcW w:w="6238" w:type="dxa"/>
            <w:noWrap w:val="0"/>
            <w:vAlign w:val="center"/>
          </w:tcPr>
          <w:p w14:paraId="4A6593D9">
            <w:pPr>
              <w:rPr>
                <w:rFonts w:hint="eastAsia" w:ascii="宋体" w:hAnsi="宋体"/>
                <w:sz w:val="21"/>
                <w:szCs w:val="21"/>
                <w:highlight w:val="none"/>
              </w:rPr>
            </w:pPr>
            <w:r>
              <w:rPr>
                <w:rFonts w:ascii="宋体" w:hAnsi="宋体" w:eastAsia="宋体" w:cs="宋体"/>
                <w:sz w:val="21"/>
                <w:szCs w:val="21"/>
              </w:rPr>
              <w:t>除国家招标投标法、招标投标法实施条例等规定外，不同应答人的响应文件出现以下情形的，视为无效响应：单位负责人为同一人或者存在控股、管理关系的不同单位，不得参加同一标段报价或者未划分标段的同一采购项目报价。单位负责人是指法人组织的法定代表人或非法人组织的负责人。</w:t>
            </w:r>
            <w:r>
              <w:rPr>
                <w:rFonts w:ascii="Times New Roman" w:hAnsi="Times New Roman" w:eastAsia="宋体" w:cs="Times New Roman"/>
                <w:sz w:val="21"/>
                <w:szCs w:val="21"/>
              </w:rPr>
              <w:t xml:space="preserve"> Outre les dispositions de la Loi sur les appels d'offres et les soumissions et de son Règlement d'application, la réponse est réputée nulle lorsque les dossiers de réponse de différents candidats présentent les situations suivantes : les différentes unités dont le responsable est identique, ou qui sont liées par des relations de contrôle ou de gestion, ne peuvent pas participer à la soumission pour le même lot, ni pour le même projet d'achat non divisé en lots. Le responsable de l'unité s'entend du représentant légal d'une personne morale ou du responsable d'une organisation non dotée de la personnalité morale.</w:t>
            </w:r>
          </w:p>
        </w:tc>
      </w:tr>
      <w:tr w14:paraId="079A2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restart"/>
            <w:noWrap w:val="0"/>
            <w:vAlign w:val="center"/>
          </w:tcPr>
          <w:p w14:paraId="01B3861A">
            <w:pPr>
              <w:jc w:val="center"/>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3</w:t>
            </w:r>
          </w:p>
        </w:tc>
        <w:tc>
          <w:tcPr>
            <w:tcW w:w="2835" w:type="dxa"/>
            <w:gridSpan w:val="2"/>
            <w:noWrap w:val="0"/>
            <w:vAlign w:val="center"/>
          </w:tcPr>
          <w:p w14:paraId="05576647">
            <w:pPr>
              <w:jc w:val="center"/>
              <w:rPr>
                <w:rFonts w:ascii="宋体" w:hAnsi="宋体" w:eastAsia="宋体"/>
                <w:kern w:val="2"/>
                <w:sz w:val="21"/>
                <w:szCs w:val="21"/>
                <w:highlight w:val="none"/>
                <w:lang w:val="en-US" w:eastAsia="zh-CN" w:bidi="ar-SA"/>
              </w:rPr>
            </w:pPr>
            <w:r>
              <w:rPr>
                <w:rFonts w:ascii="宋体" w:hAnsi="宋体" w:eastAsia="宋体" w:cs="宋体"/>
                <w:sz w:val="21"/>
                <w:szCs w:val="21"/>
              </w:rPr>
              <w:t>基本资格要求</w:t>
            </w:r>
            <w:r>
              <w:rPr>
                <w:rFonts w:ascii="Times New Roman" w:hAnsi="Times New Roman" w:eastAsia="宋体" w:cs="Times New Roman"/>
                <w:sz w:val="21"/>
                <w:szCs w:val="21"/>
              </w:rPr>
              <w:t>Exigences de qualification générales</w:t>
            </w:r>
          </w:p>
        </w:tc>
        <w:tc>
          <w:tcPr>
            <w:tcW w:w="6238" w:type="dxa"/>
            <w:noWrap w:val="0"/>
            <w:vAlign w:val="center"/>
          </w:tcPr>
          <w:p w14:paraId="65C2E46C">
            <w:pPr>
              <w:rPr>
                <w:rFonts w:ascii="宋体" w:hAnsi="宋体" w:eastAsia="宋体"/>
                <w:kern w:val="2"/>
                <w:sz w:val="21"/>
                <w:szCs w:val="21"/>
                <w:highlight w:val="none"/>
                <w:lang w:val="en-US" w:eastAsia="zh-CN" w:bidi="ar-SA"/>
              </w:rPr>
            </w:pPr>
            <w:r>
              <w:rPr>
                <w:rFonts w:ascii="宋体" w:hAnsi="宋体" w:eastAsia="宋体" w:cs="宋体"/>
                <w:sz w:val="21"/>
                <w:szCs w:val="21"/>
              </w:rPr>
              <w:t>符合第一章 "应答人须知" 第 1.4.1 项规定</w:t>
            </w:r>
            <w:r>
              <w:rPr>
                <w:rFonts w:ascii="Times New Roman" w:hAnsi="Times New Roman" w:eastAsia="宋体" w:cs="Times New Roman"/>
                <w:sz w:val="21"/>
                <w:szCs w:val="21"/>
              </w:rPr>
              <w:t>Conforme aux dispositions du point 1.4.1 du chapitre I « Instructions aux candidats »</w:t>
            </w:r>
          </w:p>
        </w:tc>
      </w:tr>
      <w:tr w14:paraId="4DBFC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18079EDB">
            <w:pPr>
              <w:rPr>
                <w:rFonts w:ascii="宋体" w:hAnsi="宋体"/>
                <w:sz w:val="21"/>
                <w:szCs w:val="21"/>
                <w:highlight w:val="none"/>
              </w:rPr>
            </w:pPr>
          </w:p>
        </w:tc>
        <w:tc>
          <w:tcPr>
            <w:tcW w:w="2835" w:type="dxa"/>
            <w:gridSpan w:val="2"/>
            <w:noWrap w:val="0"/>
            <w:vAlign w:val="center"/>
          </w:tcPr>
          <w:p w14:paraId="4AD1F814">
            <w:pPr>
              <w:jc w:val="center"/>
              <w:rPr>
                <w:rFonts w:hint="default" w:ascii="宋体" w:hAnsi="宋体" w:eastAsia="宋体"/>
                <w:kern w:val="2"/>
                <w:sz w:val="21"/>
                <w:szCs w:val="21"/>
                <w:highlight w:val="none"/>
                <w:lang w:val="en-US" w:eastAsia="zh-CN" w:bidi="ar-SA"/>
              </w:rPr>
            </w:pPr>
            <w:r>
              <w:rPr>
                <w:rFonts w:ascii="宋体" w:hAnsi="宋体" w:eastAsia="宋体" w:cs="宋体"/>
                <w:sz w:val="21"/>
                <w:szCs w:val="21"/>
              </w:rPr>
              <w:t>资质要求Exigences d'agrément</w:t>
            </w:r>
          </w:p>
        </w:tc>
        <w:tc>
          <w:tcPr>
            <w:tcW w:w="6238" w:type="dxa"/>
            <w:noWrap w:val="0"/>
            <w:vAlign w:val="center"/>
          </w:tcPr>
          <w:p w14:paraId="2C7526F6">
            <w:pPr>
              <w:rPr>
                <w:rFonts w:ascii="宋体" w:hAnsi="宋体" w:eastAsia="宋体"/>
                <w:kern w:val="2"/>
                <w:sz w:val="21"/>
                <w:szCs w:val="21"/>
                <w:highlight w:val="none"/>
                <w:lang w:val="en-US" w:eastAsia="zh-CN" w:bidi="ar-SA"/>
              </w:rPr>
            </w:pPr>
            <w:r>
              <w:rPr>
                <w:rFonts w:ascii="宋体" w:hAnsi="宋体" w:eastAsia="宋体" w:cs="宋体"/>
                <w:sz w:val="21"/>
                <w:szCs w:val="21"/>
              </w:rPr>
              <w:t>符合第一章 "应答人须知" 第 1.4.2 项规定</w:t>
            </w:r>
            <w:r>
              <w:rPr>
                <w:rFonts w:ascii="Times New Roman" w:hAnsi="Times New Roman" w:eastAsia="宋体" w:cs="Times New Roman"/>
                <w:sz w:val="21"/>
                <w:szCs w:val="21"/>
              </w:rPr>
              <w:t>Conforme aux dispositions du point 1.4.2 du chapitre I « Instructions aux candidats »</w:t>
            </w:r>
          </w:p>
        </w:tc>
      </w:tr>
      <w:tr w14:paraId="6A9A9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1DAAF3FD">
            <w:pPr>
              <w:rPr>
                <w:rFonts w:ascii="宋体" w:hAnsi="宋体"/>
                <w:sz w:val="21"/>
                <w:szCs w:val="21"/>
                <w:highlight w:val="none"/>
              </w:rPr>
            </w:pPr>
          </w:p>
        </w:tc>
        <w:tc>
          <w:tcPr>
            <w:tcW w:w="2835" w:type="dxa"/>
            <w:gridSpan w:val="2"/>
            <w:noWrap w:val="0"/>
            <w:vAlign w:val="center"/>
          </w:tcPr>
          <w:p w14:paraId="67FB8258">
            <w:pPr>
              <w:jc w:val="center"/>
              <w:rPr>
                <w:rFonts w:hint="eastAsia" w:ascii="宋体" w:hAnsi="宋体" w:eastAsia="宋体"/>
                <w:kern w:val="2"/>
                <w:sz w:val="21"/>
                <w:szCs w:val="21"/>
                <w:highlight w:val="none"/>
                <w:lang w:val="en-US" w:eastAsia="zh-CN" w:bidi="ar-SA"/>
              </w:rPr>
            </w:pPr>
            <w:r>
              <w:rPr>
                <w:rFonts w:ascii="宋体" w:hAnsi="宋体" w:eastAsia="宋体" w:cs="宋体"/>
                <w:sz w:val="21"/>
                <w:szCs w:val="21"/>
              </w:rPr>
              <w:t>业绩要求Exigences de références</w:t>
            </w:r>
          </w:p>
        </w:tc>
        <w:tc>
          <w:tcPr>
            <w:tcW w:w="6238" w:type="dxa"/>
            <w:noWrap w:val="0"/>
            <w:vAlign w:val="center"/>
          </w:tcPr>
          <w:p w14:paraId="72647DB4">
            <w:pPr>
              <w:rPr>
                <w:rFonts w:ascii="宋体" w:hAnsi="宋体" w:eastAsia="宋体"/>
                <w:kern w:val="2"/>
                <w:sz w:val="21"/>
                <w:szCs w:val="21"/>
                <w:highlight w:val="none"/>
                <w:lang w:val="en-US" w:eastAsia="zh-CN" w:bidi="ar-SA"/>
              </w:rPr>
            </w:pPr>
            <w:r>
              <w:rPr>
                <w:rFonts w:ascii="宋体" w:hAnsi="宋体" w:eastAsia="宋体" w:cs="宋体"/>
                <w:sz w:val="21"/>
                <w:szCs w:val="21"/>
              </w:rPr>
              <w:t>符合第一章 "应答人须知" 第 1.4.2 项规定</w:t>
            </w:r>
            <w:r>
              <w:rPr>
                <w:rFonts w:ascii="Times New Roman" w:hAnsi="Times New Roman" w:eastAsia="宋体" w:cs="Times New Roman"/>
                <w:sz w:val="21"/>
                <w:szCs w:val="21"/>
              </w:rPr>
              <w:t>Conforme aux dispositions du point 1.4.2 du chapitre I « Instructions aux candidats »</w:t>
            </w:r>
          </w:p>
        </w:tc>
      </w:tr>
      <w:tr w14:paraId="1353E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304C2BD2">
            <w:pPr>
              <w:rPr>
                <w:rFonts w:ascii="宋体" w:hAnsi="宋体"/>
                <w:sz w:val="21"/>
                <w:szCs w:val="21"/>
                <w:highlight w:val="none"/>
              </w:rPr>
            </w:pPr>
          </w:p>
        </w:tc>
        <w:tc>
          <w:tcPr>
            <w:tcW w:w="2835" w:type="dxa"/>
            <w:gridSpan w:val="2"/>
            <w:noWrap w:val="0"/>
            <w:vAlign w:val="center"/>
          </w:tcPr>
          <w:p w14:paraId="4B7B273C">
            <w:pPr>
              <w:jc w:val="center"/>
              <w:rPr>
                <w:rFonts w:hint="eastAsia" w:ascii="宋体" w:hAnsi="宋体" w:eastAsia="宋体"/>
                <w:kern w:val="2"/>
                <w:sz w:val="21"/>
                <w:szCs w:val="21"/>
                <w:highlight w:val="none"/>
                <w:lang w:val="en-US" w:eastAsia="zh-CN" w:bidi="ar-SA"/>
              </w:rPr>
            </w:pPr>
            <w:r>
              <w:rPr>
                <w:rFonts w:ascii="宋体" w:hAnsi="宋体" w:eastAsia="宋体" w:cs="宋体"/>
                <w:sz w:val="21"/>
                <w:szCs w:val="21"/>
              </w:rPr>
              <w:t>项目负责人Responsable du projet</w:t>
            </w:r>
          </w:p>
        </w:tc>
        <w:tc>
          <w:tcPr>
            <w:tcW w:w="6238" w:type="dxa"/>
            <w:noWrap w:val="0"/>
            <w:vAlign w:val="center"/>
          </w:tcPr>
          <w:p w14:paraId="39428DFC">
            <w:pPr>
              <w:rPr>
                <w:rFonts w:ascii="宋体" w:hAnsi="宋体" w:eastAsia="宋体"/>
                <w:kern w:val="2"/>
                <w:sz w:val="21"/>
                <w:szCs w:val="21"/>
                <w:highlight w:val="none"/>
                <w:lang w:val="en-US" w:eastAsia="zh-CN" w:bidi="ar-SA"/>
              </w:rPr>
            </w:pPr>
            <w:r>
              <w:rPr>
                <w:rFonts w:ascii="宋体" w:hAnsi="宋体" w:eastAsia="宋体" w:cs="宋体"/>
                <w:sz w:val="21"/>
                <w:szCs w:val="21"/>
              </w:rPr>
              <w:t>符合第一章 "应答人须知" 第 1.4.2 项规定</w:t>
            </w:r>
            <w:r>
              <w:rPr>
                <w:rFonts w:ascii="Times New Roman" w:hAnsi="Times New Roman" w:eastAsia="宋体" w:cs="Times New Roman"/>
                <w:sz w:val="21"/>
                <w:szCs w:val="21"/>
              </w:rPr>
              <w:t>Conforme aux dispositions du point 1.4.2 du chapitre I « Instructions aux candidats »</w:t>
            </w:r>
          </w:p>
        </w:tc>
      </w:tr>
      <w:tr w14:paraId="7D2B7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472AFBFA">
            <w:pPr>
              <w:rPr>
                <w:rFonts w:ascii="宋体" w:hAnsi="宋体"/>
                <w:sz w:val="21"/>
                <w:szCs w:val="21"/>
                <w:highlight w:val="none"/>
              </w:rPr>
            </w:pPr>
          </w:p>
        </w:tc>
        <w:tc>
          <w:tcPr>
            <w:tcW w:w="2835" w:type="dxa"/>
            <w:gridSpan w:val="2"/>
            <w:noWrap w:val="0"/>
            <w:vAlign w:val="center"/>
          </w:tcPr>
          <w:p w14:paraId="0A16ED2C">
            <w:pPr>
              <w:jc w:val="center"/>
              <w:rPr>
                <w:rFonts w:hint="eastAsia" w:ascii="宋体" w:hAnsi="宋体" w:eastAsia="宋体"/>
                <w:kern w:val="2"/>
                <w:sz w:val="21"/>
                <w:szCs w:val="21"/>
                <w:highlight w:val="none"/>
                <w:lang w:val="en-US" w:eastAsia="zh-CN" w:bidi="ar-SA"/>
              </w:rPr>
            </w:pPr>
            <w:r>
              <w:rPr>
                <w:rFonts w:ascii="宋体" w:hAnsi="宋体" w:eastAsia="宋体" w:cs="宋体"/>
                <w:sz w:val="21"/>
                <w:szCs w:val="21"/>
              </w:rPr>
              <w:t>其他要求Autres exigences</w:t>
            </w:r>
          </w:p>
        </w:tc>
        <w:tc>
          <w:tcPr>
            <w:tcW w:w="6238" w:type="dxa"/>
            <w:noWrap w:val="0"/>
            <w:vAlign w:val="center"/>
          </w:tcPr>
          <w:p w14:paraId="0874EC40">
            <w:pPr>
              <w:rPr>
                <w:rFonts w:ascii="宋体" w:hAnsi="宋体" w:eastAsia="宋体"/>
                <w:kern w:val="2"/>
                <w:sz w:val="21"/>
                <w:szCs w:val="21"/>
                <w:highlight w:val="none"/>
                <w:lang w:val="en-US" w:eastAsia="zh-CN" w:bidi="ar-SA"/>
              </w:rPr>
            </w:pPr>
            <w:r>
              <w:rPr>
                <w:rFonts w:ascii="宋体" w:hAnsi="宋体" w:eastAsia="宋体" w:cs="宋体"/>
                <w:sz w:val="21"/>
                <w:szCs w:val="21"/>
              </w:rPr>
              <w:t>符合第一章 "应答人须知" 第 1.4.2 项规定</w:t>
            </w:r>
            <w:r>
              <w:rPr>
                <w:rFonts w:ascii="Times New Roman" w:hAnsi="Times New Roman" w:eastAsia="宋体" w:cs="Times New Roman"/>
                <w:sz w:val="21"/>
                <w:szCs w:val="21"/>
              </w:rPr>
              <w:t>Conforme aux dispositions du point 1.4.2 du chapitre I « Instructions aux candidats »</w:t>
            </w:r>
          </w:p>
        </w:tc>
      </w:tr>
      <w:tr w14:paraId="41F93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401FC992">
            <w:pPr>
              <w:rPr>
                <w:rFonts w:ascii="宋体" w:hAnsi="宋体"/>
                <w:sz w:val="21"/>
                <w:szCs w:val="21"/>
                <w:highlight w:val="none"/>
              </w:rPr>
            </w:pPr>
          </w:p>
        </w:tc>
        <w:tc>
          <w:tcPr>
            <w:tcW w:w="2835" w:type="dxa"/>
            <w:gridSpan w:val="2"/>
            <w:noWrap w:val="0"/>
            <w:vAlign w:val="center"/>
          </w:tcPr>
          <w:p w14:paraId="41E0CD84">
            <w:pPr>
              <w:jc w:val="center"/>
              <w:rPr>
                <w:rFonts w:hint="eastAsia" w:ascii="宋体" w:hAnsi="宋体" w:eastAsia="宋体" w:cs="宋体"/>
                <w:kern w:val="2"/>
                <w:sz w:val="21"/>
                <w:szCs w:val="21"/>
                <w:highlight w:val="none"/>
                <w:lang w:val="en-US" w:eastAsia="zh-CN" w:bidi="ar-SA"/>
              </w:rPr>
            </w:pPr>
            <w:r>
              <w:rPr>
                <w:rFonts w:ascii="宋体" w:hAnsi="宋体" w:eastAsia="宋体" w:cs="宋体"/>
                <w:sz w:val="21"/>
                <w:szCs w:val="21"/>
              </w:rPr>
              <w:t>响应报价Offre de prix</w:t>
            </w:r>
          </w:p>
        </w:tc>
        <w:tc>
          <w:tcPr>
            <w:tcW w:w="6238" w:type="dxa"/>
            <w:noWrap w:val="0"/>
            <w:vAlign w:val="center"/>
          </w:tcPr>
          <w:p w14:paraId="1CA3D11D">
            <w:pPr>
              <w:rPr>
                <w:rFonts w:hint="eastAsia" w:ascii="宋体" w:hAnsi="宋体" w:eastAsia="宋体" w:cs="宋体"/>
                <w:kern w:val="2"/>
                <w:sz w:val="21"/>
                <w:szCs w:val="21"/>
                <w:highlight w:val="none"/>
                <w:lang w:val="en-US" w:eastAsia="zh-CN" w:bidi="ar-SA"/>
              </w:rPr>
            </w:pPr>
            <w:r>
              <w:rPr>
                <w:rFonts w:ascii="宋体" w:hAnsi="宋体" w:eastAsia="宋体" w:cs="宋体"/>
                <w:sz w:val="21"/>
                <w:szCs w:val="21"/>
              </w:rPr>
              <w:t>符合 "响应文件格式 B" 规定</w:t>
            </w:r>
            <w:r>
              <w:rPr>
                <w:rFonts w:ascii="Times New Roman" w:hAnsi="Times New Roman" w:eastAsia="宋体" w:cs="Times New Roman"/>
                <w:sz w:val="21"/>
                <w:szCs w:val="21"/>
              </w:rPr>
              <w:t>Conforme aux dispositions du « Format B du dossier de réponse »</w:t>
            </w:r>
          </w:p>
        </w:tc>
      </w:tr>
      <w:tr w14:paraId="31F10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2D2EA68C">
            <w:pPr>
              <w:rPr>
                <w:rFonts w:ascii="宋体" w:hAnsi="宋体"/>
                <w:sz w:val="21"/>
                <w:szCs w:val="21"/>
                <w:highlight w:val="none"/>
              </w:rPr>
            </w:pPr>
          </w:p>
        </w:tc>
        <w:tc>
          <w:tcPr>
            <w:tcW w:w="2835" w:type="dxa"/>
            <w:gridSpan w:val="2"/>
            <w:noWrap w:val="0"/>
            <w:vAlign w:val="center"/>
          </w:tcPr>
          <w:p w14:paraId="5A0EA348">
            <w:pPr>
              <w:jc w:val="center"/>
              <w:rPr>
                <w:rFonts w:hint="eastAsia" w:ascii="宋体" w:hAnsi="宋体" w:eastAsia="宋体" w:cs="宋体"/>
                <w:kern w:val="2"/>
                <w:sz w:val="21"/>
                <w:szCs w:val="21"/>
                <w:highlight w:val="none"/>
                <w:lang w:val="en-US" w:eastAsia="zh-CN" w:bidi="ar-SA"/>
              </w:rPr>
            </w:pPr>
            <w:r>
              <w:rPr>
                <w:rFonts w:ascii="宋体" w:hAnsi="宋体" w:eastAsia="宋体" w:cs="宋体"/>
                <w:sz w:val="21"/>
                <w:szCs w:val="21"/>
              </w:rPr>
              <w:t>报价有效期Validité de l'offre</w:t>
            </w:r>
          </w:p>
        </w:tc>
        <w:tc>
          <w:tcPr>
            <w:tcW w:w="6238" w:type="dxa"/>
            <w:noWrap w:val="0"/>
            <w:vAlign w:val="center"/>
          </w:tcPr>
          <w:p w14:paraId="35568480">
            <w:pPr>
              <w:rPr>
                <w:rFonts w:hint="eastAsia" w:ascii="宋体" w:hAnsi="宋体" w:eastAsia="宋体" w:cs="宋体"/>
                <w:kern w:val="2"/>
                <w:sz w:val="21"/>
                <w:szCs w:val="21"/>
                <w:highlight w:val="none"/>
                <w:lang w:val="en-US" w:eastAsia="zh-CN" w:bidi="ar-SA"/>
              </w:rPr>
            </w:pPr>
            <w:r>
              <w:rPr>
                <w:rFonts w:ascii="宋体" w:hAnsi="宋体" w:eastAsia="宋体" w:cs="宋体"/>
                <w:sz w:val="21"/>
                <w:szCs w:val="21"/>
              </w:rPr>
              <w:t>符合第一章 "应答人须知"1.6.3 规定</w:t>
            </w:r>
            <w:r>
              <w:rPr>
                <w:rFonts w:ascii="Times New Roman" w:hAnsi="Times New Roman" w:eastAsia="宋体" w:cs="Times New Roman"/>
                <w:sz w:val="21"/>
                <w:szCs w:val="21"/>
              </w:rPr>
              <w:t>Conforme aux dispositions du point 1.6.3 du chapitre I « Instructions aux candidats »</w:t>
            </w:r>
          </w:p>
        </w:tc>
      </w:tr>
      <w:tr w14:paraId="643D6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36284743">
            <w:pPr>
              <w:rPr>
                <w:rFonts w:ascii="宋体" w:hAnsi="宋体"/>
                <w:sz w:val="21"/>
                <w:szCs w:val="21"/>
                <w:highlight w:val="none"/>
              </w:rPr>
            </w:pPr>
          </w:p>
        </w:tc>
        <w:tc>
          <w:tcPr>
            <w:tcW w:w="2835" w:type="dxa"/>
            <w:gridSpan w:val="2"/>
            <w:noWrap w:val="0"/>
            <w:vAlign w:val="center"/>
          </w:tcPr>
          <w:p w14:paraId="296906FF">
            <w:pPr>
              <w:jc w:val="center"/>
              <w:rPr>
                <w:rFonts w:hint="default" w:ascii="宋体" w:hAnsi="宋体" w:eastAsia="宋体" w:cs="宋体"/>
                <w:kern w:val="2"/>
                <w:sz w:val="21"/>
                <w:szCs w:val="21"/>
                <w:highlight w:val="none"/>
                <w:lang w:val="en-US" w:eastAsia="zh-CN" w:bidi="ar-SA"/>
              </w:rPr>
            </w:pPr>
            <w:r>
              <w:rPr>
                <w:rFonts w:ascii="宋体" w:hAnsi="宋体" w:eastAsia="宋体" w:cs="宋体"/>
                <w:sz w:val="21"/>
                <w:szCs w:val="21"/>
              </w:rPr>
              <w:t>实质性内容Contenu substantiel</w:t>
            </w:r>
          </w:p>
        </w:tc>
        <w:tc>
          <w:tcPr>
            <w:tcW w:w="6238" w:type="dxa"/>
            <w:noWrap w:val="0"/>
            <w:vAlign w:val="center"/>
          </w:tcPr>
          <w:p w14:paraId="78361BEB">
            <w:pPr>
              <w:jc w:val="left"/>
              <w:rPr>
                <w:rFonts w:hint="eastAsia" w:ascii="宋体" w:hAnsi="宋体" w:eastAsia="宋体" w:cs="宋体"/>
                <w:kern w:val="2"/>
                <w:sz w:val="21"/>
                <w:szCs w:val="21"/>
                <w:highlight w:val="none"/>
                <w:lang w:val="en-US" w:eastAsia="zh-CN" w:bidi="ar-SA"/>
              </w:rPr>
            </w:pPr>
            <w:r>
              <w:rPr>
                <w:rFonts w:ascii="宋体" w:hAnsi="宋体" w:eastAsia="宋体" w:cs="宋体"/>
                <w:sz w:val="21"/>
                <w:szCs w:val="21"/>
              </w:rPr>
              <w:t>实质性内容响应采购文件要求，关键内容齐全且清晰可辨Le contenu substantiel répond aux exigences du document d'achat ; les éléments clés sont complets et clairement identifiables</w:t>
            </w:r>
          </w:p>
        </w:tc>
      </w:tr>
      <w:tr w14:paraId="16E4A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restart"/>
            <w:noWrap w:val="0"/>
            <w:vAlign w:val="center"/>
          </w:tcPr>
          <w:p w14:paraId="26BA6532">
            <w:pPr>
              <w:jc w:val="center"/>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4</w:t>
            </w:r>
          </w:p>
        </w:tc>
        <w:tc>
          <w:tcPr>
            <w:tcW w:w="2835" w:type="dxa"/>
            <w:gridSpan w:val="2"/>
            <w:noWrap w:val="0"/>
            <w:vAlign w:val="center"/>
          </w:tcPr>
          <w:p w14:paraId="19FD30A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kern w:val="2"/>
                <w:sz w:val="21"/>
                <w:szCs w:val="21"/>
                <w:highlight w:val="none"/>
                <w:vertAlign w:val="baseline"/>
                <w:lang w:val="en-US" w:eastAsia="zh-CN" w:bidi="ar-SA"/>
              </w:rPr>
            </w:pPr>
            <w:r>
              <w:rPr>
                <w:rFonts w:ascii="宋体" w:hAnsi="宋体" w:eastAsia="宋体" w:cs="宋体"/>
                <w:sz w:val="21"/>
                <w:szCs w:val="21"/>
              </w:rPr>
              <w:t>服务范围Étendue des services</w:t>
            </w:r>
          </w:p>
        </w:tc>
        <w:tc>
          <w:tcPr>
            <w:tcW w:w="6238" w:type="dxa"/>
            <w:noWrap w:val="0"/>
            <w:vAlign w:val="center"/>
          </w:tcPr>
          <w:p w14:paraId="796B9410">
            <w:pPr>
              <w:rPr>
                <w:rFonts w:hint="default" w:ascii="宋体" w:hAnsi="宋体" w:eastAsia="宋体"/>
                <w:kern w:val="2"/>
                <w:sz w:val="21"/>
                <w:szCs w:val="21"/>
                <w:highlight w:val="none"/>
                <w:lang w:val="en-US" w:eastAsia="zh-CN" w:bidi="ar-SA"/>
              </w:rPr>
            </w:pPr>
            <w:r>
              <w:rPr>
                <w:rFonts w:ascii="宋体" w:hAnsi="宋体" w:eastAsia="宋体" w:cs="宋体"/>
                <w:sz w:val="21"/>
                <w:szCs w:val="21"/>
              </w:rPr>
              <w:t>符合第二章 "委托人要求" 规定Conforme aux dispositions du chapitre II « Exigences du mandant »</w:t>
            </w:r>
          </w:p>
        </w:tc>
      </w:tr>
      <w:tr w14:paraId="3835B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5E4C118D">
            <w:pPr>
              <w:jc w:val="center"/>
              <w:rPr>
                <w:rFonts w:hint="eastAsia" w:ascii="宋体" w:hAnsi="宋体"/>
                <w:sz w:val="21"/>
                <w:szCs w:val="21"/>
                <w:highlight w:val="none"/>
                <w:lang w:val="en-US" w:eastAsia="zh-CN"/>
              </w:rPr>
            </w:pPr>
          </w:p>
        </w:tc>
        <w:tc>
          <w:tcPr>
            <w:tcW w:w="2835" w:type="dxa"/>
            <w:gridSpan w:val="2"/>
            <w:noWrap w:val="0"/>
            <w:vAlign w:val="center"/>
          </w:tcPr>
          <w:p w14:paraId="6E62592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kern w:val="2"/>
                <w:sz w:val="21"/>
                <w:szCs w:val="21"/>
                <w:highlight w:val="none"/>
                <w:vertAlign w:val="baseline"/>
                <w:lang w:val="en-US" w:eastAsia="zh-CN" w:bidi="ar-SA"/>
              </w:rPr>
            </w:pPr>
            <w:r>
              <w:rPr>
                <w:rFonts w:ascii="宋体" w:hAnsi="宋体" w:eastAsia="宋体" w:cs="宋体"/>
                <w:sz w:val="21"/>
                <w:szCs w:val="21"/>
              </w:rPr>
              <w:t>服务期限及进度要求Durée des services et exigences de calendrier</w:t>
            </w:r>
          </w:p>
        </w:tc>
        <w:tc>
          <w:tcPr>
            <w:tcW w:w="6238" w:type="dxa"/>
            <w:noWrap w:val="0"/>
            <w:vAlign w:val="center"/>
          </w:tcPr>
          <w:p w14:paraId="0A547155">
            <w:pPr>
              <w:rPr>
                <w:rFonts w:hint="eastAsia" w:ascii="宋体" w:hAnsi="宋体" w:eastAsia="宋体"/>
                <w:kern w:val="2"/>
                <w:sz w:val="21"/>
                <w:szCs w:val="21"/>
                <w:highlight w:val="none"/>
                <w:lang w:val="en-US" w:eastAsia="zh-CN" w:bidi="ar-SA"/>
              </w:rPr>
            </w:pPr>
            <w:r>
              <w:rPr>
                <w:rFonts w:ascii="宋体" w:hAnsi="宋体" w:eastAsia="宋体" w:cs="宋体"/>
                <w:sz w:val="21"/>
                <w:szCs w:val="21"/>
              </w:rPr>
              <w:t>符合第二章 "委托人要求" 规定Conforme aux dispositions du chapitre II « Exigences du mandant »</w:t>
            </w:r>
          </w:p>
        </w:tc>
      </w:tr>
      <w:tr w14:paraId="674AB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0F49740D">
            <w:pPr>
              <w:jc w:val="center"/>
              <w:rPr>
                <w:rFonts w:hint="eastAsia" w:ascii="宋体" w:hAnsi="宋体"/>
                <w:sz w:val="21"/>
                <w:szCs w:val="21"/>
                <w:highlight w:val="none"/>
                <w:lang w:val="en-US" w:eastAsia="zh-CN"/>
              </w:rPr>
            </w:pPr>
          </w:p>
        </w:tc>
        <w:tc>
          <w:tcPr>
            <w:tcW w:w="2835" w:type="dxa"/>
            <w:gridSpan w:val="2"/>
            <w:noWrap w:val="0"/>
            <w:vAlign w:val="center"/>
          </w:tcPr>
          <w:p w14:paraId="67920CE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kern w:val="2"/>
                <w:sz w:val="21"/>
                <w:szCs w:val="21"/>
                <w:highlight w:val="none"/>
                <w:vertAlign w:val="baseline"/>
                <w:lang w:val="en-US" w:eastAsia="zh-CN" w:bidi="ar-SA"/>
              </w:rPr>
            </w:pPr>
            <w:r>
              <w:rPr>
                <w:rFonts w:ascii="宋体" w:hAnsi="宋体" w:eastAsia="宋体" w:cs="宋体"/>
                <w:sz w:val="21"/>
                <w:szCs w:val="21"/>
              </w:rPr>
              <w:t>质量标准Exigences de qualité</w:t>
            </w:r>
          </w:p>
        </w:tc>
        <w:tc>
          <w:tcPr>
            <w:tcW w:w="6238" w:type="dxa"/>
            <w:noWrap w:val="0"/>
            <w:vAlign w:val="center"/>
          </w:tcPr>
          <w:p w14:paraId="1D9C4854">
            <w:pPr>
              <w:jc w:val="left"/>
              <w:rPr>
                <w:rFonts w:hint="eastAsia" w:ascii="宋体" w:hAnsi="宋体" w:eastAsia="宋体"/>
                <w:kern w:val="2"/>
                <w:sz w:val="21"/>
                <w:szCs w:val="21"/>
                <w:highlight w:val="none"/>
                <w:lang w:val="en-US" w:eastAsia="zh-CN" w:bidi="ar-SA"/>
              </w:rPr>
            </w:pPr>
            <w:r>
              <w:rPr>
                <w:rFonts w:ascii="宋体" w:hAnsi="宋体" w:eastAsia="宋体" w:cs="宋体"/>
                <w:sz w:val="21"/>
                <w:szCs w:val="21"/>
              </w:rPr>
              <w:t>符合第二章 "委托人要求" 规定Conforme aux dispositions du chapitre II « Exigences du mandant »</w:t>
            </w:r>
          </w:p>
        </w:tc>
      </w:tr>
      <w:tr w14:paraId="79875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41AD36BF">
            <w:pPr>
              <w:jc w:val="center"/>
              <w:rPr>
                <w:rFonts w:ascii="宋体" w:hAnsi="宋体"/>
                <w:sz w:val="21"/>
                <w:szCs w:val="21"/>
                <w:highlight w:val="none"/>
              </w:rPr>
            </w:pPr>
          </w:p>
        </w:tc>
        <w:tc>
          <w:tcPr>
            <w:tcW w:w="2835" w:type="dxa"/>
            <w:gridSpan w:val="2"/>
            <w:noWrap w:val="0"/>
            <w:vAlign w:val="center"/>
          </w:tcPr>
          <w:p w14:paraId="6094079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kern w:val="2"/>
                <w:sz w:val="21"/>
                <w:szCs w:val="21"/>
                <w:highlight w:val="none"/>
                <w:vertAlign w:val="baseline"/>
                <w:lang w:val="en-US" w:eastAsia="zh-CN" w:bidi="ar-SA"/>
              </w:rPr>
            </w:pPr>
            <w:r>
              <w:rPr>
                <w:rFonts w:ascii="宋体" w:hAnsi="宋体" w:eastAsia="宋体" w:cs="宋体"/>
                <w:sz w:val="21"/>
                <w:szCs w:val="21"/>
              </w:rPr>
              <w:t>安全质量环保管理目标Objectifs de gestion sécurité-qualité-environnement</w:t>
            </w:r>
          </w:p>
        </w:tc>
        <w:tc>
          <w:tcPr>
            <w:tcW w:w="6238" w:type="dxa"/>
            <w:noWrap w:val="0"/>
            <w:vAlign w:val="center"/>
          </w:tcPr>
          <w:p w14:paraId="5933D09F">
            <w:pPr>
              <w:jc w:val="left"/>
              <w:rPr>
                <w:rFonts w:hint="eastAsia" w:ascii="宋体" w:hAnsi="宋体" w:eastAsia="宋体"/>
                <w:kern w:val="2"/>
                <w:sz w:val="21"/>
                <w:szCs w:val="21"/>
                <w:highlight w:val="none"/>
                <w:lang w:val="en-US" w:eastAsia="zh-CN" w:bidi="ar-SA"/>
              </w:rPr>
            </w:pPr>
            <w:r>
              <w:rPr>
                <w:rFonts w:ascii="宋体" w:hAnsi="宋体" w:eastAsia="宋体" w:cs="宋体"/>
                <w:sz w:val="21"/>
                <w:szCs w:val="21"/>
              </w:rPr>
              <w:t>符合第二章 "委托人要求" 规定Conforme aux dispositions du chapitre II « Exigences du mandant »</w:t>
            </w:r>
          </w:p>
        </w:tc>
      </w:tr>
      <w:tr w14:paraId="23227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2" w:hRule="atLeast"/>
          <w:jc w:val="center"/>
        </w:trPr>
        <w:tc>
          <w:tcPr>
            <w:tcW w:w="769" w:type="dxa"/>
            <w:gridSpan w:val="2"/>
            <w:vMerge w:val="continue"/>
            <w:noWrap w:val="0"/>
            <w:vAlign w:val="center"/>
          </w:tcPr>
          <w:p w14:paraId="345CEB97">
            <w:pPr>
              <w:jc w:val="center"/>
              <w:rPr>
                <w:rFonts w:ascii="宋体" w:hAnsi="宋体"/>
                <w:sz w:val="21"/>
                <w:szCs w:val="21"/>
                <w:highlight w:val="none"/>
              </w:rPr>
            </w:pPr>
          </w:p>
        </w:tc>
        <w:tc>
          <w:tcPr>
            <w:tcW w:w="2835" w:type="dxa"/>
            <w:gridSpan w:val="2"/>
            <w:noWrap w:val="0"/>
            <w:vAlign w:val="center"/>
          </w:tcPr>
          <w:p w14:paraId="6D29BCC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kern w:val="2"/>
                <w:sz w:val="21"/>
                <w:szCs w:val="21"/>
                <w:highlight w:val="none"/>
                <w:vertAlign w:val="baseline"/>
                <w:lang w:val="en-US" w:eastAsia="zh-CN" w:bidi="ar-SA"/>
              </w:rPr>
            </w:pPr>
            <w:r>
              <w:rPr>
                <w:rFonts w:ascii="宋体" w:hAnsi="宋体" w:eastAsia="宋体" w:cs="宋体"/>
                <w:sz w:val="21"/>
                <w:szCs w:val="21"/>
              </w:rPr>
              <w:t>服务人员要求Exigences relatives au personnel de service</w:t>
            </w:r>
          </w:p>
        </w:tc>
        <w:tc>
          <w:tcPr>
            <w:tcW w:w="6238" w:type="dxa"/>
            <w:noWrap w:val="0"/>
            <w:vAlign w:val="center"/>
          </w:tcPr>
          <w:p w14:paraId="692FC096">
            <w:pPr>
              <w:jc w:val="both"/>
              <w:rPr>
                <w:rFonts w:ascii="宋体" w:hAnsi="宋体" w:eastAsia="宋体"/>
                <w:kern w:val="2"/>
                <w:sz w:val="21"/>
                <w:szCs w:val="21"/>
                <w:highlight w:val="none"/>
                <w:lang w:val="en-US" w:eastAsia="zh-CN" w:bidi="ar-SA"/>
              </w:rPr>
            </w:pPr>
            <w:r>
              <w:rPr>
                <w:rFonts w:ascii="宋体" w:hAnsi="宋体" w:eastAsia="宋体" w:cs="宋体"/>
                <w:sz w:val="21"/>
                <w:szCs w:val="21"/>
              </w:rPr>
              <w:t>符合第二章 "委托人要求" 规定Conforme aux dispositions du chapitre II « Exigences du mandant »</w:t>
            </w:r>
          </w:p>
        </w:tc>
      </w:tr>
      <w:tr w14:paraId="2E64E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3E842894">
            <w:pPr>
              <w:jc w:val="center"/>
              <w:rPr>
                <w:rFonts w:ascii="宋体" w:hAnsi="宋体"/>
                <w:sz w:val="21"/>
                <w:szCs w:val="21"/>
                <w:highlight w:val="none"/>
              </w:rPr>
            </w:pPr>
          </w:p>
        </w:tc>
        <w:tc>
          <w:tcPr>
            <w:tcW w:w="2835" w:type="dxa"/>
            <w:gridSpan w:val="2"/>
            <w:noWrap w:val="0"/>
            <w:vAlign w:val="center"/>
          </w:tcPr>
          <w:p w14:paraId="06A0E45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kern w:val="2"/>
                <w:sz w:val="21"/>
                <w:szCs w:val="21"/>
                <w:highlight w:val="none"/>
                <w:vertAlign w:val="baseline"/>
                <w:lang w:val="en-US" w:eastAsia="zh-CN" w:bidi="ar-SA"/>
              </w:rPr>
            </w:pPr>
            <w:r>
              <w:rPr>
                <w:rFonts w:ascii="宋体" w:hAnsi="宋体" w:eastAsia="宋体" w:cs="宋体"/>
                <w:sz w:val="21"/>
                <w:szCs w:val="21"/>
              </w:rPr>
              <w:t>组织机构设置及劳动力计划Organisation et plan de main-d'œuvre</w:t>
            </w:r>
          </w:p>
        </w:tc>
        <w:tc>
          <w:tcPr>
            <w:tcW w:w="6238" w:type="dxa"/>
            <w:noWrap w:val="0"/>
            <w:vAlign w:val="center"/>
          </w:tcPr>
          <w:p w14:paraId="5E7C116A">
            <w:pPr>
              <w:jc w:val="both"/>
              <w:rPr>
                <w:rFonts w:ascii="宋体" w:hAnsi="宋体" w:eastAsia="宋体"/>
                <w:kern w:val="2"/>
                <w:sz w:val="21"/>
                <w:szCs w:val="21"/>
                <w:highlight w:val="none"/>
                <w:lang w:val="en-US" w:eastAsia="zh-CN" w:bidi="ar-SA"/>
              </w:rPr>
            </w:pPr>
            <w:r>
              <w:rPr>
                <w:rFonts w:ascii="宋体" w:hAnsi="宋体" w:eastAsia="宋体" w:cs="宋体"/>
                <w:sz w:val="21"/>
                <w:szCs w:val="21"/>
              </w:rPr>
              <w:t>符合第二章 "委托人要求" 规定Conforme aux dispositions du chapitre II « Exigences du mandant »</w:t>
            </w:r>
          </w:p>
        </w:tc>
      </w:tr>
      <w:tr w14:paraId="16543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769" w:type="dxa"/>
            <w:gridSpan w:val="2"/>
            <w:vMerge w:val="continue"/>
            <w:noWrap w:val="0"/>
            <w:vAlign w:val="center"/>
          </w:tcPr>
          <w:p w14:paraId="310FB1BB">
            <w:pPr>
              <w:jc w:val="center"/>
              <w:rPr>
                <w:rFonts w:ascii="宋体" w:hAnsi="宋体"/>
                <w:sz w:val="21"/>
                <w:szCs w:val="21"/>
                <w:highlight w:val="none"/>
              </w:rPr>
            </w:pPr>
          </w:p>
        </w:tc>
        <w:tc>
          <w:tcPr>
            <w:tcW w:w="2835" w:type="dxa"/>
            <w:gridSpan w:val="2"/>
            <w:noWrap w:val="0"/>
            <w:vAlign w:val="center"/>
          </w:tcPr>
          <w:p w14:paraId="3D2F301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kern w:val="2"/>
                <w:sz w:val="21"/>
                <w:szCs w:val="21"/>
                <w:highlight w:val="none"/>
                <w:vertAlign w:val="baseline"/>
                <w:lang w:val="en-US" w:eastAsia="zh-CN" w:bidi="ar-SA"/>
              </w:rPr>
            </w:pPr>
            <w:r>
              <w:rPr>
                <w:rFonts w:ascii="宋体" w:hAnsi="宋体" w:eastAsia="宋体" w:cs="宋体"/>
                <w:sz w:val="21"/>
                <w:szCs w:val="21"/>
              </w:rPr>
              <w:t>验收标准Critères de réception</w:t>
            </w:r>
          </w:p>
        </w:tc>
        <w:tc>
          <w:tcPr>
            <w:tcW w:w="6238" w:type="dxa"/>
            <w:noWrap w:val="0"/>
            <w:vAlign w:val="center"/>
          </w:tcPr>
          <w:p w14:paraId="5812004D">
            <w:pPr>
              <w:jc w:val="both"/>
              <w:rPr>
                <w:rFonts w:ascii="宋体" w:hAnsi="宋体" w:eastAsia="宋体"/>
                <w:kern w:val="2"/>
                <w:sz w:val="21"/>
                <w:szCs w:val="21"/>
                <w:highlight w:val="none"/>
                <w:lang w:val="en-US" w:eastAsia="zh-CN" w:bidi="ar-SA"/>
              </w:rPr>
            </w:pPr>
            <w:r>
              <w:rPr>
                <w:rFonts w:ascii="宋体" w:hAnsi="宋体" w:eastAsia="宋体" w:cs="宋体"/>
                <w:sz w:val="21"/>
                <w:szCs w:val="21"/>
              </w:rPr>
              <w:t>符合第二章 "委托人要求" 规定Conforme aux dispositions du chapitre II « Exigences du mandant »</w:t>
            </w:r>
          </w:p>
        </w:tc>
      </w:tr>
      <w:tr w14:paraId="554F2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9842" w:type="dxa"/>
            <w:gridSpan w:val="5"/>
            <w:noWrap w:val="0"/>
            <w:vAlign w:val="center"/>
          </w:tcPr>
          <w:p w14:paraId="6EC4448B">
            <w:pPr>
              <w:jc w:val="both"/>
              <w:rPr>
                <w:rFonts w:ascii="宋体" w:hAnsi="宋体"/>
                <w:sz w:val="21"/>
                <w:szCs w:val="21"/>
                <w:highlight w:val="none"/>
              </w:rPr>
            </w:pPr>
            <w:r>
              <w:rPr>
                <w:rFonts w:hint="eastAsia" w:ascii="宋体" w:hAnsi="宋体"/>
                <w:b/>
                <w:bCs/>
                <w:sz w:val="21"/>
                <w:szCs w:val="21"/>
                <w:highlight w:val="none"/>
                <w:lang w:val="en-US" w:eastAsia="zh-CN"/>
              </w:rPr>
              <w:t>5综合因素评分表</w:t>
            </w:r>
          </w:p>
        </w:tc>
      </w:tr>
      <w:tr w14:paraId="385EA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jc w:val="center"/>
        </w:trPr>
        <w:tc>
          <w:tcPr>
            <w:tcW w:w="693" w:type="dxa"/>
            <w:noWrap w:val="0"/>
            <w:vAlign w:val="center"/>
          </w:tcPr>
          <w:p w14:paraId="1D26C70D">
            <w:pPr>
              <w:jc w:val="center"/>
              <w:rPr>
                <w:rFonts w:hint="eastAsia" w:ascii="宋体" w:hAnsi="宋体"/>
                <w:b/>
                <w:sz w:val="21"/>
                <w:szCs w:val="21"/>
                <w:highlight w:val="none"/>
              </w:rPr>
            </w:pPr>
            <w:r>
              <w:rPr>
                <w:rFonts w:hint="eastAsia" w:ascii="宋体" w:hAnsi="宋体"/>
                <w:b/>
                <w:sz w:val="21"/>
                <w:szCs w:val="21"/>
                <w:highlight w:val="none"/>
              </w:rPr>
              <w:t>序号</w:t>
            </w:r>
          </w:p>
        </w:tc>
        <w:tc>
          <w:tcPr>
            <w:tcW w:w="1356" w:type="dxa"/>
            <w:gridSpan w:val="2"/>
            <w:noWrap w:val="0"/>
            <w:vAlign w:val="center"/>
          </w:tcPr>
          <w:p w14:paraId="17F0B128">
            <w:pPr>
              <w:jc w:val="center"/>
              <w:rPr>
                <w:rFonts w:hint="eastAsia" w:ascii="宋体" w:hAnsi="宋体"/>
                <w:b/>
                <w:sz w:val="21"/>
                <w:szCs w:val="21"/>
                <w:highlight w:val="none"/>
              </w:rPr>
            </w:pPr>
            <w:r>
              <w:rPr>
                <w:rFonts w:hint="eastAsia" w:ascii="宋体" w:hAnsi="宋体"/>
                <w:b/>
                <w:sz w:val="21"/>
                <w:szCs w:val="21"/>
                <w:highlight w:val="none"/>
              </w:rPr>
              <w:t>评审因素</w:t>
            </w:r>
          </w:p>
        </w:tc>
        <w:tc>
          <w:tcPr>
            <w:tcW w:w="1555" w:type="dxa"/>
            <w:noWrap w:val="0"/>
            <w:vAlign w:val="center"/>
          </w:tcPr>
          <w:p w14:paraId="18F25C3E">
            <w:pPr>
              <w:jc w:val="center"/>
              <w:rPr>
                <w:rFonts w:hint="eastAsia" w:ascii="宋体" w:hAnsi="宋体"/>
                <w:b/>
                <w:sz w:val="21"/>
                <w:szCs w:val="21"/>
                <w:highlight w:val="none"/>
              </w:rPr>
            </w:pPr>
            <w:r>
              <w:rPr>
                <w:rFonts w:hint="eastAsia" w:ascii="宋体" w:hAnsi="宋体"/>
                <w:b/>
                <w:sz w:val="21"/>
                <w:szCs w:val="21"/>
                <w:highlight w:val="none"/>
              </w:rPr>
              <w:t>标准分</w:t>
            </w:r>
          </w:p>
        </w:tc>
        <w:tc>
          <w:tcPr>
            <w:tcW w:w="6238" w:type="dxa"/>
            <w:noWrap w:val="0"/>
            <w:vAlign w:val="center"/>
          </w:tcPr>
          <w:p w14:paraId="6F3AA42E">
            <w:pPr>
              <w:jc w:val="center"/>
              <w:rPr>
                <w:rFonts w:hint="eastAsia" w:ascii="宋体" w:hAnsi="宋体"/>
                <w:b/>
                <w:sz w:val="21"/>
                <w:szCs w:val="21"/>
                <w:highlight w:val="none"/>
              </w:rPr>
            </w:pPr>
            <w:r>
              <w:rPr>
                <w:rFonts w:hint="eastAsia" w:ascii="宋体" w:hAnsi="宋体"/>
                <w:b/>
                <w:sz w:val="21"/>
                <w:szCs w:val="21"/>
                <w:highlight w:val="none"/>
              </w:rPr>
              <w:t>评分标准</w:t>
            </w:r>
          </w:p>
        </w:tc>
      </w:tr>
      <w:tr w14:paraId="3802F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restart"/>
            <w:noWrap w:val="0"/>
            <w:vAlign w:val="center"/>
          </w:tcPr>
          <w:p w14:paraId="6D9A4393">
            <w:pPr>
              <w:jc w:val="center"/>
              <w:rPr>
                <w:rFonts w:hint="default"/>
                <w:sz w:val="21"/>
                <w:szCs w:val="21"/>
                <w:lang w:val="en-US" w:eastAsia="zh-CN"/>
              </w:rPr>
            </w:pPr>
            <w:r>
              <w:rPr>
                <w:rFonts w:hint="eastAsia"/>
                <w:sz w:val="21"/>
                <w:szCs w:val="21"/>
                <w:lang w:val="en-US" w:eastAsia="zh-CN"/>
              </w:rPr>
              <w:t>1</w:t>
            </w:r>
          </w:p>
        </w:tc>
        <w:tc>
          <w:tcPr>
            <w:tcW w:w="1356" w:type="dxa"/>
            <w:gridSpan w:val="2"/>
            <w:vMerge w:val="restart"/>
            <w:shd w:val="clear" w:color="auto" w:fill="auto"/>
            <w:noWrap w:val="0"/>
            <w:vAlign w:val="center"/>
          </w:tcPr>
          <w:p w14:paraId="54CBF270">
            <w:pPr>
              <w:jc w:val="center"/>
              <w:rPr>
                <w:rFonts w:ascii="宋体" w:hAnsi="宋体" w:eastAsia="宋体"/>
                <w:sz w:val="21"/>
                <w:szCs w:val="21"/>
                <w:highlight w:val="none"/>
              </w:rPr>
            </w:pPr>
            <w:r>
              <w:rPr>
                <w:rFonts w:hint="eastAsia" w:ascii="宋体" w:hAnsi="宋体" w:eastAsia="宋体"/>
                <w:sz w:val="21"/>
                <w:szCs w:val="21"/>
                <w:highlight w:val="none"/>
              </w:rPr>
              <w:t>商务资信得分</w:t>
            </w:r>
          </w:p>
          <w:p w14:paraId="7DDB6B0E">
            <w:pPr>
              <w:jc w:val="center"/>
              <w:rPr>
                <w:rFonts w:ascii="宋体" w:hAnsi="宋体" w:eastAsia="宋体"/>
                <w:sz w:val="21"/>
                <w:szCs w:val="21"/>
                <w:highlight w:val="none"/>
              </w:rPr>
            </w:pPr>
            <w:r>
              <w:rPr>
                <w:rFonts w:hint="eastAsia" w:ascii="Times New Roman" w:hAnsi="Times New Roman" w:eastAsia="宋体" w:cs="Times New Roman"/>
                <w:sz w:val="21"/>
                <w:szCs w:val="21"/>
                <w:highlight w:val="none"/>
              </w:rPr>
              <w:t>Note commerciale et de solvabilité</w:t>
            </w:r>
          </w:p>
          <w:p w14:paraId="03C96BED">
            <w:pPr>
              <w:jc w:val="center"/>
              <w:rPr>
                <w:rFonts w:ascii="宋体" w:hAnsi="宋体" w:eastAsia="宋体"/>
                <w:color w:val="000000"/>
                <w:sz w:val="21"/>
                <w:szCs w:val="21"/>
                <w:highlight w:val="none"/>
              </w:rPr>
            </w:pPr>
            <w:r>
              <w:rPr>
                <w:rFonts w:hint="eastAsia" w:ascii="宋体" w:hAnsi="宋体" w:eastAsia="宋体"/>
                <w:sz w:val="21"/>
                <w:szCs w:val="21"/>
                <w:highlight w:val="none"/>
                <w:lang w:bidi="en-US"/>
              </w:rPr>
              <w:t>(满分100分)</w:t>
            </w:r>
          </w:p>
          <w:p w14:paraId="75D272B8">
            <w:pPr>
              <w:jc w:val="center"/>
              <w:rPr>
                <w:rFonts w:hint="eastAsia" w:ascii="宋体" w:hAnsi="宋体" w:eastAsia="宋体" w:cs="Times New Roman"/>
                <w:color w:val="000000"/>
                <w:kern w:val="2"/>
                <w:sz w:val="21"/>
                <w:szCs w:val="21"/>
                <w:highlight w:val="none"/>
                <w:lang w:val="en-US" w:eastAsia="zh-CN" w:bidi="ar-SA"/>
              </w:rPr>
            </w:pPr>
            <w:r>
              <w:rPr>
                <w:rFonts w:hint="eastAsia" w:ascii="Times New Roman" w:hAnsi="Times New Roman" w:eastAsia="宋体" w:cs="Times New Roman"/>
                <w:sz w:val="21"/>
                <w:szCs w:val="21"/>
                <w:highlight w:val="none"/>
                <w:lang w:bidi="en-US"/>
              </w:rPr>
              <w:t>(Maximum 100 points)</w:t>
            </w:r>
          </w:p>
        </w:tc>
        <w:tc>
          <w:tcPr>
            <w:tcW w:w="1555" w:type="dxa"/>
            <w:noWrap w:val="0"/>
            <w:vAlign w:val="center"/>
          </w:tcPr>
          <w:p w14:paraId="5B97BDE1">
            <w:pPr>
              <w:adjustRightInd w:val="0"/>
              <w:snapToGrid w:val="0"/>
              <w:jc w:val="center"/>
              <w:rPr>
                <w:rFonts w:ascii="宋体" w:hAnsi="宋体" w:eastAsia="宋体"/>
                <w:sz w:val="21"/>
                <w:szCs w:val="21"/>
                <w:highlight w:val="none"/>
              </w:rPr>
            </w:pPr>
            <w:r>
              <w:rPr>
                <w:rFonts w:hint="eastAsia" w:ascii="宋体" w:hAnsi="宋体" w:eastAsia="宋体"/>
                <w:sz w:val="21"/>
                <w:szCs w:val="21"/>
                <w:highlight w:val="none"/>
              </w:rPr>
              <w:t>业绩（满分</w:t>
            </w:r>
            <w:r>
              <w:rPr>
                <w:rFonts w:hint="eastAsia" w:ascii="宋体" w:hAnsi="宋体"/>
                <w:sz w:val="21"/>
                <w:szCs w:val="21"/>
                <w:highlight w:val="none"/>
                <w:lang w:val="en-US" w:eastAsia="zh-CN"/>
              </w:rPr>
              <w:t>6</w:t>
            </w:r>
            <w:r>
              <w:rPr>
                <w:rFonts w:hint="eastAsia" w:ascii="宋体" w:hAnsi="宋体" w:eastAsia="宋体"/>
                <w:sz w:val="21"/>
                <w:szCs w:val="21"/>
                <w:highlight w:val="none"/>
              </w:rPr>
              <w:t>0分</w:t>
            </w:r>
            <w:r>
              <w:rPr>
                <w:rFonts w:ascii="宋体" w:hAnsi="宋体" w:eastAsia="宋体"/>
                <w:sz w:val="21"/>
                <w:szCs w:val="21"/>
                <w:highlight w:val="none"/>
              </w:rPr>
              <w:t>）</w:t>
            </w:r>
          </w:p>
          <w:p w14:paraId="23BF97C8">
            <w:pPr>
              <w:adjustRightInd w:val="0"/>
              <w:snapToGrid w:val="0"/>
              <w:jc w:val="center"/>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Références (maximum 60 points)</w:t>
            </w:r>
          </w:p>
        </w:tc>
        <w:tc>
          <w:tcPr>
            <w:tcW w:w="6238" w:type="dxa"/>
            <w:noWrap w:val="0"/>
            <w:vAlign w:val="center"/>
          </w:tcPr>
          <w:p w14:paraId="579060E8">
            <w:pPr>
              <w:adjustRightInd w:val="0"/>
              <w:snapToGrid w:val="0"/>
              <w:rPr>
                <w:rFonts w:hint="eastAsia" w:ascii="宋体" w:hAnsi="宋体" w:eastAsia="宋体" w:cs="Times New Roman"/>
                <w:sz w:val="21"/>
                <w:szCs w:val="21"/>
                <w:highlight w:val="none"/>
                <w:lang w:eastAsia="zh-CN"/>
              </w:rPr>
            </w:pPr>
            <w:r>
              <w:rPr>
                <w:rFonts w:hint="eastAsia" w:ascii="宋体" w:hAnsi="宋体" w:eastAsia="宋体" w:cs="Times New Roman"/>
                <w:sz w:val="21"/>
                <w:szCs w:val="21"/>
                <w:highlight w:val="none"/>
              </w:rPr>
              <w:t>满足采购文件资格要求业绩得</w:t>
            </w:r>
            <w:r>
              <w:rPr>
                <w:rFonts w:hint="eastAsia" w:ascii="宋体" w:hAnsi="宋体" w:cs="Times New Roman"/>
                <w:sz w:val="21"/>
                <w:szCs w:val="21"/>
                <w:highlight w:val="none"/>
                <w:lang w:val="en-US" w:eastAsia="zh-CN"/>
              </w:rPr>
              <w:t>4</w:t>
            </w:r>
            <w:r>
              <w:rPr>
                <w:rFonts w:hint="eastAsia" w:ascii="宋体" w:hAnsi="宋体" w:eastAsia="宋体" w:cs="Times New Roman"/>
                <w:sz w:val="21"/>
                <w:szCs w:val="21"/>
                <w:highlight w:val="none"/>
              </w:rPr>
              <w:t>0分，每增加1个加5分，加满为止</w:t>
            </w:r>
            <w:r>
              <w:rPr>
                <w:rFonts w:hint="eastAsia" w:ascii="宋体" w:hAnsi="宋体" w:eastAsia="宋体" w:cs="Times New Roman"/>
                <w:sz w:val="21"/>
                <w:szCs w:val="21"/>
                <w:highlight w:val="none"/>
                <w:lang w:eastAsia="zh-CN"/>
              </w:rPr>
              <w:t>。</w:t>
            </w:r>
          </w:p>
          <w:p w14:paraId="369C6F88">
            <w:pPr>
              <w:adjustRightInd w:val="0"/>
              <w:snapToGrid w:val="0"/>
              <w:rPr>
                <w:rFonts w:hint="eastAsia" w:ascii="宋体" w:hAnsi="宋体" w:eastAsia="宋体" w:cs="Times New Roman"/>
                <w:sz w:val="21"/>
                <w:szCs w:val="21"/>
                <w:highlight w:val="none"/>
                <w:lang w:eastAsia="zh-CN"/>
              </w:rPr>
            </w:pPr>
            <w:r>
              <w:rPr>
                <w:rFonts w:hint="eastAsia" w:ascii="Times New Roman" w:hAnsi="Times New Roman" w:eastAsia="宋体" w:cs="Times New Roman"/>
                <w:sz w:val="21"/>
                <w:szCs w:val="21"/>
                <w:highlight w:val="none"/>
              </w:rPr>
              <w:t>Le respect du nombre de références exigé pour la qualification donne 40 points ; chaque référence supplémentaire donne 5 points, dans la limite du maximum.</w:t>
            </w:r>
          </w:p>
          <w:p w14:paraId="16C4AA96">
            <w:pPr>
              <w:adjustRightInd w:val="0"/>
              <w:snapToGrid w:val="0"/>
              <w:rPr>
                <w:rFonts w:hint="eastAsia" w:eastAsia="宋体"/>
                <w:sz w:val="21"/>
                <w:szCs w:val="21"/>
                <w:highlight w:val="none"/>
                <w:lang w:val="en-US" w:eastAsia="zh-CN"/>
              </w:rPr>
            </w:pPr>
            <w:r>
              <w:rPr>
                <w:rFonts w:hint="eastAsia" w:ascii="宋体" w:hAnsi="宋体" w:eastAsia="宋体" w:cs="Times New Roman"/>
                <w:sz w:val="21"/>
                <w:szCs w:val="21"/>
                <w:highlight w:val="none"/>
              </w:rPr>
              <w:t>提供合同关键页，包含但不限于合同首页、签字页、主要服务范围页、合同起始时间/有效期页</w:t>
            </w:r>
            <w:r>
              <w:rPr>
                <w:rFonts w:hint="eastAsia" w:ascii="宋体" w:hAnsi="宋体" w:eastAsia="宋体" w:cs="Times New Roman"/>
                <w:sz w:val="21"/>
                <w:szCs w:val="21"/>
                <w:highlight w:val="none"/>
                <w:lang w:eastAsia="zh-CN"/>
              </w:rPr>
              <w:t>。</w:t>
            </w:r>
          </w:p>
          <w:p w14:paraId="4F6E03CC">
            <w:pPr>
              <w:adjustRightInd w:val="0"/>
              <w:snapToGrid w:val="0"/>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rPr>
              <w:t>Fournir les pages essentielles des contrats, notamment la page de garde, la page de signature, les pages décrivant le périmètre principal des services et les pages indiquant la date de début/la durée de validité du contrat.</w:t>
            </w:r>
          </w:p>
        </w:tc>
      </w:tr>
      <w:tr w14:paraId="72F04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continue"/>
            <w:noWrap w:val="0"/>
            <w:vAlign w:val="center"/>
          </w:tcPr>
          <w:p w14:paraId="7F81CEFE">
            <w:pPr>
              <w:jc w:val="center"/>
              <w:rPr>
                <w:rFonts w:hint="eastAsia"/>
                <w:sz w:val="21"/>
                <w:szCs w:val="21"/>
                <w:lang w:val="en-US" w:eastAsia="zh-CN"/>
              </w:rPr>
            </w:pPr>
          </w:p>
        </w:tc>
        <w:tc>
          <w:tcPr>
            <w:tcW w:w="1356" w:type="dxa"/>
            <w:gridSpan w:val="2"/>
            <w:vMerge w:val="continue"/>
            <w:noWrap w:val="0"/>
            <w:vAlign w:val="center"/>
          </w:tcPr>
          <w:p w14:paraId="3FBDDEA9">
            <w:pPr>
              <w:adjustRightInd w:val="0"/>
              <w:snapToGrid w:val="0"/>
              <w:jc w:val="center"/>
              <w:rPr>
                <w:rFonts w:hint="eastAsia" w:ascii="Times New Roman" w:hAnsi="Times New Roman" w:eastAsia="宋体" w:cs="Times New Roman"/>
                <w:sz w:val="21"/>
                <w:szCs w:val="21"/>
                <w:highlight w:val="none"/>
              </w:rPr>
            </w:pPr>
          </w:p>
        </w:tc>
        <w:tc>
          <w:tcPr>
            <w:tcW w:w="1555" w:type="dxa"/>
            <w:noWrap w:val="0"/>
            <w:vAlign w:val="center"/>
          </w:tcPr>
          <w:p w14:paraId="38B7D252">
            <w:pPr>
              <w:rPr>
                <w:rFonts w:hint="eastAsia" w:ascii="宋体" w:hAnsi="宋体" w:eastAsia="宋体"/>
                <w:sz w:val="21"/>
                <w:szCs w:val="21"/>
                <w:highlight w:val="none"/>
              </w:rPr>
            </w:pPr>
            <w:r>
              <w:rPr>
                <w:rFonts w:hint="eastAsia" w:ascii="宋体" w:hAnsi="宋体" w:eastAsia="宋体"/>
                <w:sz w:val="21"/>
                <w:szCs w:val="21"/>
                <w:highlight w:val="none"/>
              </w:rPr>
              <w:t>月度结算及付款宽限期（满分40分）</w:t>
            </w:r>
          </w:p>
          <w:p w14:paraId="3F0CC52A">
            <w:pPr>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Règlement mensuel et délai de paiement accordé (maximum 40 points)</w:t>
            </w:r>
          </w:p>
        </w:tc>
        <w:tc>
          <w:tcPr>
            <w:tcW w:w="6238" w:type="dxa"/>
            <w:noWrap w:val="0"/>
            <w:vAlign w:val="center"/>
          </w:tcPr>
          <w:p w14:paraId="6B0DF575">
            <w:pPr>
              <w:rPr>
                <w:rFonts w:hint="eastAsia" w:ascii="宋体" w:hAnsi="宋体" w:eastAsia="宋体"/>
                <w:sz w:val="21"/>
                <w:szCs w:val="21"/>
                <w:highlight w:val="none"/>
              </w:rPr>
            </w:pPr>
            <w:r>
              <w:rPr>
                <w:rFonts w:hint="eastAsia" w:ascii="宋体" w:hAnsi="宋体" w:eastAsia="宋体"/>
                <w:sz w:val="21"/>
                <w:szCs w:val="21"/>
                <w:highlight w:val="none"/>
              </w:rPr>
              <w:t>在满足本项目“按月结算、次月支付”的基本结算方式基础上，对响应人承诺的付款宽限期进行评分。付款宽限期自乙方提交月度费用明细且双方核对确认之日起计算：</w:t>
            </w:r>
            <w:r>
              <w:rPr>
                <w:rFonts w:hint="eastAsia" w:ascii="宋体" w:hAnsi="宋体" w:eastAsia="宋体"/>
                <w:sz w:val="21"/>
                <w:szCs w:val="21"/>
                <w:highlight w:val="none"/>
              </w:rPr>
              <w:br w:type="textWrapping"/>
            </w:r>
            <w:r>
              <w:rPr>
                <w:rFonts w:hint="eastAsia" w:ascii="宋体" w:hAnsi="宋体" w:eastAsia="宋体"/>
                <w:sz w:val="21"/>
                <w:szCs w:val="21"/>
                <w:highlight w:val="none"/>
              </w:rPr>
              <w:t>1.承诺付款宽限期≥30个工作日，得40分；</w:t>
            </w:r>
            <w:r>
              <w:rPr>
                <w:rFonts w:hint="eastAsia" w:ascii="宋体" w:hAnsi="宋体" w:eastAsia="宋体"/>
                <w:sz w:val="21"/>
                <w:szCs w:val="21"/>
                <w:highlight w:val="none"/>
              </w:rPr>
              <w:br w:type="textWrapping"/>
            </w:r>
            <w:r>
              <w:rPr>
                <w:rFonts w:hint="eastAsia" w:ascii="宋体" w:hAnsi="宋体" w:eastAsia="宋体"/>
                <w:sz w:val="21"/>
                <w:szCs w:val="21"/>
                <w:highlight w:val="none"/>
              </w:rPr>
              <w:t>2.20个工作日≤付款宽限期＜30个工作日，得</w:t>
            </w:r>
            <w:r>
              <w:rPr>
                <w:rFonts w:hint="eastAsia" w:ascii="宋体" w:hAnsi="宋体"/>
                <w:sz w:val="21"/>
                <w:szCs w:val="21"/>
                <w:highlight w:val="none"/>
                <w:lang w:val="en-US" w:eastAsia="zh-CN"/>
              </w:rPr>
              <w:t>32</w:t>
            </w:r>
            <w:r>
              <w:rPr>
                <w:rFonts w:hint="eastAsia" w:ascii="宋体" w:hAnsi="宋体" w:eastAsia="宋体"/>
                <w:sz w:val="21"/>
                <w:szCs w:val="21"/>
                <w:highlight w:val="none"/>
              </w:rPr>
              <w:t>分；</w:t>
            </w:r>
            <w:r>
              <w:rPr>
                <w:rFonts w:hint="eastAsia" w:ascii="宋体" w:hAnsi="宋体" w:eastAsia="宋体"/>
                <w:sz w:val="21"/>
                <w:szCs w:val="21"/>
                <w:highlight w:val="none"/>
              </w:rPr>
              <w:br w:type="textWrapping"/>
            </w:r>
            <w:r>
              <w:rPr>
                <w:rFonts w:hint="eastAsia" w:ascii="宋体" w:hAnsi="宋体" w:eastAsia="宋体"/>
                <w:sz w:val="21"/>
                <w:szCs w:val="21"/>
                <w:highlight w:val="none"/>
              </w:rPr>
              <w:t>3.付款宽限期＜20个工作日，得</w:t>
            </w:r>
            <w:r>
              <w:rPr>
                <w:rFonts w:hint="eastAsia" w:ascii="宋体" w:hAnsi="宋体"/>
                <w:sz w:val="21"/>
                <w:szCs w:val="21"/>
                <w:highlight w:val="none"/>
                <w:lang w:val="en-US" w:eastAsia="zh-CN"/>
              </w:rPr>
              <w:t>24</w:t>
            </w:r>
            <w:r>
              <w:rPr>
                <w:rFonts w:hint="eastAsia" w:ascii="宋体" w:hAnsi="宋体" w:eastAsia="宋体"/>
                <w:sz w:val="21"/>
                <w:szCs w:val="21"/>
                <w:highlight w:val="none"/>
              </w:rPr>
              <w:t>分。</w:t>
            </w:r>
            <w:r>
              <w:rPr>
                <w:rFonts w:hint="eastAsia" w:ascii="宋体" w:hAnsi="宋体" w:eastAsia="宋体"/>
                <w:sz w:val="21"/>
                <w:szCs w:val="21"/>
                <w:highlight w:val="none"/>
              </w:rPr>
              <w:br w:type="textWrapping"/>
            </w:r>
            <w:r>
              <w:rPr>
                <w:rFonts w:hint="eastAsia" w:ascii="宋体" w:hAnsi="宋体" w:eastAsia="宋体"/>
                <w:sz w:val="21"/>
                <w:szCs w:val="21"/>
                <w:highlight w:val="none"/>
              </w:rPr>
              <w:t>成交人的更优账期承诺应纳入合同文件。</w:t>
            </w:r>
          </w:p>
          <w:p w14:paraId="439FD97A">
            <w:pPr>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rPr>
              <w:t>Sous réserve du mode de règlement de base du projet, à savoir « règlement mensuel et paiement le mois suivant », la notation porte sur le délai de paiement accordé par le soumissionnaire. Ce délai court à compter de la date à laquelle le Prestataire remet le détail mensuel des frais et où les deux parties l’ont vérifié et confirmé : 1. délai accordé ≥ 30 jours ouvrables : 40 points ; 2. 20 jours ouvrables ≤ délai accordé &lt; 30 jours ouvrables : 15 points ; 3. délai accordé &lt; 20 jours ouvrables : 0 point. Tout engagement de l’Attributaire prévoyant un délai plus favorable doit être intégré aux documents contractuels.</w:t>
            </w:r>
          </w:p>
        </w:tc>
      </w:tr>
      <w:tr w14:paraId="3998B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restart"/>
            <w:noWrap w:val="0"/>
            <w:vAlign w:val="center"/>
          </w:tcPr>
          <w:p w14:paraId="1E8077DB">
            <w:pPr>
              <w:jc w:val="center"/>
              <w:rPr>
                <w:rFonts w:hint="default"/>
                <w:sz w:val="21"/>
                <w:szCs w:val="21"/>
                <w:lang w:val="en-US" w:eastAsia="zh-CN"/>
              </w:rPr>
            </w:pPr>
            <w:r>
              <w:rPr>
                <w:rFonts w:hint="eastAsia"/>
                <w:sz w:val="21"/>
                <w:szCs w:val="21"/>
                <w:lang w:val="en-US" w:eastAsia="zh-CN"/>
              </w:rPr>
              <w:t>2</w:t>
            </w:r>
          </w:p>
        </w:tc>
        <w:tc>
          <w:tcPr>
            <w:tcW w:w="1356" w:type="dxa"/>
            <w:gridSpan w:val="2"/>
            <w:vMerge w:val="restart"/>
            <w:noWrap w:val="0"/>
            <w:vAlign w:val="center"/>
          </w:tcPr>
          <w:p w14:paraId="63C6A0D0">
            <w:pPr>
              <w:adjustRightInd w:val="0"/>
              <w:snapToGrid w:val="0"/>
              <w:jc w:val="center"/>
              <w:rPr>
                <w:rFonts w:ascii="宋体" w:hAnsi="宋体" w:eastAsia="宋体"/>
                <w:color w:val="000000"/>
                <w:sz w:val="21"/>
                <w:szCs w:val="21"/>
                <w:highlight w:val="none"/>
              </w:rPr>
            </w:pPr>
            <w:r>
              <w:rPr>
                <w:rFonts w:hint="eastAsia" w:ascii="宋体" w:hAnsi="宋体" w:eastAsia="宋体"/>
                <w:sz w:val="21"/>
                <w:szCs w:val="21"/>
                <w:highlight w:val="none"/>
              </w:rPr>
              <w:t>技术（服务大纲</w:t>
            </w:r>
            <w:r>
              <w:rPr>
                <w:rFonts w:ascii="宋体" w:hAnsi="宋体" w:eastAsia="宋体"/>
                <w:sz w:val="21"/>
                <w:szCs w:val="21"/>
                <w:highlight w:val="none"/>
              </w:rPr>
              <w:t>）</w:t>
            </w:r>
            <w:r>
              <w:rPr>
                <w:rFonts w:hint="eastAsia" w:ascii="宋体" w:hAnsi="宋体" w:eastAsia="宋体"/>
                <w:sz w:val="21"/>
                <w:szCs w:val="21"/>
                <w:highlight w:val="none"/>
              </w:rPr>
              <w:t>得分（满分100分</w:t>
            </w:r>
            <w:r>
              <w:rPr>
                <w:rFonts w:ascii="宋体" w:hAnsi="宋体" w:eastAsia="宋体"/>
                <w:sz w:val="21"/>
                <w:szCs w:val="21"/>
                <w:highlight w:val="none"/>
              </w:rPr>
              <w:t>）</w:t>
            </w:r>
          </w:p>
          <w:p w14:paraId="5D7E9083">
            <w:pPr>
              <w:adjustRightInd w:val="0"/>
              <w:snapToGrid w:val="0"/>
              <w:jc w:val="center"/>
              <w:rPr>
                <w:rFonts w:ascii="宋体" w:hAnsi="宋体" w:eastAsia="宋体"/>
                <w:color w:val="000000"/>
                <w:sz w:val="21"/>
                <w:szCs w:val="21"/>
                <w:highlight w:val="none"/>
              </w:rPr>
            </w:pPr>
            <w:r>
              <w:rPr>
                <w:rFonts w:hint="eastAsia" w:ascii="Times New Roman" w:hAnsi="Times New Roman" w:eastAsia="宋体" w:cs="Times New Roman"/>
                <w:sz w:val="21"/>
                <w:szCs w:val="21"/>
                <w:highlight w:val="none"/>
              </w:rPr>
              <w:t>Note technique (plan de prestation de services) (maximum 100 points)</w:t>
            </w:r>
          </w:p>
        </w:tc>
        <w:tc>
          <w:tcPr>
            <w:tcW w:w="1555" w:type="dxa"/>
            <w:noWrap w:val="0"/>
            <w:vAlign w:val="center"/>
          </w:tcPr>
          <w:p w14:paraId="4155779A">
            <w:pPr>
              <w:adjustRightInd w:val="0"/>
              <w:snapToGrid w:val="0"/>
              <w:jc w:val="left"/>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采购人常用航空公司数量（满分</w:t>
            </w:r>
            <w:r>
              <w:rPr>
                <w:rFonts w:hint="eastAsia" w:ascii="宋体" w:hAnsi="宋体" w:cs="Times New Roman"/>
                <w:sz w:val="21"/>
                <w:szCs w:val="21"/>
                <w:highlight w:val="none"/>
                <w:lang w:val="en-US" w:eastAsia="zh-CN"/>
              </w:rPr>
              <w:t>3</w:t>
            </w:r>
            <w:r>
              <w:rPr>
                <w:rFonts w:hint="eastAsia" w:ascii="宋体" w:hAnsi="宋体" w:eastAsia="宋体" w:cs="Times New Roman"/>
                <w:sz w:val="21"/>
                <w:szCs w:val="21"/>
                <w:highlight w:val="none"/>
                <w:lang w:val="en-US" w:eastAsia="zh-CN"/>
              </w:rPr>
              <w:t>0</w:t>
            </w:r>
            <w:r>
              <w:rPr>
                <w:rFonts w:hint="eastAsia" w:ascii="宋体" w:hAnsi="宋体" w:eastAsia="宋体" w:cs="Times New Roman"/>
                <w:sz w:val="21"/>
                <w:szCs w:val="21"/>
                <w:highlight w:val="none"/>
              </w:rPr>
              <w:t>分）</w:t>
            </w:r>
          </w:p>
          <w:p w14:paraId="318B8A7B">
            <w:pPr>
              <w:adjustRightInd w:val="0"/>
              <w:snapToGrid w:val="0"/>
              <w:jc w:val="left"/>
              <w:rPr>
                <w:rFonts w:hint="eastAsia" w:ascii="宋体" w:hAnsi="宋体" w:eastAsia="宋体" w:cs="Times New Roman"/>
                <w:sz w:val="21"/>
                <w:szCs w:val="21"/>
                <w:highlight w:val="none"/>
              </w:rPr>
            </w:pPr>
            <w:r>
              <w:rPr>
                <w:rFonts w:hint="eastAsia" w:ascii="Times New Roman" w:hAnsi="Times New Roman" w:eastAsia="宋体" w:cs="Times New Roman"/>
                <w:sz w:val="21"/>
                <w:szCs w:val="21"/>
                <w:highlight w:val="none"/>
              </w:rPr>
              <w:t>Nombre de compagnies aériennes couramment utilisées par l’acheteur (</w:t>
            </w:r>
            <w:r>
              <w:rPr>
                <w:rFonts w:hint="eastAsia" w:cs="Times New Roman"/>
                <w:sz w:val="21"/>
                <w:szCs w:val="21"/>
                <w:highlight w:val="none"/>
                <w:lang w:val="en-US" w:eastAsia="zh-CN"/>
              </w:rPr>
              <w:t>3</w:t>
            </w:r>
            <w:r>
              <w:rPr>
                <w:rFonts w:hint="eastAsia" w:ascii="Times New Roman" w:hAnsi="Times New Roman" w:eastAsia="宋体" w:cs="Times New Roman"/>
                <w:sz w:val="21"/>
                <w:szCs w:val="21"/>
                <w:highlight w:val="none"/>
              </w:rPr>
              <w:t>0 points maximum)</w:t>
            </w:r>
          </w:p>
        </w:tc>
        <w:tc>
          <w:tcPr>
            <w:tcW w:w="6238" w:type="dxa"/>
            <w:noWrap w:val="0"/>
            <w:vAlign w:val="center"/>
          </w:tcPr>
          <w:p w14:paraId="79361A75">
            <w:pPr>
              <w:adjustRightInd w:val="0"/>
              <w:snapToGrid w:val="0"/>
              <w:jc w:val="left"/>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具备上述7家航空公司有效授权的，得</w:t>
            </w:r>
            <w:r>
              <w:rPr>
                <w:rFonts w:hint="eastAsia" w:ascii="宋体" w:hAnsi="宋体" w:cs="Times New Roman"/>
                <w:sz w:val="21"/>
                <w:szCs w:val="21"/>
                <w:highlight w:val="none"/>
                <w:lang w:val="en-US" w:eastAsia="zh-CN"/>
              </w:rPr>
              <w:t>20</w:t>
            </w:r>
            <w:r>
              <w:rPr>
                <w:rFonts w:hint="eastAsia" w:ascii="宋体" w:hAnsi="宋体" w:eastAsia="宋体" w:cs="Times New Roman"/>
                <w:sz w:val="21"/>
                <w:szCs w:val="21"/>
                <w:highlight w:val="none"/>
              </w:rPr>
              <w:t>分。</w:t>
            </w:r>
          </w:p>
          <w:p w14:paraId="696C91A4">
            <w:pPr>
              <w:adjustRightInd w:val="0"/>
              <w:snapToGrid w:val="0"/>
              <w:jc w:val="left"/>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除上述7家航空公司外，每增加1家其他航空公司有效授权，得2分，最高得10分。</w:t>
            </w:r>
          </w:p>
          <w:p w14:paraId="27D3F257">
            <w:pPr>
              <w:adjustRightInd w:val="0"/>
              <w:snapToGrid w:val="0"/>
              <w:jc w:val="left"/>
              <w:rPr>
                <w:rFonts w:hint="eastAsia" w:ascii="Times New Roman" w:hAnsi="Times New Roman" w:eastAsia="宋体" w:cs="Times New Roman"/>
                <w:sz w:val="21"/>
                <w:szCs w:val="21"/>
                <w:highlight w:val="none"/>
              </w:rPr>
            </w:pPr>
            <w:r>
              <w:rPr>
                <w:rFonts w:hint="eastAsia" w:cs="Times New Roman"/>
                <w:sz w:val="21"/>
                <w:szCs w:val="21"/>
                <w:highlight w:val="none"/>
                <w:lang w:val="en-US" w:eastAsia="zh-CN"/>
              </w:rPr>
              <w:t>Les personnes détenant une autorisation valide de la part des 7 compagnies aériennes susmentionnées se verront attribuer 20 points.</w:t>
            </w:r>
          </w:p>
          <w:p w14:paraId="79D139E7">
            <w:pPr>
              <w:adjustRightInd w:val="0"/>
              <w:snapToGrid w:val="0"/>
              <w:jc w:val="left"/>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autorisation valide supplémentaire parmi ces 7 compagnies donne droit à 5 points. Ainsi, la détention des autorisations des 7 compagnies donne droit à 20 points.</w:t>
            </w:r>
          </w:p>
          <w:p w14:paraId="29EE5741">
            <w:pPr>
              <w:adjustRightInd w:val="0"/>
              <w:snapToGrid w:val="0"/>
              <w:jc w:val="left"/>
              <w:rPr>
                <w:rFonts w:hint="eastAsia" w:ascii="宋体" w:hAnsi="宋体" w:eastAsia="宋体" w:cs="Times New Roman"/>
                <w:sz w:val="21"/>
                <w:szCs w:val="21"/>
                <w:highlight w:val="none"/>
              </w:rPr>
            </w:pPr>
            <w:r>
              <w:rPr>
                <w:rFonts w:hint="eastAsia" w:ascii="Times New Roman" w:hAnsi="Times New Roman" w:eastAsia="宋体" w:cs="Times New Roman"/>
                <w:sz w:val="21"/>
                <w:szCs w:val="21"/>
                <w:highlight w:val="none"/>
              </w:rPr>
              <w:t>En dehors des 7 compagnies aériennes susmentionnées, chaque autorisation valide supplémentaire délivrée par une autre compagnie aérienne donne droit à 2 points, dans la limite de 10 points.</w:t>
            </w:r>
            <w:r>
              <w:rPr>
                <w:rFonts w:hint="eastAsia" w:ascii="宋体" w:hAnsi="宋体" w:eastAsia="宋体" w:cs="Times New Roman"/>
                <w:sz w:val="21"/>
                <w:szCs w:val="21"/>
                <w:highlight w:val="none"/>
                <w:lang w:val="en-US" w:eastAsia="zh-CN"/>
              </w:rPr>
              <w:t xml:space="preserve">响应人应提供以上结果查询截图：在代理人订座系统中输入DDI:指令，航空公司两字代码后须带“#” </w:t>
            </w:r>
          </w:p>
          <w:p w14:paraId="17C2832E">
            <w:pPr>
              <w:adjustRightInd w:val="0"/>
              <w:snapToGrid w:val="0"/>
              <w:jc w:val="left"/>
              <w:rPr>
                <w:rFonts w:hint="eastAsia" w:ascii="宋体" w:hAnsi="宋体" w:eastAsia="宋体" w:cs="Times New Roman"/>
                <w:sz w:val="21"/>
                <w:szCs w:val="21"/>
                <w:highlight w:val="none"/>
              </w:rPr>
            </w:pPr>
            <w:r>
              <w:rPr>
                <w:rFonts w:hint="eastAsia" w:ascii="Times New Roman" w:hAnsi="Times New Roman" w:eastAsia="宋体" w:cs="Times New Roman"/>
                <w:sz w:val="21"/>
                <w:szCs w:val="21"/>
                <w:highlight w:val="none"/>
                <w:lang w:val="en-US" w:eastAsia="zh-CN"/>
              </w:rPr>
              <w:t>Le soumissionnaire doit fournir une capture d’écran du résultat de la requête : dans le système de réservation de l’agent, saisir la commande « DDI: » ; le code à deux lettres de la compagnie aérienne doit être suivi du caractère « # ».</w:t>
            </w:r>
          </w:p>
        </w:tc>
      </w:tr>
      <w:tr w14:paraId="04580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continue"/>
            <w:noWrap w:val="0"/>
            <w:vAlign w:val="center"/>
          </w:tcPr>
          <w:p w14:paraId="78E41E21">
            <w:pPr>
              <w:jc w:val="center"/>
              <w:rPr>
                <w:rFonts w:ascii="宋体" w:hAnsi="宋体" w:eastAsia="宋体"/>
                <w:color w:val="000000"/>
                <w:sz w:val="21"/>
                <w:szCs w:val="21"/>
                <w:highlight w:val="none"/>
              </w:rPr>
            </w:pPr>
          </w:p>
        </w:tc>
        <w:tc>
          <w:tcPr>
            <w:tcW w:w="1356" w:type="dxa"/>
            <w:gridSpan w:val="2"/>
            <w:vMerge w:val="continue"/>
            <w:noWrap w:val="0"/>
            <w:vAlign w:val="center"/>
          </w:tcPr>
          <w:p w14:paraId="7FD8A98A">
            <w:pPr>
              <w:jc w:val="center"/>
              <w:rPr>
                <w:rFonts w:ascii="宋体" w:hAnsi="宋体" w:eastAsia="宋体"/>
                <w:color w:val="000000"/>
                <w:sz w:val="21"/>
                <w:szCs w:val="21"/>
                <w:highlight w:val="none"/>
              </w:rPr>
            </w:pPr>
          </w:p>
        </w:tc>
        <w:tc>
          <w:tcPr>
            <w:tcW w:w="1555" w:type="dxa"/>
            <w:noWrap w:val="0"/>
            <w:vAlign w:val="center"/>
          </w:tcPr>
          <w:p w14:paraId="644C6826">
            <w:pPr>
              <w:adjustRightInd w:val="0"/>
              <w:snapToGrid w:val="0"/>
              <w:jc w:val="left"/>
              <w:rPr>
                <w:rFonts w:ascii="宋体" w:hAnsi="宋体" w:eastAsia="宋体"/>
                <w:sz w:val="21"/>
                <w:szCs w:val="21"/>
                <w:highlight w:val="none"/>
              </w:rPr>
            </w:pPr>
            <w:r>
              <w:rPr>
                <w:rFonts w:hint="eastAsia" w:ascii="宋体" w:hAnsi="宋体" w:eastAsia="宋体" w:cs="Times New Roman"/>
                <w:sz w:val="21"/>
                <w:szCs w:val="21"/>
                <w:highlight w:val="none"/>
              </w:rPr>
              <w:t>采购人常用航空公司私有运价（满分</w:t>
            </w:r>
            <w:r>
              <w:rPr>
                <w:rFonts w:hint="eastAsia" w:ascii="宋体" w:hAnsi="宋体" w:cs="Times New Roman"/>
                <w:sz w:val="21"/>
                <w:szCs w:val="21"/>
                <w:highlight w:val="none"/>
                <w:lang w:val="en-US" w:eastAsia="zh-CN"/>
              </w:rPr>
              <w:t>3</w:t>
            </w:r>
            <w:r>
              <w:rPr>
                <w:rFonts w:hint="eastAsia" w:ascii="宋体" w:hAnsi="宋体" w:eastAsia="宋体" w:cs="Times New Roman"/>
                <w:sz w:val="21"/>
                <w:szCs w:val="21"/>
                <w:highlight w:val="none"/>
                <w:lang w:val="en-US" w:eastAsia="zh-CN"/>
              </w:rPr>
              <w:t>5</w:t>
            </w:r>
            <w:r>
              <w:rPr>
                <w:rFonts w:hint="eastAsia" w:ascii="宋体" w:hAnsi="宋体" w:eastAsia="宋体" w:cs="Times New Roman"/>
                <w:sz w:val="21"/>
                <w:szCs w:val="21"/>
                <w:highlight w:val="none"/>
              </w:rPr>
              <w:t>分）</w:t>
            </w:r>
          </w:p>
          <w:p w14:paraId="4DE62443">
            <w:pPr>
              <w:adjustRightInd w:val="0"/>
              <w:snapToGrid w:val="0"/>
              <w:jc w:val="left"/>
              <w:rPr>
                <w:rFonts w:ascii="宋体" w:hAnsi="宋体" w:eastAsia="宋体"/>
                <w:sz w:val="21"/>
                <w:szCs w:val="21"/>
                <w:highlight w:val="none"/>
              </w:rPr>
            </w:pPr>
            <w:r>
              <w:rPr>
                <w:rFonts w:hint="eastAsia" w:ascii="Times New Roman" w:hAnsi="Times New Roman" w:eastAsia="宋体" w:cs="Times New Roman"/>
                <w:sz w:val="21"/>
                <w:szCs w:val="21"/>
                <w:highlight w:val="none"/>
              </w:rPr>
              <w:t xml:space="preserve">Tarifs privés des compagnies aériennes habituellement utilisées par l’Acheteur (maximum </w:t>
            </w:r>
            <w:r>
              <w:rPr>
                <w:rFonts w:hint="eastAsia" w:cs="Times New Roman"/>
                <w:sz w:val="21"/>
                <w:szCs w:val="21"/>
                <w:highlight w:val="none"/>
                <w:lang w:val="en-US" w:eastAsia="zh-CN"/>
              </w:rPr>
              <w:t>3</w:t>
            </w:r>
            <w:r>
              <w:rPr>
                <w:rFonts w:hint="eastAsia" w:ascii="Times New Roman" w:hAnsi="Times New Roman" w:eastAsia="宋体" w:cs="Times New Roman"/>
                <w:sz w:val="21"/>
                <w:szCs w:val="21"/>
                <w:highlight w:val="none"/>
              </w:rPr>
              <w:t>5 points)</w:t>
            </w:r>
          </w:p>
        </w:tc>
        <w:tc>
          <w:tcPr>
            <w:tcW w:w="6238" w:type="dxa"/>
            <w:noWrap w:val="0"/>
            <w:vAlign w:val="center"/>
          </w:tcPr>
          <w:p w14:paraId="0822E212">
            <w:pPr>
              <w:adjustRightInd w:val="0"/>
              <w:snapToGrid w:val="0"/>
              <w:jc w:val="left"/>
              <w:rPr>
                <w:rFonts w:hint="eastAsia" w:ascii="宋体" w:hAnsi="宋体" w:eastAsia="宋体" w:cs="Times New Roman"/>
                <w:sz w:val="21"/>
                <w:szCs w:val="21"/>
                <w:highlight w:val="yellow"/>
              </w:rPr>
            </w:pPr>
            <w:r>
              <w:rPr>
                <w:rFonts w:hint="eastAsia" w:ascii="宋体" w:hAnsi="宋体" w:eastAsia="宋体" w:cs="Times New Roman"/>
                <w:sz w:val="21"/>
                <w:szCs w:val="21"/>
                <w:highlight w:val="none"/>
              </w:rPr>
              <w:t>对采购人常用的航空公司向响应人提供私有运价情况进行评分：</w:t>
            </w:r>
            <w:r>
              <w:rPr>
                <w:rFonts w:hint="eastAsia" w:ascii="宋体" w:hAnsi="宋体" w:cs="宋体"/>
                <w:sz w:val="21"/>
                <w:szCs w:val="21"/>
                <w:highlight w:val="none"/>
                <w:lang w:val="en-US" w:eastAsia="zh-CN"/>
              </w:rPr>
              <w:t>中国国航（CA）、海南航空（HU）、土耳其航空（TK）、阿联酋航空（EK）、布鲁塞尔航空（SN）、法国航空（AF）、埃塞俄比亚航空（ET)，共计7家。</w:t>
            </w:r>
          </w:p>
          <w:p w14:paraId="0D781312">
            <w:pPr>
              <w:adjustRightInd w:val="0"/>
              <w:snapToGrid w:val="0"/>
              <w:jc w:val="left"/>
              <w:rPr>
                <w:rFonts w:hint="eastAsia" w:ascii="Times New Roman" w:hAnsi="Times New Roman" w:eastAsia="宋体" w:cs="Times New Roman"/>
                <w:sz w:val="21"/>
                <w:szCs w:val="21"/>
                <w:highlight w:val="none"/>
              </w:rPr>
            </w:pPr>
            <w:r>
              <w:rPr>
                <w:rFonts w:hint="eastAsia" w:ascii="宋体" w:hAnsi="宋体" w:eastAsia="宋体" w:cs="宋体"/>
                <w:sz w:val="21"/>
                <w:szCs w:val="21"/>
                <w:highlight w:val="none"/>
                <w:lang w:val="en-US" w:eastAsia="zh-CN"/>
              </w:rPr>
              <w:t>对上述7家航空公司，每具备1家有效私有运价授权，得2分，最高得14分。每增加1家其他航空公司的有效私有运价授权，得</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lang w:val="en-US" w:eastAsia="zh-CN"/>
              </w:rPr>
              <w:t>分，最高得</w:t>
            </w:r>
            <w:r>
              <w:rPr>
                <w:rFonts w:hint="eastAsia" w:ascii="宋体" w:hAnsi="宋体" w:cs="宋体"/>
                <w:sz w:val="21"/>
                <w:szCs w:val="21"/>
                <w:highlight w:val="none"/>
                <w:lang w:val="en-US" w:eastAsia="zh-CN"/>
              </w:rPr>
              <w:t>21</w:t>
            </w:r>
            <w:r>
              <w:rPr>
                <w:rFonts w:hint="eastAsia" w:ascii="宋体" w:hAnsi="宋体" w:eastAsia="宋体" w:cs="宋体"/>
                <w:sz w:val="21"/>
                <w:szCs w:val="21"/>
                <w:highlight w:val="none"/>
                <w:lang w:val="en-US" w:eastAsia="zh-CN"/>
              </w:rPr>
              <w:t>分。</w:t>
            </w:r>
          </w:p>
          <w:p w14:paraId="17EC2D1C">
            <w:pPr>
              <w:adjustRightInd w:val="0"/>
              <w:snapToGrid w:val="0"/>
              <w:jc w:val="left"/>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Évaluation des tarifs privés proposés au soumissionnaire par les compagnies aériennes couramment utilisées par l’acheteur : Air China (CA), Hainan Airlines (HU), Turkish Airlines (TK), Emirates (EK), Brussels Airlines (SN), Air France (AF) et Ethiopian Airlines (ET), soit 7 compagnies au total.</w:t>
            </w:r>
          </w:p>
          <w:p w14:paraId="6ED9B990">
            <w:pPr>
              <w:adjustRightInd w:val="0"/>
              <w:snapToGrid w:val="0"/>
              <w:jc w:val="left"/>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 xml:space="preserve">Pour ces 7 compagnies, chaque autorisation valide de tarif privé donne droit à 2 points, dans la limite de 14 points. Pour chaque autorisation valide de tarif privé obtenue auprès d’une autre compagnie aérienne, </w:t>
            </w:r>
            <w:r>
              <w:rPr>
                <w:rFonts w:hint="eastAsia" w:cs="Times New Roman"/>
                <w:sz w:val="21"/>
                <w:szCs w:val="21"/>
                <w:highlight w:val="none"/>
                <w:lang w:val="en-US" w:eastAsia="zh-CN"/>
              </w:rPr>
              <w:t>3</w:t>
            </w:r>
            <w:r>
              <w:rPr>
                <w:rFonts w:hint="eastAsia" w:ascii="Times New Roman" w:hAnsi="Times New Roman" w:eastAsia="宋体" w:cs="Times New Roman"/>
                <w:sz w:val="21"/>
                <w:szCs w:val="21"/>
                <w:highlight w:val="none"/>
              </w:rPr>
              <w:t xml:space="preserve"> point est accordé, dans la limite de </w:t>
            </w:r>
            <w:r>
              <w:rPr>
                <w:rFonts w:hint="eastAsia" w:cs="Times New Roman"/>
                <w:sz w:val="21"/>
                <w:szCs w:val="21"/>
                <w:highlight w:val="none"/>
                <w:lang w:val="en-US" w:eastAsia="zh-CN"/>
              </w:rPr>
              <w:t>21</w:t>
            </w:r>
            <w:r>
              <w:rPr>
                <w:rFonts w:hint="eastAsia" w:ascii="Times New Roman" w:hAnsi="Times New Roman" w:eastAsia="宋体" w:cs="Times New Roman"/>
                <w:sz w:val="21"/>
                <w:szCs w:val="21"/>
                <w:highlight w:val="none"/>
              </w:rPr>
              <w:t xml:space="preserve"> points.</w:t>
            </w:r>
          </w:p>
        </w:tc>
      </w:tr>
      <w:tr w14:paraId="7CD8A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continue"/>
            <w:noWrap w:val="0"/>
            <w:vAlign w:val="center"/>
          </w:tcPr>
          <w:p w14:paraId="12B3C285">
            <w:pPr>
              <w:jc w:val="center"/>
              <w:rPr>
                <w:rFonts w:ascii="宋体" w:hAnsi="宋体" w:eastAsia="宋体"/>
                <w:color w:val="000000"/>
                <w:sz w:val="21"/>
                <w:szCs w:val="21"/>
                <w:highlight w:val="none"/>
              </w:rPr>
            </w:pPr>
          </w:p>
        </w:tc>
        <w:tc>
          <w:tcPr>
            <w:tcW w:w="1356" w:type="dxa"/>
            <w:gridSpan w:val="2"/>
            <w:vMerge w:val="continue"/>
            <w:noWrap w:val="0"/>
            <w:vAlign w:val="center"/>
          </w:tcPr>
          <w:p w14:paraId="1548582D">
            <w:pPr>
              <w:jc w:val="center"/>
              <w:rPr>
                <w:rFonts w:ascii="宋体" w:hAnsi="宋体" w:eastAsia="宋体"/>
                <w:color w:val="000000"/>
                <w:sz w:val="21"/>
                <w:szCs w:val="21"/>
                <w:highlight w:val="none"/>
              </w:rPr>
            </w:pPr>
          </w:p>
        </w:tc>
        <w:tc>
          <w:tcPr>
            <w:tcW w:w="1555" w:type="dxa"/>
            <w:noWrap w:val="0"/>
            <w:vAlign w:val="center"/>
          </w:tcPr>
          <w:p w14:paraId="0DA65443">
            <w:pPr>
              <w:adjustRightInd w:val="0"/>
              <w:snapToGrid w:val="0"/>
              <w:jc w:val="left"/>
              <w:rPr>
                <w:sz w:val="21"/>
                <w:szCs w:val="21"/>
                <w:highlight w:val="none"/>
              </w:rPr>
            </w:pPr>
            <w:r>
              <w:rPr>
                <w:rFonts w:hint="eastAsia" w:ascii="宋体" w:hAnsi="宋体" w:eastAsia="宋体" w:cs="Times New Roman"/>
                <w:sz w:val="21"/>
                <w:szCs w:val="21"/>
                <w:highlight w:val="none"/>
                <w:lang w:val="en-US" w:eastAsia="zh-CN"/>
              </w:rPr>
              <w:t>项目负责人</w:t>
            </w:r>
            <w:r>
              <w:rPr>
                <w:rFonts w:hint="eastAsia" w:ascii="宋体" w:hAnsi="宋体" w:eastAsia="宋体" w:cs="Times New Roman"/>
                <w:sz w:val="21"/>
                <w:szCs w:val="21"/>
                <w:highlight w:val="none"/>
              </w:rPr>
              <w:t>资质（满分</w:t>
            </w:r>
            <w:r>
              <w:rPr>
                <w:rFonts w:hint="eastAsia" w:ascii="宋体" w:hAnsi="宋体" w:eastAsia="宋体" w:cs="Times New Roman"/>
                <w:sz w:val="21"/>
                <w:szCs w:val="21"/>
                <w:highlight w:val="none"/>
                <w:lang w:val="en-US" w:eastAsia="zh-CN"/>
              </w:rPr>
              <w:t>13</w:t>
            </w:r>
            <w:r>
              <w:rPr>
                <w:rFonts w:hint="eastAsia" w:ascii="宋体" w:hAnsi="宋体" w:eastAsia="宋体" w:cs="Times New Roman"/>
                <w:sz w:val="21"/>
                <w:szCs w:val="21"/>
                <w:highlight w:val="none"/>
              </w:rPr>
              <w:t>分）</w:t>
            </w:r>
          </w:p>
          <w:p w14:paraId="436C26C0">
            <w:pPr>
              <w:adjustRightInd w:val="0"/>
              <w:snapToGrid w:val="0"/>
              <w:jc w:val="left"/>
              <w:rPr>
                <w:sz w:val="21"/>
                <w:szCs w:val="21"/>
                <w:highlight w:val="none"/>
              </w:rPr>
            </w:pPr>
            <w:r>
              <w:rPr>
                <w:rFonts w:hint="eastAsia" w:ascii="Times New Roman" w:hAnsi="Times New Roman" w:eastAsia="宋体" w:cs="Times New Roman"/>
                <w:sz w:val="21"/>
                <w:szCs w:val="21"/>
                <w:highlight w:val="none"/>
              </w:rPr>
              <w:t>Qualifications du personnel de service (maximum 13 points)</w:t>
            </w:r>
          </w:p>
        </w:tc>
        <w:tc>
          <w:tcPr>
            <w:tcW w:w="6238" w:type="dxa"/>
            <w:noWrap w:val="0"/>
            <w:vAlign w:val="center"/>
          </w:tcPr>
          <w:p w14:paraId="7A1ED5ED">
            <w:pPr>
              <w:numPr>
                <w:ilvl w:val="0"/>
                <w:numId w:val="0"/>
              </w:numPr>
              <w:adjustRightInd w:val="0"/>
              <w:snapToGrid w:val="0"/>
              <w:jc w:val="left"/>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对响应人为采购人配备的专属服务人员从事国际机票工作经验情况进行评分：</w:t>
            </w:r>
            <w:r>
              <w:rPr>
                <w:rFonts w:hint="eastAsia" w:ascii="宋体" w:hAnsi="宋体" w:cs="Times New Roman"/>
                <w:kern w:val="2"/>
                <w:sz w:val="21"/>
                <w:szCs w:val="21"/>
                <w:highlight w:val="none"/>
                <w:lang w:val="en-US" w:eastAsia="zh-CN" w:bidi="ar-SA"/>
              </w:rPr>
              <w:t>提供相关工作证明资料</w:t>
            </w:r>
          </w:p>
          <w:p w14:paraId="671C0151">
            <w:p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L’expérience dans le domaine des billets d’avion internationaux du personnel dédié affecté par le soumissionnaire à l’Acheteur est notée comme suit :</w:t>
            </w:r>
          </w:p>
          <w:p w14:paraId="4A8809E3">
            <w:pPr>
              <w:numPr>
                <w:ilvl w:val="0"/>
                <w:numId w:val="0"/>
              </w:num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1.从事国际机票业务工作年限＜5年，得</w:t>
            </w:r>
            <w:r>
              <w:rPr>
                <w:rFonts w:hint="eastAsia" w:ascii="宋体" w:hAnsi="宋体" w:cs="Times New Roman"/>
                <w:kern w:val="2"/>
                <w:sz w:val="21"/>
                <w:szCs w:val="21"/>
                <w:highlight w:val="none"/>
                <w:lang w:val="en-US" w:eastAsia="zh-CN" w:bidi="ar-SA"/>
              </w:rPr>
              <w:t>7</w:t>
            </w:r>
            <w:r>
              <w:rPr>
                <w:rFonts w:hint="eastAsia" w:ascii="宋体" w:hAnsi="宋体" w:eastAsia="宋体" w:cs="Times New Roman"/>
                <w:kern w:val="2"/>
                <w:sz w:val="21"/>
                <w:szCs w:val="21"/>
                <w:highlight w:val="none"/>
                <w:lang w:val="en-US" w:eastAsia="zh-CN" w:bidi="ar-SA"/>
              </w:rPr>
              <w:t>分；</w:t>
            </w:r>
          </w:p>
          <w:p w14:paraId="40ED17C0">
            <w:p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 Moins de 5 ans d’activité dans le domaine des billets internationaux au sein de l’entreprise : 0 point ;</w:t>
            </w:r>
          </w:p>
          <w:p w14:paraId="4801E63E">
            <w:pPr>
              <w:numPr>
                <w:ilvl w:val="0"/>
                <w:numId w:val="0"/>
              </w:num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2.5年≤从事国际机票业务工作年限＜10年，得</w:t>
            </w:r>
            <w:r>
              <w:rPr>
                <w:rFonts w:hint="eastAsia" w:ascii="宋体" w:hAnsi="宋体" w:cs="Times New Roman"/>
                <w:kern w:val="2"/>
                <w:sz w:val="21"/>
                <w:szCs w:val="21"/>
                <w:highlight w:val="none"/>
                <w:lang w:val="en-US" w:eastAsia="zh-CN" w:bidi="ar-SA"/>
              </w:rPr>
              <w:t>10</w:t>
            </w:r>
            <w:r>
              <w:rPr>
                <w:rFonts w:hint="eastAsia" w:ascii="宋体" w:hAnsi="宋体" w:eastAsia="宋体" w:cs="Times New Roman"/>
                <w:kern w:val="2"/>
                <w:sz w:val="21"/>
                <w:szCs w:val="21"/>
                <w:highlight w:val="none"/>
                <w:lang w:val="en-US" w:eastAsia="zh-CN" w:bidi="ar-SA"/>
              </w:rPr>
              <w:t>分；</w:t>
            </w:r>
          </w:p>
          <w:p w14:paraId="78EDCE04">
            <w:p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2. De 5 ans (inclus) à moins de 10 ans : 7 points ;</w:t>
            </w:r>
          </w:p>
          <w:p w14:paraId="17799A71">
            <w:pPr>
              <w:numPr>
                <w:ilvl w:val="0"/>
                <w:numId w:val="0"/>
              </w:num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3.从事国际机票业务工作年限≥10年，得13分。</w:t>
            </w:r>
          </w:p>
          <w:p w14:paraId="3C99A531">
            <w:pPr>
              <w:adjustRightInd w:val="0"/>
              <w:snapToGrid w:val="0"/>
              <w:jc w:val="left"/>
              <w:rPr>
                <w:rFonts w:hint="default"/>
                <w:sz w:val="21"/>
                <w:szCs w:val="21"/>
                <w:highlight w:val="none"/>
                <w:lang w:val="en-US"/>
              </w:rPr>
            </w:pPr>
            <w:r>
              <w:rPr>
                <w:rFonts w:hint="eastAsia" w:ascii="Times New Roman" w:hAnsi="Times New Roman" w:eastAsia="宋体" w:cs="Times New Roman"/>
                <w:kern w:val="2"/>
                <w:sz w:val="21"/>
                <w:szCs w:val="21"/>
                <w:highlight w:val="none"/>
                <w:lang w:val="en-US" w:eastAsia="zh-CN" w:bidi="ar-SA"/>
              </w:rPr>
              <w:t>3. 10 ans ou plus : 13 points.</w:t>
            </w:r>
          </w:p>
        </w:tc>
      </w:tr>
      <w:tr w14:paraId="5F2E2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continue"/>
            <w:noWrap w:val="0"/>
            <w:vAlign w:val="center"/>
          </w:tcPr>
          <w:p w14:paraId="6561BC11">
            <w:pPr>
              <w:jc w:val="center"/>
              <w:rPr>
                <w:rFonts w:ascii="宋体" w:hAnsi="宋体" w:eastAsia="宋体"/>
                <w:color w:val="000000"/>
                <w:sz w:val="21"/>
                <w:szCs w:val="21"/>
                <w:highlight w:val="none"/>
              </w:rPr>
            </w:pPr>
          </w:p>
        </w:tc>
        <w:tc>
          <w:tcPr>
            <w:tcW w:w="1356" w:type="dxa"/>
            <w:gridSpan w:val="2"/>
            <w:vMerge w:val="continue"/>
            <w:noWrap w:val="0"/>
            <w:vAlign w:val="center"/>
          </w:tcPr>
          <w:p w14:paraId="625B09F8">
            <w:pPr>
              <w:jc w:val="center"/>
              <w:rPr>
                <w:rFonts w:ascii="宋体" w:hAnsi="宋体" w:eastAsia="宋体"/>
                <w:color w:val="000000"/>
                <w:sz w:val="21"/>
                <w:szCs w:val="21"/>
                <w:highlight w:val="none"/>
              </w:rPr>
            </w:pPr>
          </w:p>
        </w:tc>
        <w:tc>
          <w:tcPr>
            <w:tcW w:w="1555" w:type="dxa"/>
            <w:noWrap w:val="0"/>
            <w:vAlign w:val="center"/>
          </w:tcPr>
          <w:p w14:paraId="0292B442">
            <w:pPr>
              <w:adjustRightInd w:val="0"/>
              <w:snapToGrid w:val="0"/>
              <w:jc w:val="left"/>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服务人员专业能力</w:t>
            </w:r>
          </w:p>
          <w:p w14:paraId="0F82F6EA">
            <w:pPr>
              <w:adjustRightInd w:val="0"/>
              <w:snapToGrid w:val="0"/>
              <w:jc w:val="left"/>
              <w:rPr>
                <w:rFonts w:hint="eastAsia" w:ascii="宋体" w:hAnsi="宋体" w:eastAsia="宋体" w:cs="Times New Roman"/>
                <w:sz w:val="21"/>
                <w:szCs w:val="21"/>
                <w:highlight w:val="none"/>
              </w:rPr>
            </w:pPr>
            <w:r>
              <w:rPr>
                <w:rFonts w:hint="eastAsia" w:ascii="Times New Roman" w:hAnsi="Times New Roman" w:eastAsia="宋体" w:cs="Times New Roman"/>
                <w:sz w:val="21"/>
                <w:szCs w:val="21"/>
                <w:highlight w:val="none"/>
              </w:rPr>
              <w:t>Compétences professionnelles du personnel de service</w:t>
            </w:r>
          </w:p>
          <w:p w14:paraId="065D41E0">
            <w:pPr>
              <w:adjustRightInd w:val="0"/>
              <w:snapToGrid w:val="0"/>
              <w:jc w:val="left"/>
              <w:rPr>
                <w:sz w:val="21"/>
                <w:szCs w:val="21"/>
                <w:highlight w:val="none"/>
              </w:rPr>
            </w:pPr>
            <w:r>
              <w:rPr>
                <w:rFonts w:hint="eastAsia" w:ascii="宋体" w:hAnsi="宋体" w:eastAsia="宋体" w:cs="Times New Roman"/>
                <w:sz w:val="21"/>
                <w:szCs w:val="21"/>
                <w:highlight w:val="none"/>
              </w:rPr>
              <w:t>（满分</w:t>
            </w:r>
            <w:r>
              <w:rPr>
                <w:rFonts w:hint="eastAsia" w:ascii="宋体" w:hAnsi="宋体" w:eastAsia="宋体" w:cs="Times New Roman"/>
                <w:sz w:val="21"/>
                <w:szCs w:val="21"/>
                <w:highlight w:val="none"/>
                <w:lang w:val="en-US" w:eastAsia="zh-CN"/>
              </w:rPr>
              <w:t>12</w:t>
            </w:r>
            <w:r>
              <w:rPr>
                <w:rFonts w:hint="eastAsia" w:ascii="宋体" w:hAnsi="宋体" w:eastAsia="宋体" w:cs="Times New Roman"/>
                <w:sz w:val="21"/>
                <w:szCs w:val="21"/>
                <w:highlight w:val="none"/>
              </w:rPr>
              <w:t>分）</w:t>
            </w:r>
          </w:p>
          <w:p w14:paraId="79D18EC7">
            <w:pPr>
              <w:adjustRightInd w:val="0"/>
              <w:snapToGrid w:val="0"/>
              <w:jc w:val="left"/>
              <w:rPr>
                <w:sz w:val="21"/>
                <w:szCs w:val="21"/>
                <w:highlight w:val="none"/>
              </w:rPr>
            </w:pPr>
            <w:r>
              <w:rPr>
                <w:rFonts w:hint="eastAsia" w:ascii="Times New Roman" w:hAnsi="Times New Roman" w:eastAsia="宋体" w:cs="Times New Roman"/>
                <w:sz w:val="21"/>
                <w:szCs w:val="21"/>
                <w:highlight w:val="none"/>
              </w:rPr>
              <w:t>(Maximum 12 points)</w:t>
            </w:r>
          </w:p>
        </w:tc>
        <w:tc>
          <w:tcPr>
            <w:tcW w:w="6238" w:type="dxa"/>
            <w:noWrap w:val="0"/>
            <w:vAlign w:val="center"/>
          </w:tcPr>
          <w:p w14:paraId="0554AB19">
            <w:pPr>
              <w:rPr>
                <w:sz w:val="21"/>
                <w:szCs w:val="21"/>
              </w:rPr>
            </w:pPr>
            <w:r>
              <w:rPr>
                <w:sz w:val="21"/>
                <w:szCs w:val="21"/>
              </w:rPr>
              <w:t>对响应人为采购人配备的专属服务人员专业能力进行评分：</w:t>
            </w:r>
            <w:r>
              <w:rPr>
                <w:sz w:val="21"/>
                <w:szCs w:val="21"/>
              </w:rPr>
              <w:br w:type="textWrapping"/>
            </w:r>
            <w:r>
              <w:rPr>
                <w:sz w:val="21"/>
                <w:szCs w:val="21"/>
              </w:rPr>
              <w:t>1.国际客运岗位技能证书持证人数＜5人，得</w:t>
            </w:r>
            <w:r>
              <w:rPr>
                <w:rFonts w:hint="eastAsia"/>
                <w:sz w:val="21"/>
                <w:szCs w:val="21"/>
                <w:lang w:val="en-US" w:eastAsia="zh-CN"/>
              </w:rPr>
              <w:t>8</w:t>
            </w:r>
            <w:r>
              <w:rPr>
                <w:sz w:val="21"/>
                <w:szCs w:val="21"/>
              </w:rPr>
              <w:t>分；</w:t>
            </w:r>
            <w:r>
              <w:rPr>
                <w:sz w:val="21"/>
                <w:szCs w:val="21"/>
              </w:rPr>
              <w:br w:type="textWrapping"/>
            </w:r>
            <w:r>
              <w:rPr>
                <w:sz w:val="21"/>
                <w:szCs w:val="21"/>
              </w:rPr>
              <w:t>2.5人≤持证人数＜8人，得</w:t>
            </w:r>
            <w:r>
              <w:rPr>
                <w:rFonts w:hint="eastAsia"/>
                <w:sz w:val="21"/>
                <w:szCs w:val="21"/>
                <w:lang w:val="en-US" w:eastAsia="zh-CN"/>
              </w:rPr>
              <w:t>10</w:t>
            </w:r>
            <w:r>
              <w:rPr>
                <w:sz w:val="21"/>
                <w:szCs w:val="21"/>
              </w:rPr>
              <w:t>分；</w:t>
            </w:r>
            <w:r>
              <w:rPr>
                <w:sz w:val="21"/>
                <w:szCs w:val="21"/>
              </w:rPr>
              <w:br w:type="textWrapping"/>
            </w:r>
            <w:r>
              <w:rPr>
                <w:sz w:val="21"/>
                <w:szCs w:val="21"/>
              </w:rPr>
              <w:t>3.持证人数≥8人，得12分。</w:t>
            </w:r>
            <w:r>
              <w:rPr>
                <w:sz w:val="21"/>
                <w:szCs w:val="21"/>
              </w:rPr>
              <w:br w:type="textWrapping"/>
            </w:r>
            <w:r>
              <w:rPr>
                <w:sz w:val="21"/>
                <w:szCs w:val="21"/>
              </w:rPr>
              <w:t>提供响应人为采购人配备的专属服务人员所持有且在有效</w:t>
            </w:r>
            <w:r>
              <w:rPr>
                <w:rFonts w:hint="eastAsia"/>
                <w:sz w:val="21"/>
                <w:szCs w:val="21"/>
                <w:lang w:eastAsia="zh-CN"/>
              </w:rPr>
              <w:t>期内</w:t>
            </w:r>
            <w:r>
              <w:rPr>
                <w:sz w:val="21"/>
                <w:szCs w:val="21"/>
              </w:rPr>
              <w:t>的国际客运相关岗位技能或专业能力证明材料。</w:t>
            </w:r>
          </w:p>
          <w:p w14:paraId="7F41854D">
            <w:pPr>
              <w:rPr>
                <w:sz w:val="21"/>
                <w:szCs w:val="21"/>
              </w:rPr>
            </w:pPr>
            <w:r>
              <w:rPr>
                <w:rFonts w:ascii="Times New Roman" w:hAnsi="Times New Roman" w:cs="Times New Roman"/>
                <w:sz w:val="21"/>
                <w:szCs w:val="21"/>
              </w:rPr>
              <w:t>Les compétences professionnelles du personnel dédié affecté par le soumissionnaire à l’Acheteur sont notées comme suit : 1. moins de 5 titulaires d’un certificat de compétences pour le transport international de passagers : 0 point ; 2. de 5 titulaires (inclus) à moins de 8 : 6 points ; 3. 8 titulaires ou plus : 12 points. Fournir les certificats ou justificatifs de compétences professionnelles valides, liés au transport international de passagers, détenus par le personnel dédié affecté à l’Acheteur.</w:t>
            </w:r>
          </w:p>
        </w:tc>
      </w:tr>
      <w:tr w14:paraId="3A1BE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continue"/>
            <w:noWrap w:val="0"/>
            <w:vAlign w:val="center"/>
          </w:tcPr>
          <w:p w14:paraId="509E9BE1">
            <w:pPr>
              <w:jc w:val="center"/>
              <w:rPr>
                <w:rFonts w:ascii="宋体" w:hAnsi="宋体" w:eastAsia="宋体"/>
                <w:color w:val="000000"/>
                <w:sz w:val="21"/>
                <w:szCs w:val="21"/>
                <w:highlight w:val="none"/>
              </w:rPr>
            </w:pPr>
          </w:p>
        </w:tc>
        <w:tc>
          <w:tcPr>
            <w:tcW w:w="1356" w:type="dxa"/>
            <w:gridSpan w:val="2"/>
            <w:vMerge w:val="continue"/>
            <w:noWrap w:val="0"/>
            <w:vAlign w:val="center"/>
          </w:tcPr>
          <w:p w14:paraId="20AE63D1">
            <w:pPr>
              <w:jc w:val="center"/>
              <w:rPr>
                <w:rFonts w:ascii="宋体" w:hAnsi="宋体" w:eastAsia="宋体"/>
                <w:color w:val="000000"/>
                <w:sz w:val="21"/>
                <w:szCs w:val="21"/>
                <w:highlight w:val="none"/>
              </w:rPr>
            </w:pPr>
          </w:p>
        </w:tc>
        <w:tc>
          <w:tcPr>
            <w:tcW w:w="1555" w:type="dxa"/>
            <w:noWrap w:val="0"/>
            <w:vAlign w:val="center"/>
          </w:tcPr>
          <w:p w14:paraId="40C21AC4">
            <w:pPr>
              <w:adjustRightInd w:val="0"/>
              <w:snapToGrid w:val="0"/>
              <w:jc w:val="left"/>
              <w:rPr>
                <w:rFonts w:hint="default"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安全保密管理措施、制度（满分10分）</w:t>
            </w:r>
          </w:p>
          <w:p w14:paraId="15C2BD44">
            <w:pPr>
              <w:adjustRightInd w:val="0"/>
              <w:snapToGrid w:val="0"/>
              <w:jc w:val="left"/>
              <w:rPr>
                <w:rFonts w:hint="default" w:ascii="宋体" w:hAnsi="宋体"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Mesures et systèmes de gestion de la sécurité et de la confidentialité (maximum 10 points)</w:t>
            </w:r>
          </w:p>
        </w:tc>
        <w:tc>
          <w:tcPr>
            <w:tcW w:w="6238" w:type="dxa"/>
            <w:noWrap w:val="0"/>
            <w:vAlign w:val="center"/>
          </w:tcPr>
          <w:p w14:paraId="04725F22">
            <w:pPr>
              <w:adjustRightInd w:val="0"/>
              <w:snapToGrid w:val="0"/>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对信息安全及保密相关方案、措施、制度规定进行评分：</w:t>
            </w:r>
          </w:p>
          <w:p w14:paraId="65688C3C">
            <w:pPr>
              <w:adjustRightInd w:val="0"/>
              <w:snapToGrid w:val="0"/>
              <w:jc w:val="left"/>
              <w:rPr>
                <w:rFonts w:hint="eastAsia" w:ascii="宋体" w:hAnsi="宋体"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Les plans, mesures et règles relatifs à la sécurité de l’information et à la confidentialité sont notés comme suit :</w:t>
            </w:r>
          </w:p>
          <w:p w14:paraId="5C8C8FD7">
            <w:pPr>
              <w:adjustRightInd w:val="0"/>
              <w:snapToGrid w:val="0"/>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1.方案详细、具体、内容齐全、合理可行得10分；</w:t>
            </w:r>
          </w:p>
          <w:p w14:paraId="579FE34D">
            <w:pPr>
              <w:adjustRightInd w:val="0"/>
              <w:snapToGrid w:val="0"/>
              <w:jc w:val="left"/>
              <w:rPr>
                <w:rFonts w:hint="eastAsia" w:ascii="宋体" w:hAnsi="宋体"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1. Plan détaillé, concret, complet, raisonnable et réalisable : 10 points ;</w:t>
            </w:r>
          </w:p>
          <w:p w14:paraId="43B0F74C">
            <w:pPr>
              <w:adjustRightInd w:val="0"/>
              <w:snapToGrid w:val="0"/>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2.方案较详细、较具体、较合理的，得</w:t>
            </w:r>
            <w:r>
              <w:rPr>
                <w:rFonts w:hint="eastAsia" w:ascii="宋体" w:hAnsi="宋体" w:cs="Times New Roman"/>
                <w:sz w:val="21"/>
                <w:szCs w:val="21"/>
                <w:highlight w:val="none"/>
                <w:lang w:val="en-US" w:eastAsia="zh-CN"/>
              </w:rPr>
              <w:t>8</w:t>
            </w:r>
            <w:r>
              <w:rPr>
                <w:rFonts w:hint="eastAsia" w:ascii="宋体" w:hAnsi="宋体" w:eastAsia="宋体" w:cs="Times New Roman"/>
                <w:sz w:val="21"/>
                <w:szCs w:val="21"/>
                <w:highlight w:val="none"/>
                <w:lang w:val="en-US" w:eastAsia="zh-CN"/>
              </w:rPr>
              <w:t>分；</w:t>
            </w:r>
          </w:p>
          <w:p w14:paraId="3BEBF291">
            <w:pPr>
              <w:adjustRightInd w:val="0"/>
              <w:snapToGrid w:val="0"/>
              <w:jc w:val="left"/>
              <w:rPr>
                <w:rFonts w:hint="eastAsia" w:ascii="宋体" w:hAnsi="宋体"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2. Plan relativement détaillé, concret et raisonnable : 6 points ;</w:t>
            </w:r>
          </w:p>
          <w:p w14:paraId="107256F3">
            <w:pPr>
              <w:adjustRightInd w:val="0"/>
              <w:snapToGrid w:val="0"/>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3.方案基本齐全的，得</w:t>
            </w:r>
            <w:r>
              <w:rPr>
                <w:rFonts w:hint="eastAsia" w:ascii="宋体" w:hAnsi="宋体" w:cs="Times New Roman"/>
                <w:sz w:val="21"/>
                <w:szCs w:val="21"/>
                <w:highlight w:val="none"/>
                <w:lang w:val="en-US" w:eastAsia="zh-CN"/>
              </w:rPr>
              <w:t>6</w:t>
            </w:r>
            <w:r>
              <w:rPr>
                <w:rFonts w:hint="eastAsia" w:ascii="宋体" w:hAnsi="宋体" w:eastAsia="宋体" w:cs="Times New Roman"/>
                <w:sz w:val="21"/>
                <w:szCs w:val="21"/>
                <w:highlight w:val="none"/>
                <w:lang w:val="en-US" w:eastAsia="zh-CN"/>
              </w:rPr>
              <w:t>分；</w:t>
            </w:r>
          </w:p>
          <w:p w14:paraId="6665D115">
            <w:pPr>
              <w:adjustRightInd w:val="0"/>
              <w:snapToGrid w:val="0"/>
              <w:jc w:val="left"/>
              <w:rPr>
                <w:rFonts w:hint="eastAsia" w:ascii="宋体" w:hAnsi="宋体"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3. Plan globalement complet : 3 points ;</w:t>
            </w:r>
          </w:p>
          <w:p w14:paraId="4DC28A4F">
            <w:pPr>
              <w:adjustRightInd w:val="0"/>
              <w:snapToGrid w:val="0"/>
              <w:jc w:val="left"/>
              <w:rPr>
                <w:sz w:val="21"/>
                <w:szCs w:val="21"/>
                <w:highlight w:val="none"/>
              </w:rPr>
            </w:pPr>
            <w:r>
              <w:rPr>
                <w:rFonts w:hint="eastAsia" w:ascii="宋体" w:hAnsi="宋体" w:eastAsia="宋体" w:cs="Times New Roman"/>
                <w:sz w:val="21"/>
                <w:szCs w:val="21"/>
                <w:highlight w:val="none"/>
                <w:lang w:val="en-US" w:eastAsia="zh-CN"/>
              </w:rPr>
              <w:t>提供信息安全及保密相关方案、措施、制度规定等相关文件</w:t>
            </w:r>
          </w:p>
          <w:p w14:paraId="7121E6F6">
            <w:pPr>
              <w:adjustRightInd w:val="0"/>
              <w:snapToGrid w:val="0"/>
              <w:jc w:val="left"/>
              <w:rPr>
                <w:sz w:val="21"/>
                <w:szCs w:val="21"/>
                <w:highlight w:val="none"/>
              </w:rPr>
            </w:pPr>
            <w:r>
              <w:rPr>
                <w:rFonts w:hint="eastAsia" w:ascii="Times New Roman" w:hAnsi="Times New Roman" w:eastAsia="宋体" w:cs="Times New Roman"/>
                <w:sz w:val="21"/>
                <w:szCs w:val="21"/>
                <w:highlight w:val="none"/>
                <w:lang w:val="en-US" w:eastAsia="zh-CN"/>
              </w:rPr>
              <w:t>Fournir les plans, mesures, procédures et autres documents pertinents relatifs à la sécurité de l’information et à la confidentialité.</w:t>
            </w:r>
          </w:p>
        </w:tc>
      </w:tr>
      <w:tr w14:paraId="115F0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restart"/>
            <w:noWrap w:val="0"/>
            <w:vAlign w:val="center"/>
          </w:tcPr>
          <w:p w14:paraId="606F3249">
            <w:pPr>
              <w:jc w:val="center"/>
              <w:rPr>
                <w:rFonts w:hint="default"/>
                <w:sz w:val="21"/>
                <w:szCs w:val="21"/>
                <w:lang w:val="en-US" w:eastAsia="zh-CN"/>
              </w:rPr>
            </w:pPr>
            <w:r>
              <w:rPr>
                <w:rFonts w:hint="eastAsia"/>
                <w:sz w:val="21"/>
                <w:szCs w:val="21"/>
                <w:lang w:val="en-US" w:eastAsia="zh-CN"/>
              </w:rPr>
              <w:t>3</w:t>
            </w:r>
          </w:p>
        </w:tc>
        <w:tc>
          <w:tcPr>
            <w:tcW w:w="1356" w:type="dxa"/>
            <w:gridSpan w:val="2"/>
            <w:vMerge w:val="restart"/>
            <w:noWrap w:val="0"/>
            <w:vAlign w:val="center"/>
          </w:tcPr>
          <w:p w14:paraId="3E346193">
            <w:pPr>
              <w:snapToGrid w:val="0"/>
              <w:jc w:val="center"/>
              <w:rPr>
                <w:rFonts w:ascii="宋体" w:hAnsi="宋体" w:eastAsia="宋体"/>
                <w:sz w:val="21"/>
                <w:szCs w:val="21"/>
                <w:highlight w:val="none"/>
                <w:lang w:bidi="en-US"/>
              </w:rPr>
            </w:pPr>
            <w:r>
              <w:rPr>
                <w:rFonts w:hint="eastAsia" w:ascii="宋体" w:hAnsi="宋体"/>
                <w:szCs w:val="21"/>
                <w:highlight w:val="none"/>
              </w:rPr>
              <w:t>价格评审标准</w:t>
            </w:r>
            <w:r>
              <w:rPr>
                <w:rFonts w:hint="eastAsia" w:ascii="Times New Roman" w:hAnsi="Times New Roman" w:eastAsia="宋体" w:cs="Times New Roman"/>
                <w:sz w:val="21"/>
                <w:szCs w:val="21"/>
                <w:highlight w:val="none"/>
                <w:lang w:val="en-US" w:eastAsia="zh-CN"/>
              </w:rPr>
              <w:t>Critères d’évaluation des prix</w:t>
            </w:r>
          </w:p>
        </w:tc>
        <w:tc>
          <w:tcPr>
            <w:tcW w:w="1555" w:type="dxa"/>
            <w:noWrap w:val="0"/>
            <w:vAlign w:val="center"/>
          </w:tcPr>
          <w:p w14:paraId="1EF39F0D">
            <w:pPr>
              <w:jc w:val="center"/>
              <w:rPr>
                <w:rFonts w:ascii="宋体" w:hAnsi="宋体" w:eastAsia="宋体"/>
                <w:sz w:val="21"/>
                <w:szCs w:val="21"/>
                <w:highlight w:val="none"/>
              </w:rPr>
            </w:pPr>
            <w:r>
              <w:rPr>
                <w:rFonts w:hint="eastAsia" w:ascii="宋体" w:hAnsi="宋体"/>
                <w:szCs w:val="21"/>
                <w:highlight w:val="none"/>
              </w:rPr>
              <w:t>评审基准价计算方法</w:t>
            </w:r>
            <w:r>
              <w:rPr>
                <w:rFonts w:hint="eastAsia" w:ascii="Times New Roman" w:hAnsi="Times New Roman" w:eastAsia="宋体" w:cs="Times New Roman"/>
                <w:sz w:val="21"/>
                <w:szCs w:val="21"/>
                <w:highlight w:val="none"/>
                <w:lang w:val="en-US" w:eastAsia="zh-CN"/>
              </w:rPr>
              <w:t>Méthode de calcul du prix de référence d’évaluation</w:t>
            </w:r>
          </w:p>
        </w:tc>
        <w:tc>
          <w:tcPr>
            <w:tcW w:w="6238" w:type="dxa"/>
            <w:noWrap w:val="0"/>
            <w:vAlign w:val="center"/>
          </w:tcPr>
          <w:p w14:paraId="05AE081E">
            <w:pPr>
              <w:keepNext w:val="0"/>
              <w:keepLines w:val="0"/>
              <w:pageBreakBefore w:val="0"/>
              <w:kinsoku/>
              <w:wordWrap/>
              <w:overflowPunct/>
              <w:topLinePunct w:val="0"/>
              <w:autoSpaceDE/>
              <w:autoSpaceDN/>
              <w:bidi w:val="0"/>
              <w:adjustRightInd w:val="0"/>
              <w:snapToGrid w:val="0"/>
              <w:spacing w:beforeAutospacing="0" w:afterAutospacing="0" w:line="240" w:lineRule="exact"/>
              <w:textAlignment w:val="auto"/>
              <w:rPr>
                <w:rFonts w:hint="eastAsia" w:ascii="宋体" w:hAnsi="宋体" w:cs="宋体"/>
                <w:szCs w:val="21"/>
                <w:highlight w:val="none"/>
                <w:lang w:val="zh-CN"/>
              </w:rPr>
            </w:pPr>
            <w:r>
              <w:rPr>
                <w:rFonts w:hint="eastAsia" w:ascii="宋体" w:hAnsi="宋体" w:cs="宋体"/>
                <w:szCs w:val="21"/>
                <w:highlight w:val="none"/>
                <w:lang w:val="zh-CN"/>
              </w:rPr>
              <w:t>□方法一：</w:t>
            </w:r>
          </w:p>
          <w:p w14:paraId="13FEDBDB">
            <w:pPr>
              <w:keepNext w:val="0"/>
              <w:keepLines w:val="0"/>
              <w:pageBreakBefore w:val="0"/>
              <w:kinsoku/>
              <w:wordWrap/>
              <w:overflowPunct/>
              <w:topLinePunct w:val="0"/>
              <w:autoSpaceDE/>
              <w:autoSpaceDN/>
              <w:bidi w:val="0"/>
              <w:adjustRightInd w:val="0"/>
              <w:snapToGrid w:val="0"/>
              <w:spacing w:beforeAutospacing="0" w:afterAutospacing="0" w:line="240" w:lineRule="exact"/>
              <w:textAlignment w:val="auto"/>
              <w:rPr>
                <w:rFonts w:hint="eastAsia" w:ascii="宋体" w:hAnsi="宋体" w:cs="宋体"/>
                <w:szCs w:val="21"/>
                <w:highlight w:val="none"/>
                <w:lang w:val="zh-CN"/>
              </w:rPr>
            </w:pPr>
            <w:r>
              <w:rPr>
                <w:rFonts w:hint="eastAsia" w:ascii="宋体" w:hAnsi="宋体" w:cs="宋体"/>
                <w:szCs w:val="21"/>
                <w:highlight w:val="none"/>
                <w:lang w:val="zh-CN"/>
              </w:rPr>
              <w:t>以经过评审的最低报价为评审基准价。</w:t>
            </w:r>
          </w:p>
          <w:p w14:paraId="3E5100A2">
            <w:pPr>
              <w:keepNext w:val="0"/>
              <w:keepLines w:val="0"/>
              <w:pageBreakBefore w:val="0"/>
              <w:kinsoku/>
              <w:wordWrap/>
              <w:overflowPunct/>
              <w:topLinePunct w:val="0"/>
              <w:autoSpaceDE/>
              <w:autoSpaceDN/>
              <w:bidi w:val="0"/>
              <w:adjustRightInd w:val="0"/>
              <w:snapToGrid w:val="0"/>
              <w:spacing w:beforeAutospacing="0" w:afterAutospacing="0" w:line="240" w:lineRule="exact"/>
              <w:textAlignment w:val="auto"/>
              <w:rPr>
                <w:rFonts w:hint="eastAsia" w:ascii="宋体" w:hAnsi="宋体" w:cs="宋体"/>
                <w:szCs w:val="21"/>
                <w:highlight w:val="none"/>
                <w:lang w:val="zh-CN"/>
              </w:rPr>
            </w:pPr>
            <w:r>
              <w:rPr>
                <w:rFonts w:hint="eastAsia" w:ascii="宋体" w:hAnsi="宋体" w:cs="宋体"/>
                <w:szCs w:val="21"/>
                <w:highlight w:val="none"/>
                <w:lang w:val="zh-CN"/>
              </w:rPr>
              <w:t>☑方法二：</w:t>
            </w:r>
          </w:p>
          <w:p w14:paraId="5A0D872B">
            <w:pPr>
              <w:keepNext w:val="0"/>
              <w:keepLines w:val="0"/>
              <w:pageBreakBefore w:val="0"/>
              <w:kinsoku/>
              <w:wordWrap/>
              <w:overflowPunct/>
              <w:topLinePunct w:val="0"/>
              <w:autoSpaceDE/>
              <w:autoSpaceDN/>
              <w:bidi w:val="0"/>
              <w:adjustRightInd w:val="0"/>
              <w:snapToGrid w:val="0"/>
              <w:spacing w:beforeAutospacing="0" w:afterAutospacing="0" w:line="240" w:lineRule="exact"/>
              <w:textAlignment w:val="auto"/>
              <w:rPr>
                <w:rFonts w:hint="eastAsia" w:ascii="宋体" w:hAnsi="宋体" w:cs="宋体"/>
                <w:szCs w:val="21"/>
                <w:highlight w:val="none"/>
                <w:lang w:val="zh-CN"/>
              </w:rPr>
            </w:pPr>
            <w:r>
              <w:rPr>
                <w:rFonts w:hint="eastAsia" w:ascii="宋体" w:hAnsi="宋体" w:cs="宋体"/>
                <w:szCs w:val="21"/>
                <w:highlight w:val="none"/>
                <w:lang w:val="zh-CN"/>
              </w:rPr>
              <w:t>以有效</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经评审的最终报价</w:t>
            </w:r>
            <w:r>
              <w:rPr>
                <w:rFonts w:hint="eastAsia" w:ascii="宋体" w:hAnsi="宋体" w:cs="宋体"/>
                <w:szCs w:val="21"/>
                <w:highlight w:val="none"/>
                <w:lang w:val="zh-CN"/>
              </w:rPr>
              <w:t>的算术平均值下浮</w:t>
            </w:r>
            <w:r>
              <w:rPr>
                <w:rFonts w:hint="eastAsia" w:ascii="宋体" w:hAnsi="宋体" w:eastAsia="宋体" w:cs="宋体"/>
                <w:kern w:val="2"/>
                <w:sz w:val="21"/>
                <w:szCs w:val="21"/>
                <w:highlight w:val="none"/>
                <w:lang w:val="zh-CN"/>
              </w:rPr>
              <w:t>5％</w:t>
            </w:r>
            <w:r>
              <w:rPr>
                <w:rFonts w:hint="eastAsia" w:ascii="宋体" w:hAnsi="宋体" w:cs="宋体"/>
                <w:szCs w:val="21"/>
                <w:highlight w:val="none"/>
                <w:lang w:val="zh-CN"/>
              </w:rPr>
              <w:t>作为</w:t>
            </w:r>
            <w:r>
              <w:rPr>
                <w:rFonts w:hint="eastAsia" w:ascii="宋体" w:hAnsi="宋体" w:cs="宋体"/>
                <w:szCs w:val="21"/>
                <w:highlight w:val="none"/>
              </w:rPr>
              <w:t>评审</w:t>
            </w:r>
            <w:r>
              <w:rPr>
                <w:rFonts w:hint="eastAsia" w:ascii="宋体" w:hAnsi="宋体" w:cs="宋体"/>
                <w:szCs w:val="21"/>
                <w:highlight w:val="none"/>
                <w:lang w:val="zh-CN"/>
              </w:rPr>
              <w:t>基准价。</w:t>
            </w:r>
          </w:p>
          <w:p w14:paraId="1835A7E6">
            <w:pPr>
              <w:keepNext w:val="0"/>
              <w:keepLines w:val="0"/>
              <w:pageBreakBefore w:val="0"/>
              <w:kinsoku/>
              <w:wordWrap/>
              <w:overflowPunct/>
              <w:topLinePunct w:val="0"/>
              <w:autoSpaceDE/>
              <w:autoSpaceDN/>
              <w:bidi w:val="0"/>
              <w:adjustRightInd w:val="0"/>
              <w:snapToGrid w:val="0"/>
              <w:spacing w:beforeAutospacing="0" w:afterAutospacing="0" w:line="240" w:lineRule="exact"/>
              <w:textAlignment w:val="auto"/>
              <w:rPr>
                <w:rFonts w:hint="eastAsia" w:ascii="宋体" w:hAnsi="宋体" w:cs="宋体"/>
                <w:szCs w:val="21"/>
                <w:highlight w:val="none"/>
                <w:lang w:val="zh-CN"/>
              </w:rPr>
            </w:pPr>
            <w:r>
              <w:rPr>
                <w:rFonts w:hint="eastAsia" w:ascii="宋体" w:hAnsi="宋体" w:cs="宋体"/>
                <w:szCs w:val="21"/>
                <w:highlight w:val="none"/>
                <w:lang w:val="zh-CN"/>
              </w:rPr>
              <w:t>首先计算有效</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经评审的最终报价</w:t>
            </w:r>
            <w:r>
              <w:rPr>
                <w:rFonts w:hint="eastAsia" w:ascii="宋体" w:hAnsi="宋体" w:cs="宋体"/>
                <w:szCs w:val="21"/>
                <w:highlight w:val="none"/>
                <w:lang w:val="zh-CN"/>
              </w:rPr>
              <w:t>的算术平均值，将所有</w:t>
            </w:r>
            <w:r>
              <w:rPr>
                <w:rFonts w:hint="eastAsia" w:ascii="宋体" w:hAnsi="宋体" w:cs="宋体"/>
                <w:szCs w:val="21"/>
                <w:highlight w:val="none"/>
              </w:rPr>
              <w:t>有</w:t>
            </w:r>
            <w:r>
              <w:rPr>
                <w:rFonts w:hint="eastAsia" w:ascii="宋体" w:hAnsi="宋体" w:cs="宋体"/>
                <w:szCs w:val="21"/>
                <w:highlight w:val="none"/>
                <w:lang w:val="zh-CN"/>
              </w:rPr>
              <w:t>效</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经评审的最终报价</w:t>
            </w:r>
            <w:r>
              <w:rPr>
                <w:rFonts w:hint="eastAsia" w:ascii="宋体" w:hAnsi="宋体" w:cs="宋体"/>
                <w:szCs w:val="21"/>
                <w:highlight w:val="none"/>
                <w:lang w:val="zh-CN"/>
              </w:rPr>
              <w:t>与</w:t>
            </w:r>
            <w:r>
              <w:rPr>
                <w:rFonts w:hint="eastAsia" w:ascii="宋体" w:hAnsi="宋体" w:cs="宋体"/>
                <w:szCs w:val="21"/>
                <w:highlight w:val="none"/>
                <w:lang w:val="en-US" w:eastAsia="zh-CN"/>
              </w:rPr>
              <w:t>首次</w:t>
            </w:r>
            <w:r>
              <w:rPr>
                <w:rFonts w:hint="eastAsia" w:ascii="宋体" w:hAnsi="宋体" w:cs="宋体"/>
                <w:szCs w:val="21"/>
                <w:highlight w:val="none"/>
                <w:lang w:val="zh-CN"/>
              </w:rPr>
              <w:t>算术平均值比较，当某一</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最终报价</w:t>
            </w:r>
            <w:r>
              <w:rPr>
                <w:rFonts w:ascii="宋体" w:hAnsi="宋体"/>
                <w:szCs w:val="21"/>
                <w:highlight w:val="none"/>
              </w:rPr>
              <w:t>在该算术平均值的</w:t>
            </w:r>
            <w:r>
              <w:rPr>
                <w:rFonts w:ascii="宋体" w:hAnsi="宋体"/>
                <w:color w:val="FF0000"/>
                <w:szCs w:val="21"/>
                <w:highlight w:val="none"/>
              </w:rPr>
              <w:t>75%（含75%）-110%</w:t>
            </w:r>
            <w:r>
              <w:rPr>
                <w:rFonts w:ascii="宋体" w:hAnsi="宋体"/>
                <w:szCs w:val="21"/>
                <w:highlight w:val="none"/>
              </w:rPr>
              <w:t>（含110%）区间以外时，</w:t>
            </w:r>
            <w:r>
              <w:rPr>
                <w:rFonts w:hint="eastAsia" w:ascii="宋体" w:hAnsi="宋体" w:cs="宋体"/>
                <w:szCs w:val="21"/>
                <w:highlight w:val="none"/>
                <w:lang w:val="zh-CN"/>
              </w:rPr>
              <w:t>该</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经评审的最终报价</w:t>
            </w:r>
            <w:r>
              <w:rPr>
                <w:rFonts w:hint="eastAsia" w:ascii="宋体" w:hAnsi="宋体" w:cs="宋体"/>
                <w:szCs w:val="21"/>
                <w:highlight w:val="none"/>
                <w:lang w:val="zh-CN"/>
              </w:rPr>
              <w:t>不参加</w:t>
            </w:r>
            <w:r>
              <w:rPr>
                <w:rFonts w:hint="eastAsia" w:ascii="宋体" w:hAnsi="宋体" w:cs="宋体"/>
                <w:szCs w:val="21"/>
                <w:highlight w:val="none"/>
              </w:rPr>
              <w:t>评审</w:t>
            </w:r>
            <w:r>
              <w:rPr>
                <w:rFonts w:hint="eastAsia" w:ascii="宋体" w:hAnsi="宋体" w:cs="宋体"/>
                <w:szCs w:val="21"/>
                <w:highlight w:val="none"/>
                <w:lang w:val="zh-CN"/>
              </w:rPr>
              <w:t>基准价的计算；当进入详评的</w:t>
            </w:r>
            <w:r>
              <w:rPr>
                <w:rFonts w:hint="eastAsia" w:ascii="宋体" w:hAnsi="宋体" w:cs="宋体"/>
                <w:szCs w:val="21"/>
                <w:highlight w:val="none"/>
              </w:rPr>
              <w:t>应答</w:t>
            </w:r>
            <w:r>
              <w:rPr>
                <w:rFonts w:hint="eastAsia" w:ascii="宋体" w:hAnsi="宋体" w:cs="宋体"/>
                <w:szCs w:val="21"/>
                <w:highlight w:val="none"/>
                <w:lang w:val="zh-CN"/>
              </w:rPr>
              <w:t>人多于3 家时，按上述规定，一次性剔除不参加</w:t>
            </w:r>
            <w:r>
              <w:rPr>
                <w:rFonts w:hint="eastAsia" w:ascii="宋体" w:hAnsi="宋体" w:cs="宋体"/>
                <w:szCs w:val="21"/>
                <w:highlight w:val="none"/>
              </w:rPr>
              <w:t>评审</w:t>
            </w:r>
            <w:r>
              <w:rPr>
                <w:rFonts w:hint="eastAsia" w:ascii="宋体" w:hAnsi="宋体" w:cs="宋体"/>
                <w:szCs w:val="21"/>
                <w:highlight w:val="none"/>
                <w:lang w:val="zh-CN"/>
              </w:rPr>
              <w:t>基准价计算的</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经评审的最终报价</w:t>
            </w:r>
            <w:r>
              <w:rPr>
                <w:rFonts w:hint="eastAsia" w:ascii="宋体" w:hAnsi="宋体" w:cs="宋体"/>
                <w:szCs w:val="21"/>
                <w:highlight w:val="none"/>
                <w:lang w:val="zh-CN"/>
              </w:rPr>
              <w:t>后，重新计算剩余</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经评审的最终报价</w:t>
            </w:r>
            <w:r>
              <w:rPr>
                <w:rFonts w:hint="eastAsia" w:ascii="宋体" w:hAnsi="宋体" w:cs="宋体"/>
                <w:szCs w:val="21"/>
                <w:highlight w:val="none"/>
                <w:lang w:val="zh-CN"/>
              </w:rPr>
              <w:t>的算术平均值作为</w:t>
            </w:r>
            <w:r>
              <w:rPr>
                <w:rFonts w:hint="eastAsia" w:ascii="宋体" w:hAnsi="宋体" w:cs="宋体"/>
                <w:szCs w:val="21"/>
                <w:highlight w:val="none"/>
              </w:rPr>
              <w:t>评审</w:t>
            </w:r>
            <w:r>
              <w:rPr>
                <w:rFonts w:hint="eastAsia" w:ascii="宋体" w:hAnsi="宋体" w:cs="宋体"/>
                <w:szCs w:val="21"/>
                <w:highlight w:val="none"/>
                <w:lang w:val="zh-CN"/>
              </w:rPr>
              <w:t>基准价的基础。参加评</w:t>
            </w:r>
            <w:r>
              <w:rPr>
                <w:rFonts w:hint="eastAsia" w:ascii="宋体" w:hAnsi="宋体" w:cs="宋体"/>
                <w:szCs w:val="21"/>
                <w:highlight w:val="none"/>
              </w:rPr>
              <w:t>审</w:t>
            </w:r>
            <w:r>
              <w:rPr>
                <w:rFonts w:hint="eastAsia" w:ascii="宋体" w:hAnsi="宋体" w:cs="宋体"/>
                <w:szCs w:val="21"/>
                <w:highlight w:val="none"/>
                <w:lang w:val="zh-CN"/>
              </w:rPr>
              <w:t>基准价计算</w:t>
            </w:r>
            <w:r>
              <w:rPr>
                <w:rFonts w:hint="eastAsia" w:ascii="宋体" w:hAnsi="宋体" w:cs="宋体"/>
                <w:szCs w:val="21"/>
                <w:highlight w:val="none"/>
              </w:rPr>
              <w:t>应答</w:t>
            </w:r>
            <w:r>
              <w:rPr>
                <w:rFonts w:hint="eastAsia" w:ascii="宋体" w:hAnsi="宋体" w:cs="宋体"/>
                <w:szCs w:val="21"/>
                <w:highlight w:val="none"/>
                <w:lang w:val="zh-CN"/>
              </w:rPr>
              <w:t>人一般不应少于三家，当出现少于三家情况时，逐一剔除偏离所有有效</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经评审的最终报价的</w:t>
            </w:r>
            <w:r>
              <w:rPr>
                <w:rFonts w:hint="eastAsia" w:ascii="宋体" w:hAnsi="宋体" w:cs="宋体"/>
                <w:szCs w:val="21"/>
                <w:highlight w:val="none"/>
                <w:lang w:val="zh-CN"/>
              </w:rPr>
              <w:t>首次算术平均值最多的一个</w:t>
            </w:r>
            <w:r>
              <w:rPr>
                <w:rFonts w:hint="eastAsia" w:ascii="宋体" w:hAnsi="宋体" w:cs="宋体"/>
                <w:szCs w:val="21"/>
                <w:highlight w:val="none"/>
              </w:rPr>
              <w:t>应答</w:t>
            </w:r>
            <w:r>
              <w:rPr>
                <w:rFonts w:hint="eastAsia" w:ascii="宋体" w:hAnsi="宋体" w:cs="宋体"/>
                <w:szCs w:val="21"/>
                <w:highlight w:val="none"/>
                <w:lang w:val="zh-CN"/>
              </w:rPr>
              <w:t>人的</w:t>
            </w:r>
            <w:r>
              <w:rPr>
                <w:rFonts w:hint="eastAsia" w:ascii="宋体" w:hAnsi="宋体" w:cs="宋体"/>
                <w:szCs w:val="21"/>
                <w:highlight w:val="none"/>
              </w:rPr>
              <w:t>评审</w:t>
            </w:r>
            <w:r>
              <w:rPr>
                <w:rFonts w:hint="eastAsia" w:ascii="宋体" w:hAnsi="宋体" w:cs="宋体"/>
                <w:szCs w:val="21"/>
                <w:highlight w:val="none"/>
                <w:lang w:val="zh-CN"/>
              </w:rPr>
              <w:t>价格，重新计算剩余</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经评审的最终报价的</w:t>
            </w:r>
            <w:r>
              <w:rPr>
                <w:rFonts w:hint="eastAsia" w:ascii="宋体" w:hAnsi="宋体" w:cs="宋体"/>
                <w:szCs w:val="21"/>
                <w:highlight w:val="none"/>
                <w:lang w:val="zh-CN"/>
              </w:rPr>
              <w:t>算数平均值，直至剩余</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经评审的最终报价</w:t>
            </w:r>
            <w:r>
              <w:rPr>
                <w:rFonts w:hint="eastAsia" w:ascii="宋体" w:hAnsi="宋体" w:cs="宋体"/>
                <w:szCs w:val="21"/>
                <w:highlight w:val="none"/>
                <w:lang w:val="zh-CN"/>
              </w:rPr>
              <w:t>均在上述范围内或剩余不少于三家为止；当进入详评的</w:t>
            </w:r>
            <w:r>
              <w:rPr>
                <w:rFonts w:hint="eastAsia" w:ascii="宋体" w:hAnsi="宋体" w:cs="宋体"/>
                <w:szCs w:val="21"/>
                <w:highlight w:val="none"/>
              </w:rPr>
              <w:t>应答</w:t>
            </w:r>
            <w:r>
              <w:rPr>
                <w:rFonts w:hint="eastAsia" w:ascii="宋体" w:hAnsi="宋体" w:cs="宋体"/>
                <w:szCs w:val="21"/>
                <w:highlight w:val="none"/>
                <w:lang w:val="zh-CN"/>
              </w:rPr>
              <w:t>人为两家或三家时，以进入详评的所有</w:t>
            </w:r>
            <w:r>
              <w:rPr>
                <w:rFonts w:hint="eastAsia" w:ascii="宋体" w:hAnsi="宋体" w:cs="宋体"/>
                <w:szCs w:val="21"/>
                <w:highlight w:val="none"/>
              </w:rPr>
              <w:t>应答</w:t>
            </w:r>
            <w:r>
              <w:rPr>
                <w:rFonts w:hint="eastAsia" w:ascii="宋体" w:hAnsi="宋体" w:cs="宋体"/>
                <w:szCs w:val="21"/>
                <w:highlight w:val="none"/>
                <w:lang w:val="zh-CN"/>
              </w:rPr>
              <w:t>人</w:t>
            </w:r>
            <w:r>
              <w:rPr>
                <w:rFonts w:hint="eastAsia" w:ascii="宋体" w:hAnsi="宋体" w:cs="Microsoft JhengHei"/>
                <w:szCs w:val="21"/>
                <w:highlight w:val="none"/>
              </w:rPr>
              <w:t>经评审的最终报价</w:t>
            </w:r>
            <w:r>
              <w:rPr>
                <w:rFonts w:hint="eastAsia" w:ascii="宋体" w:hAnsi="宋体" w:cs="宋体"/>
                <w:szCs w:val="21"/>
                <w:highlight w:val="none"/>
                <w:lang w:val="zh-CN"/>
              </w:rPr>
              <w:t>计算</w:t>
            </w:r>
            <w:r>
              <w:rPr>
                <w:rFonts w:hint="eastAsia" w:ascii="宋体" w:hAnsi="宋体" w:cs="宋体"/>
                <w:szCs w:val="21"/>
                <w:highlight w:val="none"/>
              </w:rPr>
              <w:t>评审</w:t>
            </w:r>
            <w:r>
              <w:rPr>
                <w:rFonts w:hint="eastAsia" w:ascii="宋体" w:hAnsi="宋体" w:cs="宋体"/>
                <w:szCs w:val="21"/>
                <w:highlight w:val="none"/>
                <w:lang w:val="zh-CN"/>
              </w:rPr>
              <w:t>基准价。</w:t>
            </w:r>
          </w:p>
          <w:p w14:paraId="0FAAE05D">
            <w:pPr>
              <w:keepNext w:val="0"/>
              <w:keepLines w:val="0"/>
              <w:pageBreakBefore w:val="0"/>
              <w:kinsoku/>
              <w:wordWrap/>
              <w:overflowPunct/>
              <w:topLinePunct w:val="0"/>
              <w:autoSpaceDE/>
              <w:autoSpaceDN/>
              <w:bidi w:val="0"/>
              <w:adjustRightInd w:val="0"/>
              <w:snapToGrid w:val="0"/>
              <w:spacing w:beforeAutospacing="0" w:afterAutospacing="0" w:line="240" w:lineRule="exact"/>
              <w:textAlignment w:val="auto"/>
              <w:rPr>
                <w:rFonts w:hint="eastAsia" w:ascii="宋体" w:hAnsi="宋体"/>
                <w:color w:val="auto"/>
                <w:szCs w:val="21"/>
                <w:highlight w:val="none"/>
                <w:lang w:val="zh-CN"/>
              </w:rPr>
            </w:pPr>
            <w:r>
              <w:rPr>
                <w:rFonts w:hint="eastAsia" w:ascii="宋体" w:hAnsi="宋体" w:cs="宋体"/>
                <w:szCs w:val="21"/>
                <w:highlight w:val="none"/>
                <w:lang w:val="zh-CN"/>
              </w:rPr>
              <w:t>评审组认定</w:t>
            </w:r>
            <w:r>
              <w:rPr>
                <w:rFonts w:hint="eastAsia" w:ascii="宋体" w:hAnsi="宋体" w:cs="宋体"/>
                <w:szCs w:val="21"/>
                <w:highlight w:val="none"/>
              </w:rPr>
              <w:t>应答</w:t>
            </w:r>
            <w:r>
              <w:rPr>
                <w:rFonts w:hint="eastAsia" w:ascii="宋体" w:hAnsi="宋体" w:cs="宋体"/>
                <w:szCs w:val="21"/>
                <w:highlight w:val="none"/>
                <w:lang w:val="zh-CN"/>
              </w:rPr>
              <w:t>人的报价严重低于或高于市场价，该</w:t>
            </w:r>
            <w:r>
              <w:rPr>
                <w:rFonts w:hint="eastAsia" w:ascii="宋体" w:hAnsi="宋体" w:cs="宋体"/>
                <w:szCs w:val="21"/>
                <w:highlight w:val="none"/>
              </w:rPr>
              <w:t>应答</w:t>
            </w:r>
            <w:r>
              <w:rPr>
                <w:rFonts w:hint="eastAsia" w:ascii="宋体" w:hAnsi="宋体" w:cs="宋体"/>
                <w:szCs w:val="21"/>
                <w:highlight w:val="none"/>
                <w:lang w:val="zh-CN"/>
              </w:rPr>
              <w:t>人的报价不参与评审基准价的计算</w:t>
            </w:r>
            <w:r>
              <w:rPr>
                <w:rFonts w:hint="eastAsia" w:ascii="宋体" w:hAnsi="宋体"/>
                <w:color w:val="auto"/>
                <w:szCs w:val="21"/>
                <w:highlight w:val="none"/>
                <w:lang w:val="zh-CN"/>
              </w:rPr>
              <w:t>。</w:t>
            </w:r>
          </w:p>
          <w:p w14:paraId="4BFE1765">
            <w:pPr>
              <w:pStyle w:val="30"/>
              <w:keepNext w:val="0"/>
              <w:keepLines w:val="0"/>
              <w:pageBreakBefore w:val="0"/>
              <w:widowControl/>
              <w:suppressLineNumbers w:val="0"/>
              <w:kinsoku/>
              <w:wordWrap/>
              <w:overflowPunct/>
              <w:topLinePunct w:val="0"/>
              <w:autoSpaceDE/>
              <w:autoSpaceDN/>
              <w:bidi w:val="0"/>
              <w:spacing w:before="0" w:beforeLines="0" w:beforeAutospacing="0" w:after="0" w:afterLines="0" w:afterAutospacing="0" w:line="240" w:lineRule="exact"/>
              <w:textAlignment w:val="auto"/>
            </w:pPr>
            <w:r>
              <w:t>□ Méthode 1 : Le prix de référence d’évaluation est le prix le plus bas après évaluation.【Applicable aux marchés pour lesquels les soumissionnaires présentent des capacités globales et des niveaux techniques comparables】</w:t>
            </w:r>
          </w:p>
          <w:p w14:paraId="31C9B550">
            <w:pPr>
              <w:pStyle w:val="30"/>
              <w:keepNext w:val="0"/>
              <w:keepLines w:val="0"/>
              <w:pageBreakBefore w:val="0"/>
              <w:widowControl/>
              <w:suppressLineNumbers w:val="0"/>
              <w:kinsoku/>
              <w:wordWrap/>
              <w:overflowPunct/>
              <w:topLinePunct w:val="0"/>
              <w:autoSpaceDE/>
              <w:autoSpaceDN/>
              <w:bidi w:val="0"/>
              <w:spacing w:before="0" w:beforeLines="0" w:beforeAutospacing="0" w:after="0" w:afterLines="0" w:afterAutospacing="0" w:line="240" w:lineRule="exact"/>
              <w:textAlignment w:val="auto"/>
            </w:pPr>
            <w:r>
              <w:t>☑ Méthode 2 : Le prix de référence d’évaluation correspond à la moyenne arithmétique des prix définitifs évalués des soumissionnaires valides, diminuée de 5 %.</w:t>
            </w:r>
          </w:p>
          <w:p w14:paraId="261FBE2E">
            <w:pPr>
              <w:pStyle w:val="30"/>
              <w:keepNext w:val="0"/>
              <w:keepLines w:val="0"/>
              <w:pageBreakBefore w:val="0"/>
              <w:widowControl/>
              <w:suppressLineNumbers w:val="0"/>
              <w:kinsoku/>
              <w:wordWrap/>
              <w:overflowPunct/>
              <w:topLinePunct w:val="0"/>
              <w:autoSpaceDE/>
              <w:autoSpaceDN/>
              <w:bidi w:val="0"/>
              <w:spacing w:before="0" w:beforeLines="0" w:beforeAutospacing="0" w:after="0" w:afterLines="0" w:afterAutospacing="0" w:line="240" w:lineRule="exact"/>
              <w:textAlignment w:val="auto"/>
            </w:pPr>
            <w:r>
              <w:t>On calcule d’abord la moyenne arithmétique des prix définitifs évalués de l’ensemble des soumissionnaires valides. On compare ensuite chaque prix définitif évalué à cette première moyenne arithmétique. Si le prix définitif d’un soumissionnaire se situe hors de la fourchette [75 % inclus, 110 % inclus] de cette moyenne arithmétique, ce prix définitif évalué n’est pas pris en compte pour le calcul du prix de référence d’évaluation. Lorsque plus de trois soumissionnaires sont admis à l’évaluation détaillée, on élimine en une seule fois les prix évalués exclus selon la règle ci-dessus, puis on recalcule la moyenne arithmétique des prix évalués des soumissionnaires restants, qui servira de base au prix de référence d’évaluation. Le nombre de soumissionnaires pris en compte pour le calcul du prix de référence d’évaluation ne doit pas être inférieur à trois en règle générale. Si le nombre devient inférieur à trois, on élimine successivement le prix évalué du soumissionnaire dont l’écart par rapport à la première moyenne arithmétique des prix définitifs évalués de l’ensemble des soumissionnaires valides est le plus important, puis on recalcule la moyenne arithmétique des prix évalués des soumissionnaires restants, jusqu’à ce que tous les prix évalués restants se situent dans la fourchette susmentionnée ou que le nombre de soumissionnaires restants soit au moins égal à trois. Lorsque deux ou trois soumissionnaires sont admis à l’évaluation détaillée, le prix de référence d’évaluation est calculé sur la base des prix définitifs évalués de tous ces soumissionnaires admis à l’évaluation détaillée.</w:t>
            </w:r>
          </w:p>
          <w:p w14:paraId="5A9F13CF">
            <w:pPr>
              <w:pStyle w:val="30"/>
              <w:keepNext w:val="0"/>
              <w:keepLines w:val="0"/>
              <w:pageBreakBefore w:val="0"/>
              <w:widowControl/>
              <w:suppressLineNumbers w:val="0"/>
              <w:kinsoku/>
              <w:wordWrap/>
              <w:overflowPunct/>
              <w:topLinePunct w:val="0"/>
              <w:autoSpaceDE/>
              <w:autoSpaceDN/>
              <w:bidi w:val="0"/>
              <w:spacing w:before="0" w:beforeLines="0" w:beforeAutospacing="0" w:after="0" w:afterLines="0" w:afterAutospacing="0" w:line="240" w:lineRule="exact"/>
              <w:textAlignment w:val="auto"/>
            </w:pPr>
            <w:r>
              <w:t>Si le comité d’évaluation estime que le prix d’un soumissionnaire est nettement inférieur ou supérieur au prix du marché, ce prix n’est pas pris en compte pour le calcul du prix de référence d’évaluation.</w:t>
            </w:r>
          </w:p>
          <w:p w14:paraId="7344FC56">
            <w:pPr>
              <w:keepNext w:val="0"/>
              <w:keepLines w:val="0"/>
              <w:pageBreakBefore w:val="0"/>
              <w:kinsoku/>
              <w:wordWrap/>
              <w:overflowPunct/>
              <w:topLinePunct w:val="0"/>
              <w:autoSpaceDE/>
              <w:autoSpaceDN/>
              <w:bidi w:val="0"/>
              <w:adjustRightInd w:val="0"/>
              <w:snapToGrid w:val="0"/>
              <w:spacing w:beforeAutospacing="0" w:afterAutospacing="0" w:line="240" w:lineRule="exact"/>
              <w:textAlignment w:val="auto"/>
              <w:rPr>
                <w:rFonts w:hint="eastAsia" w:ascii="宋体" w:hAnsi="宋体"/>
                <w:color w:val="auto"/>
                <w:szCs w:val="21"/>
                <w:highlight w:val="none"/>
                <w:lang w:val="zh-CN"/>
              </w:rPr>
            </w:pPr>
          </w:p>
        </w:tc>
      </w:tr>
      <w:tr w14:paraId="13044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continue"/>
            <w:noWrap w:val="0"/>
            <w:vAlign w:val="center"/>
          </w:tcPr>
          <w:p w14:paraId="639315B3">
            <w:pPr>
              <w:jc w:val="center"/>
              <w:rPr>
                <w:rFonts w:hint="eastAsia"/>
                <w:sz w:val="21"/>
                <w:szCs w:val="21"/>
                <w:lang w:val="en-US" w:eastAsia="zh-CN"/>
              </w:rPr>
            </w:pPr>
          </w:p>
        </w:tc>
        <w:tc>
          <w:tcPr>
            <w:tcW w:w="1356" w:type="dxa"/>
            <w:gridSpan w:val="2"/>
            <w:vMerge w:val="continue"/>
            <w:noWrap w:val="0"/>
            <w:vAlign w:val="center"/>
          </w:tcPr>
          <w:p w14:paraId="70CBE2DA">
            <w:pPr>
              <w:snapToGrid w:val="0"/>
              <w:jc w:val="center"/>
              <w:rPr>
                <w:rFonts w:ascii="宋体" w:hAnsi="宋体" w:eastAsia="宋体"/>
                <w:sz w:val="21"/>
                <w:szCs w:val="21"/>
                <w:highlight w:val="none"/>
                <w:lang w:bidi="en-US"/>
              </w:rPr>
            </w:pPr>
          </w:p>
        </w:tc>
        <w:tc>
          <w:tcPr>
            <w:tcW w:w="1555" w:type="dxa"/>
            <w:noWrap w:val="0"/>
            <w:vAlign w:val="center"/>
          </w:tcPr>
          <w:p w14:paraId="5FCF759E">
            <w:pPr>
              <w:jc w:val="center"/>
              <w:rPr>
                <w:rFonts w:ascii="宋体" w:hAnsi="宋体" w:eastAsia="宋体"/>
                <w:sz w:val="21"/>
                <w:szCs w:val="21"/>
                <w:highlight w:val="none"/>
              </w:rPr>
            </w:pPr>
            <w:r>
              <w:rPr>
                <w:rFonts w:hint="eastAsia" w:ascii="宋体" w:hAnsi="宋体"/>
                <w:szCs w:val="21"/>
                <w:highlight w:val="none"/>
              </w:rPr>
              <w:t>评审价格</w:t>
            </w:r>
            <w:r>
              <w:rPr>
                <w:rFonts w:ascii="宋体" w:hAnsi="宋体"/>
                <w:spacing w:val="-3"/>
                <w:szCs w:val="21"/>
                <w:highlight w:val="none"/>
              </w:rPr>
              <w:t>的</w:t>
            </w:r>
            <w:r>
              <w:rPr>
                <w:rFonts w:ascii="宋体" w:hAnsi="宋体"/>
                <w:szCs w:val="21"/>
                <w:highlight w:val="none"/>
              </w:rPr>
              <w:t>偏</w:t>
            </w:r>
            <w:r>
              <w:rPr>
                <w:rFonts w:ascii="宋体" w:hAnsi="宋体"/>
                <w:spacing w:val="-3"/>
                <w:szCs w:val="21"/>
                <w:highlight w:val="none"/>
              </w:rPr>
              <w:t>差</w:t>
            </w:r>
            <w:r>
              <w:rPr>
                <w:rFonts w:ascii="宋体" w:hAnsi="宋体"/>
                <w:szCs w:val="21"/>
                <w:highlight w:val="none"/>
              </w:rPr>
              <w:t>率 计算</w:t>
            </w:r>
            <w:r>
              <w:rPr>
                <w:rFonts w:ascii="宋体" w:hAnsi="宋体"/>
                <w:spacing w:val="-3"/>
                <w:szCs w:val="21"/>
                <w:highlight w:val="none"/>
              </w:rPr>
              <w:t>公</w:t>
            </w:r>
            <w:r>
              <w:rPr>
                <w:rFonts w:ascii="宋体" w:hAnsi="宋体"/>
                <w:szCs w:val="21"/>
                <w:highlight w:val="none"/>
              </w:rPr>
              <w:t>式</w:t>
            </w:r>
            <w:r>
              <w:rPr>
                <w:rFonts w:hint="eastAsia" w:ascii="Times New Roman" w:hAnsi="Times New Roman" w:eastAsia="宋体" w:cs="Times New Roman"/>
                <w:sz w:val="21"/>
                <w:szCs w:val="21"/>
                <w:highlight w:val="none"/>
                <w:lang w:val="en-US" w:eastAsia="zh-CN"/>
              </w:rPr>
              <w:t>Formule de calcul du taux d’écart du prix évalué</w:t>
            </w:r>
          </w:p>
        </w:tc>
        <w:tc>
          <w:tcPr>
            <w:tcW w:w="6238" w:type="dxa"/>
            <w:noWrap w:val="0"/>
            <w:vAlign w:val="center"/>
          </w:tcPr>
          <w:p w14:paraId="5D9C2C98">
            <w:pPr>
              <w:adjustRightInd w:val="0"/>
              <w:snapToGrid w:val="0"/>
              <w:rPr>
                <w:rFonts w:ascii="宋体" w:hAnsi="宋体" w:cs="Microsoft JhengHei"/>
                <w:szCs w:val="21"/>
                <w:highlight w:val="none"/>
              </w:rPr>
            </w:pPr>
            <w:r>
              <w:rPr>
                <w:rFonts w:hint="eastAsia" w:ascii="宋体" w:hAnsi="宋体" w:cs="Microsoft JhengHei"/>
                <w:szCs w:val="21"/>
                <w:highlight w:val="none"/>
              </w:rPr>
              <w:t>偏差率</w:t>
            </w:r>
            <w:r>
              <w:rPr>
                <w:rFonts w:ascii="宋体" w:hAnsi="宋体" w:cs="Microsoft JhengHei"/>
                <w:szCs w:val="21"/>
                <w:highlight w:val="none"/>
              </w:rPr>
              <w:t>=（有效</w:t>
            </w:r>
            <w:r>
              <w:rPr>
                <w:rFonts w:hint="eastAsia" w:ascii="宋体" w:hAnsi="宋体" w:cs="Microsoft JhengHei"/>
                <w:szCs w:val="21"/>
                <w:highlight w:val="none"/>
              </w:rPr>
              <w:t>应答</w:t>
            </w:r>
            <w:r>
              <w:rPr>
                <w:rFonts w:ascii="宋体" w:hAnsi="宋体" w:cs="Microsoft JhengHei"/>
                <w:szCs w:val="21"/>
                <w:highlight w:val="none"/>
              </w:rPr>
              <w:t>人</w:t>
            </w:r>
            <w:r>
              <w:rPr>
                <w:rFonts w:hint="eastAsia" w:ascii="宋体" w:hAnsi="宋体" w:cs="Microsoft JhengHei"/>
                <w:szCs w:val="21"/>
                <w:highlight w:val="none"/>
              </w:rPr>
              <w:t>经评审的最终报价</w:t>
            </w:r>
            <w:r>
              <w:rPr>
                <w:rFonts w:ascii="宋体" w:hAnsi="宋体" w:cs="Microsoft JhengHei"/>
                <w:szCs w:val="21"/>
                <w:highlight w:val="none"/>
              </w:rPr>
              <w:t>-</w:t>
            </w:r>
            <w:r>
              <w:rPr>
                <w:rFonts w:hint="eastAsia" w:ascii="宋体" w:hAnsi="宋体" w:cs="Microsoft JhengHei"/>
                <w:szCs w:val="21"/>
                <w:highlight w:val="none"/>
              </w:rPr>
              <w:t>评审</w:t>
            </w:r>
            <w:r>
              <w:rPr>
                <w:rFonts w:ascii="宋体" w:hAnsi="宋体" w:cs="Microsoft JhengHei"/>
                <w:szCs w:val="21"/>
                <w:highlight w:val="none"/>
              </w:rPr>
              <w:t>基准价）/</w:t>
            </w:r>
            <w:r>
              <w:rPr>
                <w:rFonts w:hint="eastAsia" w:ascii="宋体" w:hAnsi="宋体"/>
                <w:szCs w:val="21"/>
                <w:highlight w:val="none"/>
              </w:rPr>
              <w:t>评审</w:t>
            </w:r>
            <w:r>
              <w:rPr>
                <w:rFonts w:ascii="宋体" w:hAnsi="宋体" w:cs="Microsoft JhengHei"/>
                <w:szCs w:val="21"/>
                <w:highlight w:val="none"/>
              </w:rPr>
              <w:t>基准价×100</w:t>
            </w:r>
          </w:p>
          <w:p w14:paraId="1A49FE8E">
            <w:pPr>
              <w:adjustRightInd w:val="0"/>
              <w:snapToGrid w:val="0"/>
              <w:rPr>
                <w:rFonts w:ascii="宋体" w:hAnsi="宋体" w:cs="Microsoft JhengHei"/>
                <w:szCs w:val="21"/>
                <w:highlight w:val="none"/>
              </w:rPr>
            </w:pPr>
            <w:r>
              <w:rPr>
                <w:rFonts w:ascii="宋体" w:hAnsi="宋体" w:eastAsia="宋体" w:cs="宋体"/>
                <w:sz w:val="24"/>
                <w:szCs w:val="24"/>
              </w:rPr>
              <w:t>T</w:t>
            </w:r>
            <w:r>
              <w:rPr>
                <w:rFonts w:hint="eastAsia" w:ascii="Times New Roman" w:hAnsi="Times New Roman" w:eastAsia="宋体" w:cs="Times New Roman"/>
                <w:sz w:val="21"/>
                <w:szCs w:val="21"/>
                <w:highlight w:val="none"/>
                <w:lang w:val="en-US" w:eastAsia="zh-CN"/>
              </w:rPr>
              <w:t>aux d’écart = (Prix définitif évalué du soumissionnaire valide − Prix de référence d’évaluation) / Prix de référence d’évaluation × 100</w:t>
            </w:r>
          </w:p>
        </w:tc>
      </w:tr>
      <w:tr w14:paraId="0D04E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continue"/>
            <w:noWrap w:val="0"/>
            <w:vAlign w:val="center"/>
          </w:tcPr>
          <w:p w14:paraId="37F487FF">
            <w:pPr>
              <w:jc w:val="center"/>
              <w:rPr>
                <w:rFonts w:hint="eastAsia"/>
                <w:sz w:val="21"/>
                <w:szCs w:val="21"/>
                <w:lang w:val="en-US" w:eastAsia="zh-CN"/>
              </w:rPr>
            </w:pPr>
          </w:p>
        </w:tc>
        <w:tc>
          <w:tcPr>
            <w:tcW w:w="1356" w:type="dxa"/>
            <w:gridSpan w:val="2"/>
            <w:vMerge w:val="continue"/>
            <w:noWrap w:val="0"/>
            <w:vAlign w:val="center"/>
          </w:tcPr>
          <w:p w14:paraId="3E2A7585">
            <w:pPr>
              <w:snapToGrid w:val="0"/>
              <w:jc w:val="center"/>
              <w:rPr>
                <w:rFonts w:ascii="宋体" w:hAnsi="宋体" w:eastAsia="宋体"/>
                <w:sz w:val="21"/>
                <w:szCs w:val="21"/>
                <w:highlight w:val="none"/>
                <w:lang w:bidi="en-US"/>
              </w:rPr>
            </w:pPr>
          </w:p>
        </w:tc>
        <w:tc>
          <w:tcPr>
            <w:tcW w:w="1555" w:type="dxa"/>
            <w:vMerge w:val="restart"/>
            <w:noWrap w:val="0"/>
            <w:vAlign w:val="center"/>
          </w:tcPr>
          <w:p w14:paraId="1CC725F4">
            <w:pPr>
              <w:jc w:val="center"/>
              <w:rPr>
                <w:rFonts w:ascii="宋体" w:hAnsi="宋体" w:eastAsia="宋体"/>
                <w:sz w:val="21"/>
                <w:szCs w:val="21"/>
                <w:highlight w:val="none"/>
              </w:rPr>
            </w:pPr>
            <w:r>
              <w:rPr>
                <w:rFonts w:hint="eastAsia" w:ascii="宋体" w:hAnsi="宋体"/>
                <w:szCs w:val="21"/>
                <w:highlight w:val="none"/>
              </w:rPr>
              <w:t>评审价格评分（满分</w:t>
            </w:r>
            <w:r>
              <w:rPr>
                <w:rFonts w:ascii="宋体" w:hAnsi="宋体"/>
                <w:szCs w:val="21"/>
                <w:highlight w:val="none"/>
              </w:rPr>
              <w:t>100分）</w:t>
            </w:r>
            <w:r>
              <w:rPr>
                <w:rFonts w:hint="eastAsia" w:ascii="Times New Roman" w:hAnsi="Times New Roman" w:eastAsia="宋体" w:cs="Times New Roman"/>
                <w:sz w:val="21"/>
                <w:szCs w:val="21"/>
                <w:highlight w:val="none"/>
                <w:lang w:val="en-US" w:eastAsia="zh-CN"/>
              </w:rPr>
              <w:t>Note du prix évalué (note maximale : 100 points)</w:t>
            </w:r>
          </w:p>
        </w:tc>
        <w:tc>
          <w:tcPr>
            <w:tcW w:w="6238" w:type="dxa"/>
            <w:noWrap w:val="0"/>
            <w:vAlign w:val="center"/>
          </w:tcPr>
          <w:p w14:paraId="22F921A7">
            <w:pPr>
              <w:adjustRightInd w:val="0"/>
              <w:snapToGrid w:val="0"/>
              <w:rPr>
                <w:rFonts w:ascii="宋体" w:hAnsi="宋体"/>
                <w:szCs w:val="21"/>
                <w:highlight w:val="none"/>
              </w:rPr>
            </w:pPr>
            <w:r>
              <w:rPr>
                <w:rFonts w:hint="eastAsia" w:ascii="宋体" w:hAnsi="宋体"/>
                <w:szCs w:val="21"/>
                <w:highlight w:val="none"/>
              </w:rPr>
              <w:t>有效应答人</w:t>
            </w:r>
            <w:r>
              <w:rPr>
                <w:rFonts w:hint="eastAsia" w:ascii="宋体" w:hAnsi="宋体" w:cs="Microsoft JhengHei"/>
                <w:szCs w:val="21"/>
                <w:highlight w:val="none"/>
              </w:rPr>
              <w:t>经评审的最终报价</w:t>
            </w:r>
            <w:r>
              <w:rPr>
                <w:rFonts w:hint="eastAsia" w:ascii="宋体" w:hAnsi="宋体"/>
                <w:szCs w:val="21"/>
                <w:highlight w:val="none"/>
              </w:rPr>
              <w:t>等于评审基准价时，偏差率</w:t>
            </w:r>
            <w:r>
              <w:rPr>
                <w:rFonts w:ascii="宋体" w:hAnsi="宋体"/>
                <w:szCs w:val="21"/>
                <w:highlight w:val="none"/>
              </w:rPr>
              <w:t>=0，</w:t>
            </w:r>
            <w:r>
              <w:rPr>
                <w:rFonts w:hint="eastAsia" w:ascii="宋体" w:hAnsi="宋体" w:cs="Microsoft JhengHei"/>
                <w:szCs w:val="21"/>
                <w:highlight w:val="none"/>
              </w:rPr>
              <w:t>评审</w:t>
            </w:r>
            <w:r>
              <w:rPr>
                <w:rFonts w:ascii="宋体" w:hAnsi="宋体"/>
                <w:szCs w:val="21"/>
                <w:highlight w:val="none"/>
              </w:rPr>
              <w:t>价格评分=100。</w:t>
            </w:r>
          </w:p>
          <w:p w14:paraId="626D3FF2">
            <w:pPr>
              <w:adjustRightInd w:val="0"/>
              <w:snapToGrid w:val="0"/>
              <w:rPr>
                <w:rFonts w:ascii="宋体" w:hAnsi="宋体"/>
                <w:szCs w:val="21"/>
                <w:highlight w:val="none"/>
              </w:rPr>
            </w:pPr>
            <w:r>
              <w:rPr>
                <w:rFonts w:hint="eastAsia" w:ascii="Times New Roman" w:hAnsi="Times New Roman" w:eastAsia="宋体" w:cs="Times New Roman"/>
                <w:sz w:val="21"/>
                <w:szCs w:val="21"/>
                <w:highlight w:val="none"/>
                <w:lang w:val="en-US" w:eastAsia="zh-CN"/>
              </w:rPr>
              <w:t>Si le prix définitif évalué du soumissionnaire valide est égal au prix de référence d’évaluation, le taux d’écart est égal à 0 et la note du prix évalué est de 100 points.</w:t>
            </w:r>
          </w:p>
        </w:tc>
      </w:tr>
      <w:tr w14:paraId="415E6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continue"/>
            <w:noWrap w:val="0"/>
            <w:vAlign w:val="center"/>
          </w:tcPr>
          <w:p w14:paraId="2739AA93">
            <w:pPr>
              <w:jc w:val="center"/>
              <w:rPr>
                <w:rFonts w:hint="eastAsia"/>
                <w:sz w:val="21"/>
                <w:szCs w:val="21"/>
                <w:lang w:val="en-US" w:eastAsia="zh-CN"/>
              </w:rPr>
            </w:pPr>
          </w:p>
        </w:tc>
        <w:tc>
          <w:tcPr>
            <w:tcW w:w="1356" w:type="dxa"/>
            <w:gridSpan w:val="2"/>
            <w:vMerge w:val="continue"/>
            <w:noWrap w:val="0"/>
            <w:vAlign w:val="center"/>
          </w:tcPr>
          <w:p w14:paraId="6DA9C352">
            <w:pPr>
              <w:snapToGrid w:val="0"/>
              <w:jc w:val="center"/>
              <w:rPr>
                <w:rFonts w:ascii="宋体" w:hAnsi="宋体" w:eastAsia="宋体"/>
                <w:sz w:val="21"/>
                <w:szCs w:val="21"/>
                <w:highlight w:val="none"/>
                <w:lang w:bidi="en-US"/>
              </w:rPr>
            </w:pPr>
          </w:p>
        </w:tc>
        <w:tc>
          <w:tcPr>
            <w:tcW w:w="1555" w:type="dxa"/>
            <w:vMerge w:val="continue"/>
            <w:noWrap w:val="0"/>
            <w:vAlign w:val="center"/>
          </w:tcPr>
          <w:p w14:paraId="7C957C69">
            <w:pPr>
              <w:jc w:val="center"/>
              <w:rPr>
                <w:rFonts w:ascii="宋体" w:hAnsi="宋体" w:eastAsia="宋体"/>
                <w:sz w:val="21"/>
                <w:szCs w:val="21"/>
                <w:highlight w:val="none"/>
              </w:rPr>
            </w:pPr>
          </w:p>
        </w:tc>
        <w:tc>
          <w:tcPr>
            <w:tcW w:w="6238" w:type="dxa"/>
            <w:noWrap w:val="0"/>
            <w:vAlign w:val="center"/>
          </w:tcPr>
          <w:p w14:paraId="37094B5B">
            <w:pPr>
              <w:adjustRightInd w:val="0"/>
              <w:snapToGrid w:val="0"/>
              <w:rPr>
                <w:rFonts w:ascii="宋体" w:hAnsi="宋体"/>
                <w:szCs w:val="21"/>
                <w:highlight w:val="none"/>
              </w:rPr>
            </w:pPr>
            <w:r>
              <w:rPr>
                <w:rFonts w:hint="eastAsia" w:ascii="宋体" w:hAnsi="宋体"/>
                <w:szCs w:val="21"/>
                <w:highlight w:val="none"/>
              </w:rPr>
              <w:t>有效应答人</w:t>
            </w:r>
            <w:r>
              <w:rPr>
                <w:rFonts w:hint="eastAsia" w:ascii="宋体" w:hAnsi="宋体" w:cs="Microsoft JhengHei"/>
                <w:szCs w:val="21"/>
                <w:highlight w:val="none"/>
              </w:rPr>
              <w:t>经评审的最终报价</w:t>
            </w:r>
            <w:r>
              <w:rPr>
                <w:rFonts w:hint="eastAsia" w:ascii="宋体" w:hAnsi="宋体"/>
                <w:szCs w:val="21"/>
                <w:highlight w:val="none"/>
              </w:rPr>
              <w:t>高于</w:t>
            </w:r>
            <w:r>
              <w:rPr>
                <w:rFonts w:hint="eastAsia" w:ascii="宋体" w:hAnsi="宋体" w:cs="Microsoft JhengHei"/>
                <w:szCs w:val="21"/>
                <w:highlight w:val="none"/>
              </w:rPr>
              <w:t>评审</w:t>
            </w:r>
            <w:r>
              <w:rPr>
                <w:rFonts w:hint="eastAsia" w:ascii="宋体" w:hAnsi="宋体"/>
                <w:szCs w:val="21"/>
                <w:highlight w:val="none"/>
              </w:rPr>
              <w:t>基准价时，</w:t>
            </w:r>
            <w:r>
              <w:rPr>
                <w:rFonts w:ascii="宋体" w:hAnsi="宋体"/>
                <w:szCs w:val="21"/>
                <w:highlight w:val="none"/>
              </w:rPr>
              <w:t>5≥偏差率&gt;0，</w:t>
            </w:r>
            <w:r>
              <w:rPr>
                <w:rFonts w:hint="eastAsia" w:ascii="宋体" w:hAnsi="宋体" w:cs="Microsoft JhengHei"/>
                <w:szCs w:val="21"/>
                <w:highlight w:val="none"/>
              </w:rPr>
              <w:t>评审</w:t>
            </w:r>
            <w:r>
              <w:rPr>
                <w:rFonts w:ascii="宋体" w:hAnsi="宋体"/>
                <w:szCs w:val="21"/>
                <w:highlight w:val="none"/>
              </w:rPr>
              <w:t>价格评分=100-0.5×偏差率；</w:t>
            </w:r>
          </w:p>
          <w:p w14:paraId="00B3716B">
            <w:pPr>
              <w:adjustRightInd w:val="0"/>
              <w:snapToGrid w:val="0"/>
              <w:rPr>
                <w:rFonts w:ascii="宋体" w:hAnsi="宋体"/>
                <w:szCs w:val="21"/>
                <w:highlight w:val="none"/>
              </w:rPr>
            </w:pPr>
            <w:r>
              <w:rPr>
                <w:rFonts w:hint="eastAsia" w:ascii="宋体" w:hAnsi="宋体"/>
                <w:szCs w:val="21"/>
                <w:highlight w:val="none"/>
              </w:rPr>
              <w:t>偏差率</w:t>
            </w:r>
            <w:r>
              <w:rPr>
                <w:rFonts w:ascii="宋体" w:hAnsi="宋体"/>
                <w:szCs w:val="21"/>
                <w:highlight w:val="none"/>
              </w:rPr>
              <w:t>&gt;5，</w:t>
            </w:r>
            <w:r>
              <w:rPr>
                <w:rFonts w:hint="eastAsia" w:ascii="宋体" w:hAnsi="宋体" w:cs="Microsoft JhengHei"/>
                <w:szCs w:val="21"/>
                <w:highlight w:val="none"/>
              </w:rPr>
              <w:t>评审</w:t>
            </w:r>
            <w:r>
              <w:rPr>
                <w:rFonts w:ascii="宋体" w:hAnsi="宋体"/>
                <w:szCs w:val="21"/>
                <w:highlight w:val="none"/>
              </w:rPr>
              <w:t>价格评分=97.5-1×（偏差率-5）。</w:t>
            </w:r>
          </w:p>
          <w:p w14:paraId="0FF2B250">
            <w:pPr>
              <w:adjustRightInd w:val="0"/>
              <w:snapToGrid w:val="0"/>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Lorsque le prix définitif évalué du soumissionnaire valide est supérieur au prix de référence d’évaluation :</w:t>
            </w:r>
          </w:p>
          <w:p w14:paraId="0FF36C23">
            <w:pPr>
              <w:adjustRightInd w:val="0"/>
              <w:snapToGrid w:val="0"/>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Si \(0 &lt; \text{taux d’écart} \le 5\), la note du prix évalué = \(100 - 0,5 \times \text{taux d’écart}\) ;</w:t>
            </w:r>
          </w:p>
          <w:p w14:paraId="56C0455C">
            <w:pPr>
              <w:adjustRightInd w:val="0"/>
              <w:snapToGrid w:val="0"/>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Si \(\text{taux d’écart} &gt; 5\), la note du prix évalué = \(97,5 - 1 \times (\text{taux d’écart} - 5)\).</w:t>
            </w:r>
          </w:p>
          <w:p w14:paraId="03840E7F">
            <w:pPr>
              <w:adjustRightInd w:val="0"/>
              <w:snapToGrid w:val="0"/>
              <w:rPr>
                <w:rFonts w:ascii="宋体" w:hAnsi="宋体"/>
                <w:szCs w:val="21"/>
                <w:highlight w:val="none"/>
              </w:rPr>
            </w:pPr>
          </w:p>
        </w:tc>
      </w:tr>
      <w:tr w14:paraId="313D4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3" w:type="dxa"/>
            <w:vMerge w:val="continue"/>
            <w:noWrap w:val="0"/>
            <w:vAlign w:val="center"/>
          </w:tcPr>
          <w:p w14:paraId="55687701">
            <w:pPr>
              <w:jc w:val="center"/>
              <w:rPr>
                <w:rFonts w:hint="eastAsia"/>
                <w:sz w:val="21"/>
                <w:szCs w:val="21"/>
                <w:lang w:val="en-US" w:eastAsia="zh-CN"/>
              </w:rPr>
            </w:pPr>
          </w:p>
        </w:tc>
        <w:tc>
          <w:tcPr>
            <w:tcW w:w="1356" w:type="dxa"/>
            <w:gridSpan w:val="2"/>
            <w:vMerge w:val="continue"/>
            <w:noWrap w:val="0"/>
            <w:vAlign w:val="center"/>
          </w:tcPr>
          <w:p w14:paraId="1482F107">
            <w:pPr>
              <w:snapToGrid w:val="0"/>
              <w:jc w:val="center"/>
              <w:rPr>
                <w:rFonts w:ascii="宋体" w:hAnsi="宋体" w:eastAsia="宋体"/>
                <w:sz w:val="21"/>
                <w:szCs w:val="21"/>
                <w:highlight w:val="none"/>
                <w:lang w:bidi="en-US"/>
              </w:rPr>
            </w:pPr>
          </w:p>
        </w:tc>
        <w:tc>
          <w:tcPr>
            <w:tcW w:w="1555" w:type="dxa"/>
            <w:noWrap w:val="0"/>
            <w:vAlign w:val="center"/>
          </w:tcPr>
          <w:p w14:paraId="6B6EA94A">
            <w:pPr>
              <w:jc w:val="center"/>
              <w:rPr>
                <w:rFonts w:ascii="宋体" w:hAnsi="宋体" w:eastAsia="宋体"/>
                <w:sz w:val="21"/>
                <w:szCs w:val="21"/>
                <w:highlight w:val="none"/>
              </w:rPr>
            </w:pPr>
          </w:p>
        </w:tc>
        <w:tc>
          <w:tcPr>
            <w:tcW w:w="6238" w:type="dxa"/>
            <w:noWrap w:val="0"/>
            <w:vAlign w:val="center"/>
          </w:tcPr>
          <w:p w14:paraId="3EE940DB">
            <w:pPr>
              <w:adjustRightInd w:val="0"/>
              <w:snapToGrid w:val="0"/>
              <w:rPr>
                <w:rFonts w:ascii="宋体" w:hAnsi="宋体"/>
                <w:szCs w:val="21"/>
                <w:highlight w:val="none"/>
              </w:rPr>
            </w:pPr>
            <w:r>
              <w:rPr>
                <w:rFonts w:hint="eastAsia" w:ascii="宋体" w:hAnsi="宋体"/>
                <w:szCs w:val="21"/>
                <w:highlight w:val="none"/>
              </w:rPr>
              <w:t>有效应答人</w:t>
            </w:r>
            <w:r>
              <w:rPr>
                <w:rFonts w:hint="eastAsia" w:ascii="宋体" w:hAnsi="宋体" w:cs="Microsoft JhengHei"/>
                <w:szCs w:val="21"/>
                <w:highlight w:val="none"/>
              </w:rPr>
              <w:t>经评审的最终报价</w:t>
            </w:r>
            <w:r>
              <w:rPr>
                <w:rFonts w:hint="eastAsia" w:ascii="宋体" w:hAnsi="宋体"/>
                <w:szCs w:val="21"/>
                <w:highlight w:val="none"/>
              </w:rPr>
              <w:t>低于评审基准价时，评审</w:t>
            </w:r>
            <w:r>
              <w:rPr>
                <w:rFonts w:ascii="宋体" w:hAnsi="宋体"/>
                <w:szCs w:val="21"/>
                <w:highlight w:val="none"/>
              </w:rPr>
              <w:t>价格评分=100+0.3×偏差率；</w:t>
            </w:r>
          </w:p>
          <w:p w14:paraId="1A043D35">
            <w:pPr>
              <w:jc w:val="center"/>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Lorsque le prix définitif évalué du soumissionnaire valide est inférieur au prix de référence d’évaluation :</w:t>
            </w:r>
          </w:p>
          <w:p w14:paraId="204A908D">
            <w:pPr>
              <w:jc w:val="center"/>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la note du prix évalué = \(100 + 0,3 \times \text{taux d’écart}\)</w:t>
            </w:r>
          </w:p>
          <w:p w14:paraId="575CE8CB">
            <w:pPr>
              <w:adjustRightInd w:val="0"/>
              <w:snapToGrid w:val="0"/>
              <w:rPr>
                <w:rFonts w:ascii="宋体" w:hAnsi="宋体"/>
                <w:szCs w:val="21"/>
                <w:highlight w:val="none"/>
              </w:rPr>
            </w:pPr>
          </w:p>
        </w:tc>
      </w:tr>
    </w:tbl>
    <w:p w14:paraId="54E30021">
      <w:pPr>
        <w:spacing w:line="360" w:lineRule="auto"/>
        <w:outlineLvl w:val="1"/>
        <w:rPr>
          <w:rFonts w:hint="eastAsia" w:ascii="宋体" w:hAnsi="宋体" w:cs="宋体"/>
          <w:b/>
          <w:kern w:val="0"/>
          <w:szCs w:val="21"/>
          <w:highlight w:val="none"/>
        </w:rPr>
      </w:pPr>
      <w:bookmarkStart w:id="17" w:name="_Toc25888"/>
      <w:bookmarkStart w:id="18" w:name="_Toc23368"/>
      <w:r>
        <w:rPr>
          <w:rFonts w:hint="eastAsia" w:ascii="宋体" w:hAnsi="宋体" w:cs="宋体"/>
          <w:b/>
          <w:kern w:val="0"/>
          <w:szCs w:val="21"/>
          <w:highlight w:val="none"/>
        </w:rPr>
        <w:t>5.合同签订</w:t>
      </w:r>
      <w:bookmarkEnd w:id="17"/>
    </w:p>
    <w:p w14:paraId="13D697E6">
      <w:pPr>
        <w:pStyle w:val="162"/>
        <w:spacing w:line="360" w:lineRule="auto"/>
        <w:ind w:firstLine="420" w:firstLineChars="200"/>
        <w:jc w:val="left"/>
        <w:rPr>
          <w:rFonts w:ascii="宋体" w:hAnsi="宋体"/>
          <w:color w:val="000000"/>
          <w:szCs w:val="21"/>
          <w:highlight w:val="none"/>
        </w:rPr>
      </w:pPr>
      <w:r>
        <w:rPr>
          <w:rFonts w:hint="eastAsia" w:ascii="宋体" w:hAnsi="宋体"/>
          <w:szCs w:val="21"/>
          <w:highlight w:val="none"/>
        </w:rPr>
        <w:t>评审小组完成评审后，提交书面评审报告，</w:t>
      </w:r>
      <w:r>
        <w:rPr>
          <w:rFonts w:hint="eastAsia" w:ascii="宋体" w:hAnsi="宋体"/>
          <w:color w:val="000000"/>
          <w:szCs w:val="21"/>
          <w:highlight w:val="none"/>
        </w:rPr>
        <w:t>经相应管理机构批准后，由采购机构通过采购平台向成交应答人发出成交通知书。成交通知书作为合同的一个组成部分，对采购人和成交应答人均具有法律约束力。</w:t>
      </w:r>
    </w:p>
    <w:p w14:paraId="4A37B10D">
      <w:pPr>
        <w:pStyle w:val="162"/>
        <w:spacing w:line="360" w:lineRule="auto"/>
        <w:ind w:firstLine="420" w:firstLineChars="200"/>
        <w:jc w:val="left"/>
        <w:rPr>
          <w:rFonts w:hint="eastAsia" w:ascii="宋体" w:hAnsi="宋体"/>
          <w:color w:val="000000"/>
          <w:szCs w:val="21"/>
          <w:highlight w:val="none"/>
        </w:rPr>
      </w:pPr>
      <w:r>
        <w:rPr>
          <w:rFonts w:hint="eastAsia" w:ascii="宋体" w:hAnsi="宋体"/>
          <w:color w:val="000000"/>
          <w:szCs w:val="21"/>
          <w:highlight w:val="none"/>
        </w:rPr>
        <w:t>成交通知书发出后，</w:t>
      </w:r>
      <w:r>
        <w:rPr>
          <w:rFonts w:hint="eastAsia" w:ascii="宋体" w:hAnsi="宋体"/>
          <w:highlight w:val="none"/>
        </w:rPr>
        <w:t>采购人和成交人应当根据采购文件和成交人的响应文件订立书面合同。</w:t>
      </w:r>
      <w:r>
        <w:rPr>
          <w:rFonts w:hint="eastAsia" w:ascii="宋体" w:hAnsi="宋体"/>
          <w:color w:val="000000"/>
          <w:szCs w:val="21"/>
          <w:highlight w:val="none"/>
        </w:rPr>
        <w:t>成交人无正当理由拒签合同的，采购人取消其成交资格，并依据《国家电投集团铝电投资有限公司供应商管理办法》规定执行。</w:t>
      </w:r>
    </w:p>
    <w:p w14:paraId="609EA404">
      <w:pPr>
        <w:jc w:val="left"/>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5. Signature du contrat**</w:t>
      </w:r>
    </w:p>
    <w:p w14:paraId="12D08EF8">
      <w:pPr>
        <w:jc w:val="left"/>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À l’issue de l’évaluation par le comité d’évaluation, un rapport d’évaluation écrit est soumis. Après approbation par l’organisme de gestion compétent, l’entité chargée de l’achat adresse la notification d’attribution au soumissionnaire retenu via la plateforme d’achat. La notification d’attribution fait partie intégrante du contrat et lie juridiquement l’acheteur et le soumissionnaire retenu.</w:t>
      </w:r>
    </w:p>
    <w:p w14:paraId="174C5012">
      <w:pPr>
        <w:jc w:val="left"/>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Après l’émission de la notification d’attribution, l’acheteur et le soumissionnaire retenu concluent un contrat écrit sur la base du dossier d’appel d’offres et du dossier de réponse du soumissionnaire retenu. Si le soumissionnaire retenu refuse de signer le contrat sans motif valable, l’acheteur annule son attribution, et les dispositions du *Règlement de gestion des fournisseurs de SPIC Aluminium Investment Co., Ltd.* s’appliquent.</w:t>
      </w:r>
    </w:p>
    <w:p w14:paraId="4474F96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1"/>
        <w:rPr>
          <w:rFonts w:hint="eastAsia" w:ascii="宋体" w:hAnsi="宋体" w:cs="宋体"/>
          <w:b/>
          <w:kern w:val="0"/>
          <w:sz w:val="21"/>
          <w:szCs w:val="21"/>
          <w:highlight w:val="none"/>
          <w:lang w:val="en-US" w:eastAsia="zh-CN" w:bidi="ar-SA"/>
        </w:rPr>
      </w:pPr>
    </w:p>
    <w:p w14:paraId="63214F7C">
      <w:pPr>
        <w:rPr>
          <w:rFonts w:hint="eastAsia" w:ascii="宋体" w:hAnsi="宋体" w:cs="宋体"/>
          <w:b/>
          <w:kern w:val="0"/>
          <w:sz w:val="21"/>
          <w:szCs w:val="21"/>
          <w:highlight w:val="none"/>
          <w:lang w:val="en-US" w:eastAsia="zh-CN" w:bidi="ar-SA"/>
        </w:rPr>
      </w:pPr>
      <w:r>
        <w:rPr>
          <w:rFonts w:hint="eastAsia" w:ascii="宋体" w:hAnsi="宋体" w:cs="宋体"/>
          <w:b/>
          <w:kern w:val="0"/>
          <w:sz w:val="21"/>
          <w:szCs w:val="21"/>
          <w:highlight w:val="none"/>
          <w:lang w:val="en-US" w:eastAsia="zh-CN" w:bidi="ar-SA"/>
        </w:rPr>
        <w:br w:type="page"/>
      </w:r>
    </w:p>
    <w:bookmarkEnd w:id="13"/>
    <w:bookmarkEnd w:id="14"/>
    <w:bookmarkEnd w:id="15"/>
    <w:bookmarkEnd w:id="16"/>
    <w:bookmarkEnd w:id="18"/>
    <w:p w14:paraId="25EE80BB">
      <w:pPr>
        <w:pStyle w:val="2"/>
        <w:pageBreakBefore w:val="0"/>
        <w:widowControl w:val="0"/>
        <w:numPr>
          <w:ilvl w:val="0"/>
          <w:numId w:val="3"/>
        </w:numPr>
        <w:kinsoku/>
        <w:wordWrap/>
        <w:overflowPunct/>
        <w:topLinePunct w:val="0"/>
        <w:autoSpaceDE/>
        <w:autoSpaceDN/>
        <w:bidi w:val="0"/>
        <w:adjustRightInd w:val="0"/>
        <w:snapToGrid w:val="0"/>
        <w:spacing w:before="0" w:after="0" w:line="360" w:lineRule="auto"/>
        <w:ind w:left="0" w:leftChars="0" w:right="0" w:rightChars="0" w:firstLine="0" w:firstLineChars="0"/>
        <w:jc w:val="center"/>
        <w:textAlignment w:val="auto"/>
        <w:rPr>
          <w:rFonts w:hint="eastAsia" w:ascii="宋体" w:hAnsi="宋体" w:eastAsia="宋体" w:cs="Times New Roman"/>
          <w:b/>
          <w:sz w:val="28"/>
          <w:szCs w:val="28"/>
          <w:highlight w:val="none"/>
          <w:lang w:val="en-US" w:eastAsia="zh-CN"/>
        </w:rPr>
      </w:pPr>
      <w:bookmarkStart w:id="19" w:name="_Toc16485"/>
      <w:bookmarkStart w:id="20" w:name="_Toc24556"/>
      <w:bookmarkStart w:id="21" w:name="_Toc22692"/>
      <w:r>
        <w:rPr>
          <w:rFonts w:hint="eastAsia" w:ascii="宋体" w:hAnsi="宋体" w:eastAsia="宋体" w:cs="Times New Roman"/>
          <w:b/>
          <w:sz w:val="28"/>
          <w:szCs w:val="28"/>
          <w:highlight w:val="none"/>
          <w:lang w:val="en-US" w:eastAsia="zh-CN"/>
        </w:rPr>
        <w:t>委托人要求</w:t>
      </w:r>
      <w:bookmarkEnd w:id="19"/>
      <w:bookmarkEnd w:id="20"/>
      <w:bookmarkEnd w:id="21"/>
    </w:p>
    <w:p w14:paraId="0F29C282">
      <w:pPr>
        <w:widowControl w:val="0"/>
        <w:kinsoku/>
        <w:wordWrap/>
        <w:overflowPunct/>
        <w:topLinePunct w:val="0"/>
        <w:autoSpaceDE/>
        <w:autoSpaceDN/>
        <w:bidi w:val="0"/>
        <w:adjustRightInd w:val="0"/>
        <w:snapToGrid w:val="0"/>
        <w:spacing w:before="0" w:after="0" w:line="360" w:lineRule="auto"/>
        <w:ind w:left="0" w:leftChars="0" w:right="0" w:rightChars="0" w:firstLine="0" w:firstLineChars="0"/>
        <w:jc w:val="center"/>
        <w:textAlignment w:val="auto"/>
        <w:rPr>
          <w:rFonts w:hint="eastAsia" w:ascii="宋体" w:hAnsi="宋体" w:eastAsia="宋体" w:cs="Times New Roman"/>
          <w:b/>
          <w:sz w:val="28"/>
          <w:szCs w:val="28"/>
          <w:highlight w:val="none"/>
          <w:lang w:val="en-US" w:eastAsia="zh-CN"/>
        </w:rPr>
      </w:pPr>
      <w:r>
        <w:rPr>
          <w:rFonts w:hint="eastAsia" w:ascii="Times New Roman" w:hAnsi="Times New Roman" w:eastAsia="宋体" w:cs="Times New Roman"/>
          <w:b/>
          <w:sz w:val="28"/>
          <w:szCs w:val="28"/>
          <w:highlight w:val="none"/>
          <w:lang w:val="en-US" w:eastAsia="zh-CN"/>
        </w:rPr>
        <w:t>Exigences de l’Acheteur</w:t>
      </w:r>
    </w:p>
    <w:p w14:paraId="2CEE99A8">
      <w:pPr>
        <w:keepNext w:val="0"/>
        <w:keepLines w:val="0"/>
        <w:pageBreakBefore w:val="0"/>
        <w:widowControl w:val="0"/>
        <w:kinsoku/>
        <w:wordWrap/>
        <w:overflowPunct/>
        <w:topLinePunct w:val="0"/>
        <w:autoSpaceDE/>
        <w:autoSpaceDN/>
        <w:bidi w:val="0"/>
        <w:spacing w:line="360" w:lineRule="auto"/>
        <w:ind w:left="0" w:leftChars="0" w:right="0" w:rightChars="0"/>
        <w:textAlignment w:val="auto"/>
        <w:outlineLvl w:val="9"/>
        <w:rPr>
          <w:rFonts w:hint="default" w:ascii="宋体" w:hAnsi="宋体" w:eastAsia="宋体"/>
          <w:bCs/>
          <w:sz w:val="21"/>
          <w:szCs w:val="21"/>
          <w:highlight w:val="none"/>
          <w:lang w:val="en-US" w:eastAsia="zh-CN"/>
        </w:rPr>
      </w:pPr>
      <w:bookmarkStart w:id="22" w:name="_Toc6584790"/>
      <w:bookmarkStart w:id="23" w:name="_Toc5738295"/>
      <w:bookmarkStart w:id="24" w:name="_Toc107567059"/>
      <w:bookmarkStart w:id="25" w:name="_Toc482188637"/>
      <w:r>
        <w:rPr>
          <w:rFonts w:ascii="宋体" w:hAnsi="宋体" w:eastAsia="宋体"/>
          <w:bCs/>
          <w:sz w:val="21"/>
          <w:szCs w:val="21"/>
          <w:highlight w:val="none"/>
        </w:rPr>
        <w:t>一、</w:t>
      </w:r>
      <w:bookmarkEnd w:id="22"/>
      <w:bookmarkEnd w:id="23"/>
      <w:bookmarkEnd w:id="24"/>
      <w:bookmarkEnd w:id="25"/>
      <w:r>
        <w:rPr>
          <w:rFonts w:hint="eastAsia" w:ascii="宋体" w:hAnsi="宋体"/>
          <w:bCs/>
          <w:sz w:val="21"/>
          <w:szCs w:val="21"/>
          <w:highlight w:val="none"/>
          <w:lang w:val="en-US" w:eastAsia="zh-CN"/>
        </w:rPr>
        <w:t>项目概况</w:t>
      </w:r>
    </w:p>
    <w:p w14:paraId="398E1394">
      <w:pPr>
        <w:keepLines w:val="0"/>
        <w:widowControl w:val="0"/>
        <w:kinsoku/>
        <w:wordWrap/>
        <w:overflowPunct/>
        <w:topLinePunct w:val="0"/>
        <w:autoSpaceDE/>
        <w:autoSpaceDN/>
        <w:bidi w:val="0"/>
        <w:spacing w:line="360" w:lineRule="auto"/>
        <w:ind w:left="0" w:leftChars="0" w:right="0" w:rightChars="0"/>
        <w:textAlignment w:val="auto"/>
        <w:outlineLvl w:val="9"/>
        <w:rPr>
          <w:rFonts w:hint="default" w:ascii="宋体" w:hAnsi="宋体" w:eastAsia="宋体"/>
          <w:bCs/>
          <w:sz w:val="21"/>
          <w:szCs w:val="21"/>
          <w:highlight w:val="none"/>
          <w:lang w:val="en-US" w:eastAsia="zh-CN"/>
        </w:rPr>
      </w:pPr>
      <w:r>
        <w:rPr>
          <w:rFonts w:ascii="Times New Roman" w:hAnsi="Times New Roman" w:eastAsia="宋体" w:cs="Times New Roman"/>
          <w:bCs/>
          <w:sz w:val="21"/>
          <w:szCs w:val="21"/>
          <w:highlight w:val="none"/>
        </w:rPr>
        <w:t>I. Présentation générale du projet</w:t>
      </w:r>
    </w:p>
    <w:p w14:paraId="6A187CF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textAlignment w:val="auto"/>
        <w:outlineLvl w:val="9"/>
        <w:rPr>
          <w:rFonts w:ascii="宋体" w:hAnsi="宋体" w:eastAsia="宋体"/>
          <w:highlight w:val="none"/>
        </w:rPr>
      </w:pPr>
      <w:r>
        <w:rPr>
          <w:rFonts w:ascii="宋体" w:hAnsi="宋体" w:eastAsia="宋体"/>
          <w:highlight w:val="none"/>
        </w:rPr>
        <w:t>1. 项目概况</w:t>
      </w:r>
    </w:p>
    <w:p w14:paraId="6AD54DC3">
      <w:pPr>
        <w:keepLines w:val="0"/>
        <w:widowControl w:val="0"/>
        <w:kinsoku/>
        <w:wordWrap/>
        <w:overflowPunct/>
        <w:topLinePunct w:val="0"/>
        <w:autoSpaceDE/>
        <w:autoSpaceDN/>
        <w:bidi w:val="0"/>
        <w:adjustRightInd w:val="0"/>
        <w:snapToGrid w:val="0"/>
        <w:spacing w:line="360" w:lineRule="auto"/>
        <w:ind w:left="0" w:leftChars="0" w:right="0" w:rightChars="0"/>
        <w:textAlignment w:val="auto"/>
        <w:outlineLvl w:val="9"/>
        <w:rPr>
          <w:rFonts w:ascii="宋体" w:hAnsi="宋体" w:eastAsia="宋体"/>
          <w:highlight w:val="none"/>
        </w:rPr>
      </w:pPr>
      <w:r>
        <w:rPr>
          <w:rFonts w:ascii="Times New Roman" w:hAnsi="Times New Roman" w:eastAsia="宋体" w:cs="Times New Roman"/>
          <w:highlight w:val="none"/>
        </w:rPr>
        <w:t>1. Présentation générale du projet</w:t>
      </w:r>
    </w:p>
    <w:p w14:paraId="6BDF5C2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textAlignment w:val="auto"/>
        <w:outlineLvl w:val="9"/>
        <w:rPr>
          <w:rFonts w:ascii="宋体" w:hAnsi="宋体" w:eastAsia="宋体"/>
          <w:highlight w:val="none"/>
        </w:rPr>
      </w:pPr>
      <w:r>
        <w:rPr>
          <w:rFonts w:hint="eastAsia" w:ascii="宋体" w:hAnsi="宋体" w:eastAsia="宋体" w:cs="Times New Roman"/>
          <w:highlight w:val="none"/>
          <w:lang w:val="en-US" w:eastAsia="zh-CN"/>
        </w:rPr>
        <w:t>国家电投国际投资开发（几内亚）有限责任公司机票代购业务由综合管理部根据员工出行计划及实际需求，负责国际机票航线查询、询价比价、订票出票、退改签协调及费用结算等工作。本项目暂定采购数量为：2026年10—12月商务舱1次、经济舱100次；2027年1—12月商务舱2次、经济舱525次；2028年1—9月商务舱2次、经济舱350次，合计980次（均按往返计）。上述暂定采购数量及机票暂估平均价格仅用于采购规模测算和评审，不代表实际采购数量及实际票价；合同履行期间，实际采购数量、航线、舱位及费用以甲方实际出行需求、航空公司实时票价及成交代理服务费率据实结算。</w:t>
      </w:r>
    </w:p>
    <w:p w14:paraId="34CEE6A9">
      <w:pPr>
        <w:keepLines w:val="0"/>
        <w:widowControl w:val="0"/>
        <w:kinsoku/>
        <w:wordWrap/>
        <w:overflowPunct/>
        <w:topLinePunct w:val="0"/>
        <w:autoSpaceDE/>
        <w:autoSpaceDN/>
        <w:bidi w:val="0"/>
        <w:adjustRightInd w:val="0"/>
        <w:snapToGrid w:val="0"/>
        <w:spacing w:line="360" w:lineRule="auto"/>
        <w:ind w:left="0" w:leftChars="0" w:right="0" w:rightChars="0"/>
        <w:textAlignment w:val="auto"/>
        <w:outlineLvl w:val="9"/>
        <w:rPr>
          <w:rFonts w:ascii="宋体" w:hAnsi="宋体" w:eastAsia="宋体"/>
          <w:highlight w:val="none"/>
        </w:rPr>
      </w:pPr>
      <w:r>
        <w:rPr>
          <w:rFonts w:hint="eastAsia" w:ascii="Times New Roman" w:hAnsi="Times New Roman" w:eastAsia="宋体" w:cs="Times New Roman"/>
          <w:highlight w:val="none"/>
          <w:lang w:val="en-US" w:eastAsia="zh-CN"/>
        </w:rPr>
        <w:t>Les achats de billets d’avion de SPIC International Investment &amp; Development(Guinea) Co.,Ltd sont gérés par le Département de l’administration générale, qui, en fonction des plans de déplacement des salariés et des besoins réels, assure notamment la recherche d’itinéraires internationaux, la consultation et la comparaison des prix, la réservation et l’émission des billets, la coordination des modifications et remboursements ainsi que le règlement des frais. Les quantités provisoires d’achat du présent projet sont les suivantes : d’octobre à décembre 2026, 1 voyage aller-retour en classe affaires et 100 voyages aller-retour en classe économique ; de janvier à décembre 2027, 2 voyages aller-retour en classe affaires et 525 voyages aller-retour en classe économique ; de janvier à septembre 2028, 2 voyages aller-retour en classe affaires et 350 voyages aller-retour en classe économique, soit un total de 980 voyages aller-retour. Ces quantités provisoires et les prix moyens estimatifs des billets servent uniquement à l’estimation du volume d’achat et à l’évaluation et ne constituent ni des quantités d’achat effectives ni des prix réels. Pendant l’exécution du contrat, les quantités, itinéraires, classes et frais effectifs seront réglés sur la base des besoins réels de déplacement de l’Acheteur, des tarifs aériens en vigueur et du taux de frais de service d’agence retenu.</w:t>
      </w:r>
    </w:p>
    <w:p w14:paraId="65B636A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textAlignment w:val="auto"/>
        <w:outlineLvl w:val="9"/>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t>成交人需要为采购人提供如下服务（包括但不限于）：</w:t>
      </w:r>
    </w:p>
    <w:p w14:paraId="41D4A75A">
      <w:pPr>
        <w:keepLines w:val="0"/>
        <w:widowControl w:val="0"/>
        <w:kinsoku/>
        <w:wordWrap/>
        <w:overflowPunct/>
        <w:topLinePunct w:val="0"/>
        <w:autoSpaceDE/>
        <w:autoSpaceDN/>
        <w:bidi w:val="0"/>
        <w:adjustRightInd w:val="0"/>
        <w:snapToGrid w:val="0"/>
        <w:spacing w:line="360" w:lineRule="auto"/>
        <w:ind w:left="0" w:leftChars="0" w:right="0" w:rightChars="0" w:firstLine="420" w:firstLineChars="200"/>
        <w:textAlignment w:val="auto"/>
        <w:outlineLvl w:val="9"/>
        <w:rPr>
          <w:rFonts w:hint="eastAsia" w:ascii="宋体" w:hAnsi="宋体" w:eastAsia="宋体" w:cs="Times New Roman"/>
          <w:highlight w:val="none"/>
          <w:lang w:val="en-US" w:eastAsia="zh-CN"/>
        </w:rPr>
      </w:pPr>
      <w:r>
        <w:rPr>
          <w:rFonts w:hint="eastAsia" w:ascii="Times New Roman" w:hAnsi="Times New Roman" w:eastAsia="宋体" w:cs="Times New Roman"/>
          <w:highlight w:val="none"/>
          <w:lang w:val="en-US" w:eastAsia="zh-CN"/>
        </w:rPr>
        <w:t>L’Attributaire doit fournir à l’Acheteur les services suivants, notamment :</w:t>
      </w:r>
    </w:p>
    <w:p w14:paraId="374F416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textAlignment w:val="auto"/>
        <w:outlineLvl w:val="9"/>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t>国际机票的查询、报价、预订、出票、更改、退票、无票候补、优先值机、优先选座、票款垫付、差旅分析、要客办理等服务，并根据采购人的需要及时提供有关航空服务信息。</w:t>
      </w:r>
    </w:p>
    <w:p w14:paraId="7B7C3FD1">
      <w:pPr>
        <w:keepLines w:val="0"/>
        <w:widowControl w:val="0"/>
        <w:kinsoku/>
        <w:wordWrap/>
        <w:overflowPunct/>
        <w:topLinePunct w:val="0"/>
        <w:autoSpaceDE/>
        <w:autoSpaceDN/>
        <w:bidi w:val="0"/>
        <w:adjustRightInd w:val="0"/>
        <w:snapToGrid w:val="0"/>
        <w:spacing w:line="360" w:lineRule="auto"/>
        <w:ind w:left="0" w:leftChars="0" w:right="0" w:rightChars="0" w:firstLine="420" w:firstLineChars="200"/>
        <w:textAlignment w:val="auto"/>
        <w:outlineLvl w:val="9"/>
        <w:rPr>
          <w:rFonts w:hint="eastAsia" w:ascii="宋体" w:hAnsi="宋体" w:eastAsia="宋体" w:cs="Times New Roman"/>
          <w:highlight w:val="none"/>
          <w:lang w:val="en-US" w:eastAsia="zh-CN"/>
        </w:rPr>
      </w:pPr>
      <w:r>
        <w:rPr>
          <w:rFonts w:hint="eastAsia" w:ascii="Times New Roman" w:hAnsi="Times New Roman" w:eastAsia="宋体" w:cs="Times New Roman"/>
          <w:highlight w:val="none"/>
          <w:lang w:val="en-US" w:eastAsia="zh-CN"/>
        </w:rPr>
        <w:t>Recherche, devis, réservation, émission, modification et remboursement de billets d’avion internationaux, mise en liste d’attente en l’absence de disponibilité, enregistrement prioritaire, sélection prioritaire des sièges, avance des frais de billetterie, analyse des déplacements professionnels, assistance VIP, ainsi que fourniture en temps utile des informations relatives aux services aériens selon les besoins de l’Acheteur.</w:t>
      </w:r>
    </w:p>
    <w:p w14:paraId="35D5B68D">
      <w:pPr>
        <w:tabs>
          <w:tab w:val="left" w:pos="805"/>
        </w:tabs>
        <w:snapToGrid w:val="0"/>
        <w:spacing w:line="360" w:lineRule="auto"/>
        <w:ind w:left="35"/>
        <w:rPr>
          <w:rFonts w:hint="eastAsia" w:ascii="宋体" w:hAnsi="宋体" w:eastAsia="宋体"/>
          <w:szCs w:val="21"/>
          <w:highlight w:val="none"/>
        </w:rPr>
      </w:pPr>
      <w:r>
        <w:rPr>
          <w:rFonts w:hint="eastAsia" w:ascii="宋体" w:hAnsi="宋体"/>
          <w:highlight w:val="none"/>
          <w:lang w:val="en-US" w:eastAsia="zh-CN"/>
        </w:rPr>
        <w:t>3.服务期限：总体服务期限为24个月。合同实行一年一签，首个合同期为12个月；首期届满前经采购人服务质量评价合格的，可续签一次，续签期不超过12个月。具体起止时间以合同实际生效日期为准。</w:t>
      </w:r>
    </w:p>
    <w:p w14:paraId="493A2CC8">
      <w:pPr>
        <w:tabs>
          <w:tab w:val="left" w:pos="805"/>
        </w:tabs>
        <w:snapToGrid w:val="0"/>
        <w:spacing w:line="360" w:lineRule="auto"/>
        <w:ind w:left="35"/>
        <w:rPr>
          <w:rFonts w:hint="eastAsia" w:ascii="宋体" w:hAnsi="宋体" w:eastAsia="宋体"/>
          <w:szCs w:val="21"/>
          <w:highlight w:val="none"/>
        </w:rPr>
      </w:pPr>
      <w:r>
        <w:rPr>
          <w:rFonts w:hint="eastAsia" w:ascii="Times New Roman" w:hAnsi="Times New Roman" w:cs="Times New Roman"/>
          <w:highlight w:val="none"/>
          <w:lang w:val="en-US" w:eastAsia="zh-CN"/>
        </w:rPr>
        <w:t>3. Durée des services : la durée globale est de 24 mois</w:t>
      </w:r>
      <w:r>
        <w:rPr>
          <w:rFonts w:hint="eastAsia" w:cs="Times New Roman"/>
          <w:highlight w:val="none"/>
          <w:lang w:val="en-US" w:eastAsia="zh-CN"/>
        </w:rPr>
        <w:t>.</w:t>
      </w:r>
      <w:r>
        <w:rPr>
          <w:rFonts w:hint="eastAsia" w:ascii="Times New Roman" w:hAnsi="Times New Roman" w:cs="Times New Roman"/>
          <w:highlight w:val="none"/>
          <w:lang w:val="en-US" w:eastAsia="zh-CN"/>
        </w:rPr>
        <w:t>Le contrat est conclu pour une année à la fois ; la première période contractuelle est de 12 mois. Avant l’échéance de la première période, il peut être renouvelé une fois, pour une durée n’excédant pas 12 mois, sous réserve d’une évaluation satisfaisante de la qualité des services par l’Acheteur. Les dates exactes de début et de fin sont déterminées par la date d’entrée en vigueur effective du contrat.</w:t>
      </w:r>
    </w:p>
    <w:p w14:paraId="54DC745F">
      <w:pPr>
        <w:keepNext w:val="0"/>
        <w:keepLines w:val="0"/>
        <w:pageBreakBefore w:val="0"/>
        <w:widowControl w:val="0"/>
        <w:kinsoku/>
        <w:wordWrap/>
        <w:overflowPunct/>
        <w:topLinePunct w:val="0"/>
        <w:autoSpaceDE/>
        <w:autoSpaceDN/>
        <w:bidi w:val="0"/>
        <w:spacing w:line="360" w:lineRule="auto"/>
        <w:ind w:left="0" w:leftChars="0" w:right="0" w:rightChars="0"/>
        <w:textAlignment w:val="auto"/>
        <w:outlineLvl w:val="9"/>
        <w:rPr>
          <w:rFonts w:ascii="宋体" w:hAnsi="宋体" w:eastAsia="宋体" w:cs="Times New Roman"/>
          <w:bCs/>
          <w:sz w:val="21"/>
          <w:szCs w:val="21"/>
          <w:highlight w:val="none"/>
        </w:rPr>
      </w:pPr>
      <w:bookmarkStart w:id="26" w:name="_Toc482188638"/>
      <w:bookmarkStart w:id="27" w:name="_Toc5738296"/>
      <w:bookmarkStart w:id="28" w:name="_Toc6584791"/>
      <w:bookmarkStart w:id="29" w:name="_Toc107567060"/>
      <w:r>
        <w:rPr>
          <w:rFonts w:ascii="宋体" w:hAnsi="宋体" w:eastAsia="宋体" w:cs="Times New Roman"/>
          <w:bCs/>
          <w:sz w:val="21"/>
          <w:szCs w:val="21"/>
          <w:highlight w:val="none"/>
        </w:rPr>
        <w:t>二、</w:t>
      </w:r>
      <w:r>
        <w:rPr>
          <w:rFonts w:hint="eastAsia" w:ascii="宋体" w:hAnsi="宋体" w:eastAsia="宋体" w:cs="Times New Roman"/>
          <w:bCs/>
          <w:sz w:val="21"/>
          <w:szCs w:val="21"/>
          <w:highlight w:val="none"/>
          <w:lang w:val="en-US" w:eastAsia="zh-CN"/>
        </w:rPr>
        <w:t>服务技术</w:t>
      </w:r>
      <w:r>
        <w:rPr>
          <w:rFonts w:ascii="宋体" w:hAnsi="宋体" w:eastAsia="宋体" w:cs="Times New Roman"/>
          <w:bCs/>
          <w:sz w:val="21"/>
          <w:szCs w:val="21"/>
          <w:highlight w:val="none"/>
        </w:rPr>
        <w:t>标准</w:t>
      </w:r>
      <w:bookmarkEnd w:id="26"/>
      <w:bookmarkEnd w:id="27"/>
      <w:bookmarkEnd w:id="28"/>
      <w:bookmarkEnd w:id="29"/>
      <w:r>
        <w:rPr>
          <w:rFonts w:hint="eastAsia" w:ascii="宋体" w:hAnsi="宋体" w:eastAsia="宋体" w:cs="Times New Roman"/>
          <w:bCs/>
          <w:sz w:val="21"/>
          <w:szCs w:val="21"/>
          <w:highlight w:val="none"/>
          <w:lang w:val="en-US" w:eastAsia="zh-CN"/>
        </w:rPr>
        <w:t>和要求</w:t>
      </w:r>
    </w:p>
    <w:p w14:paraId="378B96B2">
      <w:pPr>
        <w:keepLines w:val="0"/>
        <w:widowControl w:val="0"/>
        <w:kinsoku/>
        <w:wordWrap/>
        <w:overflowPunct/>
        <w:topLinePunct w:val="0"/>
        <w:autoSpaceDE/>
        <w:autoSpaceDN/>
        <w:bidi w:val="0"/>
        <w:spacing w:line="360" w:lineRule="auto"/>
        <w:ind w:left="0" w:leftChars="0" w:right="0" w:rightChars="0"/>
        <w:textAlignment w:val="auto"/>
        <w:outlineLvl w:val="9"/>
        <w:rPr>
          <w:rFonts w:ascii="宋体" w:hAnsi="宋体" w:eastAsia="宋体" w:cs="Times New Roman"/>
          <w:bCs/>
          <w:sz w:val="21"/>
          <w:szCs w:val="21"/>
          <w:highlight w:val="none"/>
        </w:rPr>
      </w:pPr>
      <w:r>
        <w:rPr>
          <w:rFonts w:ascii="Times New Roman" w:hAnsi="Times New Roman" w:eastAsia="宋体" w:cs="Times New Roman"/>
          <w:bCs/>
          <w:sz w:val="21"/>
          <w:szCs w:val="21"/>
          <w:highlight w:val="none"/>
        </w:rPr>
        <w:t>II. Normes techniques et exigences relatives aux services</w:t>
      </w:r>
    </w:p>
    <w:p w14:paraId="14DA76DB">
      <w:pPr>
        <w:tabs>
          <w:tab w:val="left" w:pos="805"/>
        </w:tabs>
        <w:snapToGrid w:val="0"/>
        <w:spacing w:line="360" w:lineRule="auto"/>
        <w:ind w:left="35"/>
        <w:rPr>
          <w:rFonts w:hint="eastAsia" w:ascii="宋体" w:hAnsi="宋体" w:eastAsia="宋体"/>
          <w:bCs/>
          <w:color w:val="000000"/>
          <w:szCs w:val="21"/>
          <w:highlight w:val="none"/>
        </w:rPr>
      </w:pPr>
      <w:r>
        <w:rPr>
          <w:rFonts w:hint="eastAsia" w:ascii="宋体" w:hAnsi="宋体" w:eastAsia="宋体"/>
          <w:bCs/>
          <w:color w:val="000000"/>
          <w:szCs w:val="21"/>
          <w:highlight w:val="none"/>
          <w:lang w:val="en-US" w:eastAsia="zh-CN"/>
        </w:rPr>
        <w:t>1.</w:t>
      </w:r>
      <w:r>
        <w:rPr>
          <w:rFonts w:hint="eastAsia" w:ascii="宋体" w:hAnsi="宋体" w:eastAsia="宋体"/>
          <w:bCs/>
          <w:color w:val="000000"/>
          <w:szCs w:val="21"/>
          <w:highlight w:val="none"/>
        </w:rPr>
        <w:t>成交</w:t>
      </w:r>
      <w:r>
        <w:rPr>
          <w:rFonts w:ascii="宋体" w:hAnsi="宋体" w:eastAsia="宋体"/>
          <w:bCs/>
          <w:color w:val="000000"/>
          <w:szCs w:val="21"/>
          <w:highlight w:val="none"/>
        </w:rPr>
        <w:t>人应提供</w:t>
      </w:r>
      <w:r>
        <w:rPr>
          <w:rFonts w:ascii="宋体" w:hAnsi="宋体" w:eastAsia="宋体"/>
          <w:szCs w:val="21"/>
          <w:highlight w:val="none"/>
        </w:rPr>
        <w:t>7</w:t>
      </w:r>
      <w:r>
        <w:rPr>
          <w:rFonts w:hint="eastAsia" w:ascii="宋体" w:hAnsi="宋体" w:eastAsia="宋体"/>
          <w:szCs w:val="21"/>
          <w:highlight w:val="none"/>
        </w:rPr>
        <w:t>×</w:t>
      </w:r>
      <w:r>
        <w:rPr>
          <w:rFonts w:ascii="宋体" w:hAnsi="宋体" w:eastAsia="宋体"/>
          <w:szCs w:val="21"/>
          <w:highlight w:val="none"/>
        </w:rPr>
        <w:t>24服务、成立专属服务团队，为乘机人设计最优化航线</w:t>
      </w:r>
      <w:r>
        <w:rPr>
          <w:rFonts w:ascii="宋体" w:hAnsi="宋体" w:eastAsia="宋体"/>
          <w:bCs/>
          <w:color w:val="000000"/>
          <w:szCs w:val="21"/>
          <w:highlight w:val="none"/>
        </w:rPr>
        <w:t>。</w:t>
      </w:r>
    </w:p>
    <w:p w14:paraId="47EB8479">
      <w:pPr>
        <w:tabs>
          <w:tab w:val="left" w:pos="805"/>
        </w:tabs>
        <w:snapToGrid w:val="0"/>
        <w:spacing w:line="360" w:lineRule="auto"/>
        <w:ind w:left="35"/>
        <w:rPr>
          <w:rFonts w:hint="eastAsia" w:ascii="宋体" w:hAnsi="宋体" w:eastAsia="宋体"/>
          <w:bCs/>
          <w:color w:val="000000"/>
          <w:szCs w:val="21"/>
          <w:highlight w:val="none"/>
        </w:rPr>
      </w:pPr>
      <w:r>
        <w:rPr>
          <w:rFonts w:hint="eastAsia" w:ascii="Times New Roman" w:hAnsi="Times New Roman" w:eastAsia="宋体" w:cs="Times New Roman"/>
          <w:bCs/>
          <w:color w:val="000000"/>
          <w:szCs w:val="21"/>
          <w:highlight w:val="none"/>
          <w:lang w:val="en-US" w:eastAsia="zh-CN"/>
        </w:rPr>
        <w:t>1. L’Attributaire doit assurer un service 24 h/24 et 7 j/7, constituer une équipe dédiée et concevoir pour les voyageurs les itinéraires les plus adaptés.</w:t>
      </w:r>
    </w:p>
    <w:p w14:paraId="0EE672B3">
      <w:pPr>
        <w:tabs>
          <w:tab w:val="left" w:pos="805"/>
        </w:tabs>
        <w:snapToGrid w:val="0"/>
        <w:spacing w:line="360" w:lineRule="auto"/>
        <w:ind w:left="35"/>
        <w:rPr>
          <w:rFonts w:hint="eastAsia" w:ascii="宋体" w:hAnsi="宋体" w:eastAsia="宋体"/>
          <w:szCs w:val="21"/>
          <w:highlight w:val="none"/>
        </w:rPr>
      </w:pPr>
      <w:r>
        <w:rPr>
          <w:rFonts w:hint="eastAsia" w:ascii="宋体" w:hAnsi="宋体" w:eastAsia="宋体"/>
          <w:bCs/>
          <w:color w:val="000000"/>
          <w:szCs w:val="21"/>
          <w:highlight w:val="none"/>
          <w:lang w:val="en-US" w:eastAsia="zh-CN"/>
        </w:rPr>
        <w:t>2.</w:t>
      </w:r>
      <w:r>
        <w:rPr>
          <w:rFonts w:hint="eastAsia" w:ascii="宋体" w:hAnsi="宋体" w:eastAsia="宋体"/>
          <w:bCs/>
          <w:color w:val="000000"/>
          <w:szCs w:val="21"/>
          <w:highlight w:val="none"/>
        </w:rPr>
        <w:t>成交人应</w:t>
      </w:r>
      <w:r>
        <w:rPr>
          <w:rFonts w:ascii="宋体" w:hAnsi="宋体" w:eastAsia="宋体"/>
          <w:szCs w:val="21"/>
          <w:highlight w:val="none"/>
        </w:rPr>
        <w:t>严格执行采购人的差旅规定和政策，为采购人提供最佳差旅成本控制方案</w:t>
      </w:r>
      <w:r>
        <w:rPr>
          <w:rFonts w:hint="eastAsia" w:ascii="宋体" w:hAnsi="宋体" w:eastAsia="宋体"/>
          <w:szCs w:val="21"/>
          <w:highlight w:val="none"/>
        </w:rPr>
        <w:t>。</w:t>
      </w:r>
    </w:p>
    <w:p w14:paraId="7A677AFD">
      <w:pPr>
        <w:tabs>
          <w:tab w:val="left" w:pos="805"/>
        </w:tabs>
        <w:snapToGrid w:val="0"/>
        <w:spacing w:line="360" w:lineRule="auto"/>
        <w:ind w:left="35"/>
        <w:rPr>
          <w:rFonts w:hint="eastAsia" w:ascii="宋体" w:hAnsi="宋体" w:eastAsia="宋体"/>
          <w:szCs w:val="21"/>
          <w:highlight w:val="none"/>
        </w:rPr>
      </w:pPr>
      <w:r>
        <w:rPr>
          <w:rFonts w:hint="eastAsia" w:ascii="Times New Roman" w:hAnsi="Times New Roman" w:eastAsia="宋体" w:cs="Times New Roman"/>
          <w:bCs/>
          <w:color w:val="000000"/>
          <w:szCs w:val="21"/>
          <w:highlight w:val="none"/>
          <w:lang w:val="en-US" w:eastAsia="zh-CN"/>
        </w:rPr>
        <w:t>2. L’Attributaire doit appliquer strictement les règles et politiques de déplacement professionnel de l’Acheteur et proposer la meilleure solution de maîtrise des coûts de déplacement.</w:t>
      </w:r>
    </w:p>
    <w:p w14:paraId="3016DEE8">
      <w:pPr>
        <w:tabs>
          <w:tab w:val="left" w:pos="805"/>
        </w:tabs>
        <w:snapToGrid w:val="0"/>
        <w:spacing w:line="360" w:lineRule="auto"/>
        <w:ind w:left="35"/>
        <w:rPr>
          <w:rFonts w:hint="eastAsia" w:ascii="宋体" w:hAnsi="宋体" w:eastAsia="宋体"/>
          <w:szCs w:val="21"/>
          <w:highlight w:val="none"/>
        </w:rPr>
      </w:pPr>
      <w:r>
        <w:rPr>
          <w:rFonts w:hint="eastAsia" w:ascii="宋体" w:hAnsi="宋体" w:eastAsia="宋体"/>
          <w:szCs w:val="21"/>
          <w:highlight w:val="none"/>
          <w:lang w:val="en-US" w:eastAsia="zh-CN"/>
        </w:rPr>
        <w:t>3.</w:t>
      </w:r>
      <w:r>
        <w:rPr>
          <w:rFonts w:hint="eastAsia" w:ascii="宋体" w:hAnsi="宋体" w:eastAsia="宋体"/>
          <w:szCs w:val="21"/>
          <w:highlight w:val="none"/>
        </w:rPr>
        <w:t>成交人为采购人提供相关服务，向采购人收取机票费、机票退改签费、代理服务费、机场延伸服务及要客服务费。其中：</w:t>
      </w:r>
    </w:p>
    <w:p w14:paraId="70B0CCD5">
      <w:pPr>
        <w:tabs>
          <w:tab w:val="left" w:pos="805"/>
        </w:tabs>
        <w:snapToGrid w:val="0"/>
        <w:spacing w:line="360" w:lineRule="auto"/>
        <w:ind w:left="35"/>
        <w:rPr>
          <w:rFonts w:hint="eastAsia" w:ascii="宋体" w:hAnsi="宋体" w:eastAsia="宋体"/>
          <w:szCs w:val="21"/>
          <w:highlight w:val="none"/>
        </w:rPr>
      </w:pPr>
      <w:r>
        <w:rPr>
          <w:rFonts w:hint="eastAsia" w:ascii="Times New Roman" w:hAnsi="Times New Roman" w:eastAsia="宋体" w:cs="Times New Roman"/>
          <w:szCs w:val="21"/>
          <w:highlight w:val="none"/>
          <w:lang w:val="en-US" w:eastAsia="zh-CN"/>
        </w:rPr>
        <w:t>3. Pour les services fournis à l’Acheteur, l’Attributaire facture le prix des billets, les frais de modification ou de remboursement, les frais de service d’agence, ainsi que les services aéroportuaires complémentaires et VIP. Ces frais sont déterminés comme suit :</w:t>
      </w:r>
    </w:p>
    <w:p w14:paraId="7186E2BD">
      <w:pPr>
        <w:pStyle w:val="159"/>
        <w:keepNext w:val="0"/>
        <w:keepLines w:val="0"/>
        <w:pageBreakBefore w:val="0"/>
        <w:widowControl w:val="0"/>
        <w:numPr>
          <w:ilvl w:val="0"/>
          <w:numId w:val="0"/>
        </w:numPr>
        <w:tabs>
          <w:tab w:val="left" w:pos="805"/>
        </w:tabs>
        <w:kinsoku/>
        <w:wordWrap/>
        <w:overflowPunct/>
        <w:topLinePunct w:val="0"/>
        <w:autoSpaceDE/>
        <w:autoSpaceDN/>
        <w:bidi w:val="0"/>
        <w:adjustRightInd/>
        <w:snapToGrid w:val="0"/>
        <w:spacing w:line="360" w:lineRule="auto"/>
        <w:ind w:left="0" w:leftChars="0" w:firstLine="422" w:firstLineChars="200"/>
        <w:textAlignment w:val="auto"/>
        <w:rPr>
          <w:rFonts w:hint="eastAsia" w:ascii="宋体" w:hAnsi="宋体" w:eastAsia="宋体"/>
          <w:szCs w:val="21"/>
          <w:highlight w:val="none"/>
        </w:rPr>
      </w:pPr>
      <w:r>
        <w:rPr>
          <w:rFonts w:hint="eastAsia" w:ascii="宋体" w:hAnsi="宋体" w:eastAsia="宋体"/>
          <w:b/>
          <w:bCs/>
          <w:szCs w:val="21"/>
          <w:highlight w:val="none"/>
        </w:rPr>
        <w:t>机票费按照实际出票系统显示的客票金额收取；</w:t>
      </w:r>
    </w:p>
    <w:p w14:paraId="4291381F">
      <w:pPr>
        <w:keepLines w:val="0"/>
        <w:widowControl w:val="0"/>
        <w:tabs>
          <w:tab w:val="left" w:pos="805"/>
        </w:tabs>
        <w:kinsoku/>
        <w:wordWrap/>
        <w:overflowPunct/>
        <w:topLinePunct w:val="0"/>
        <w:autoSpaceDE/>
        <w:autoSpaceDN/>
        <w:bidi w:val="0"/>
        <w:adjustRightInd/>
        <w:snapToGrid w:val="0"/>
        <w:spacing w:line="360" w:lineRule="auto"/>
        <w:ind w:left="0" w:leftChars="0" w:firstLine="422" w:firstLineChars="200"/>
        <w:textAlignment w:val="auto"/>
        <w:rPr>
          <w:rFonts w:hint="eastAsia" w:ascii="宋体" w:hAnsi="宋体" w:eastAsia="宋体"/>
          <w:szCs w:val="21"/>
          <w:highlight w:val="none"/>
        </w:rPr>
      </w:pPr>
      <w:r>
        <w:rPr>
          <w:rFonts w:hint="eastAsia" w:ascii="Times New Roman" w:hAnsi="Times New Roman" w:eastAsia="宋体" w:cs="Times New Roman"/>
          <w:b/>
          <w:bCs/>
          <w:szCs w:val="21"/>
          <w:highlight w:val="none"/>
        </w:rPr>
        <w:t>Le prix du billet est facturé sur la base du montant affiché dans le système de billetterie au moment de l’émission ;</w:t>
      </w:r>
    </w:p>
    <w:p w14:paraId="0A63267A">
      <w:pPr>
        <w:pStyle w:val="159"/>
        <w:keepNext w:val="0"/>
        <w:keepLines w:val="0"/>
        <w:pageBreakBefore w:val="0"/>
        <w:widowControl w:val="0"/>
        <w:numPr>
          <w:ilvl w:val="0"/>
          <w:numId w:val="0"/>
        </w:numPr>
        <w:tabs>
          <w:tab w:val="left" w:pos="805"/>
        </w:tabs>
        <w:kinsoku/>
        <w:wordWrap/>
        <w:overflowPunct/>
        <w:topLinePunct w:val="0"/>
        <w:autoSpaceDE/>
        <w:autoSpaceDN/>
        <w:bidi w:val="0"/>
        <w:adjustRightInd/>
        <w:snapToGrid w:val="0"/>
        <w:spacing w:line="360" w:lineRule="auto"/>
        <w:ind w:left="0" w:leftChars="0" w:firstLine="422" w:firstLineChars="200"/>
        <w:textAlignment w:val="auto"/>
        <w:rPr>
          <w:rFonts w:hint="eastAsia" w:ascii="宋体" w:hAnsi="宋体" w:eastAsia="宋体"/>
          <w:szCs w:val="21"/>
          <w:highlight w:val="none"/>
        </w:rPr>
      </w:pPr>
      <w:r>
        <w:rPr>
          <w:rFonts w:hint="eastAsia" w:ascii="宋体" w:hAnsi="宋体" w:eastAsia="宋体"/>
          <w:b/>
          <w:bCs/>
          <w:szCs w:val="21"/>
          <w:highlight w:val="none"/>
        </w:rPr>
        <w:t>机票退改签费</w:t>
      </w:r>
      <w:r>
        <w:rPr>
          <w:rFonts w:hint="eastAsia" w:ascii="宋体" w:hAnsi="宋体" w:eastAsia="宋体"/>
          <w:szCs w:val="21"/>
          <w:highlight w:val="none"/>
        </w:rPr>
        <w:t>按照航空公司规定收取；</w:t>
      </w:r>
    </w:p>
    <w:p w14:paraId="38F026FF">
      <w:pPr>
        <w:keepLines w:val="0"/>
        <w:widowControl w:val="0"/>
        <w:tabs>
          <w:tab w:val="left" w:pos="805"/>
        </w:tabs>
        <w:kinsoku/>
        <w:wordWrap/>
        <w:overflowPunct/>
        <w:topLinePunct w:val="0"/>
        <w:autoSpaceDE/>
        <w:autoSpaceDN/>
        <w:bidi w:val="0"/>
        <w:adjustRightInd/>
        <w:snapToGrid w:val="0"/>
        <w:spacing w:line="360" w:lineRule="auto"/>
        <w:ind w:left="0" w:leftChars="0" w:firstLine="422" w:firstLineChars="200"/>
        <w:textAlignment w:val="auto"/>
        <w:rPr>
          <w:rFonts w:hint="eastAsia" w:ascii="宋体" w:hAnsi="宋体" w:eastAsia="宋体"/>
          <w:szCs w:val="21"/>
          <w:highlight w:val="none"/>
        </w:rPr>
      </w:pPr>
      <w:r>
        <w:rPr>
          <w:rFonts w:hint="eastAsia" w:ascii="Times New Roman" w:hAnsi="Times New Roman" w:eastAsia="宋体" w:cs="Times New Roman"/>
          <w:b/>
          <w:bCs/>
          <w:szCs w:val="21"/>
          <w:highlight w:val="none"/>
        </w:rPr>
        <w:t>Les frais de modification et de remboursement sont facturés conformément aux règles de la compagnie aérienne ;</w:t>
      </w:r>
    </w:p>
    <w:p w14:paraId="1E19513E">
      <w:pPr>
        <w:pStyle w:val="159"/>
        <w:keepNext w:val="0"/>
        <w:keepLines w:val="0"/>
        <w:pageBreakBefore w:val="0"/>
        <w:widowControl w:val="0"/>
        <w:numPr>
          <w:ilvl w:val="0"/>
          <w:numId w:val="0"/>
        </w:numPr>
        <w:tabs>
          <w:tab w:val="left" w:pos="805"/>
        </w:tabs>
        <w:kinsoku/>
        <w:wordWrap/>
        <w:overflowPunct/>
        <w:topLinePunct w:val="0"/>
        <w:autoSpaceDE/>
        <w:autoSpaceDN/>
        <w:bidi w:val="0"/>
        <w:adjustRightInd/>
        <w:snapToGrid w:val="0"/>
        <w:spacing w:line="360" w:lineRule="auto"/>
        <w:ind w:left="0" w:leftChars="0" w:firstLine="422" w:firstLineChars="200"/>
        <w:textAlignment w:val="auto"/>
        <w:rPr>
          <w:rFonts w:hint="eastAsia" w:ascii="宋体" w:hAnsi="宋体" w:eastAsia="宋体"/>
          <w:szCs w:val="21"/>
          <w:highlight w:val="none"/>
        </w:rPr>
      </w:pPr>
      <w:r>
        <w:rPr>
          <w:rFonts w:hint="eastAsia" w:ascii="宋体" w:hAnsi="宋体" w:eastAsia="宋体"/>
          <w:b/>
          <w:bCs/>
          <w:szCs w:val="21"/>
          <w:highlight w:val="none"/>
        </w:rPr>
        <w:t>代理服务费（含税）按照实际出票系统显示的客票金额×代理服务费率收取（代码共享航班以实际承运航空公司为准），代理服务费率表见响应文件（价格部分文件B）；</w:t>
      </w:r>
    </w:p>
    <w:p w14:paraId="17F00C85">
      <w:pPr>
        <w:keepLines w:val="0"/>
        <w:widowControl w:val="0"/>
        <w:tabs>
          <w:tab w:val="left" w:pos="805"/>
        </w:tabs>
        <w:kinsoku/>
        <w:wordWrap/>
        <w:overflowPunct/>
        <w:topLinePunct w:val="0"/>
        <w:autoSpaceDE/>
        <w:autoSpaceDN/>
        <w:bidi w:val="0"/>
        <w:adjustRightInd/>
        <w:snapToGrid w:val="0"/>
        <w:spacing w:line="360" w:lineRule="auto"/>
        <w:ind w:left="0" w:leftChars="0" w:firstLine="422" w:firstLineChars="200"/>
        <w:textAlignment w:val="auto"/>
        <w:rPr>
          <w:rFonts w:hint="eastAsia" w:ascii="宋体" w:hAnsi="宋体" w:eastAsia="宋体"/>
          <w:szCs w:val="21"/>
          <w:highlight w:val="none"/>
        </w:rPr>
      </w:pPr>
      <w:r>
        <w:rPr>
          <w:rFonts w:hint="eastAsia" w:ascii="Times New Roman" w:hAnsi="Times New Roman" w:eastAsia="宋体" w:cs="Times New Roman"/>
          <w:b/>
          <w:bCs/>
          <w:szCs w:val="21"/>
          <w:highlight w:val="none"/>
        </w:rPr>
        <w:t>Les frais de service d’agence (taxes comprises) sont calculés comme suit : montant du billet affiché dans le système de billetterie au moment de l’émission × taux des frais de service d’agence (pour les vols en partage de code, la compagnie aérienne effectivement opératrice fait foi). Le barème des taux figure dans le dossier de réponse, partie prix, dossier B ;</w:t>
      </w:r>
    </w:p>
    <w:p w14:paraId="77A963E7">
      <w:pPr>
        <w:pStyle w:val="159"/>
        <w:keepNext w:val="0"/>
        <w:keepLines w:val="0"/>
        <w:pageBreakBefore w:val="0"/>
        <w:widowControl w:val="0"/>
        <w:numPr>
          <w:ilvl w:val="0"/>
          <w:numId w:val="0"/>
        </w:numPr>
        <w:tabs>
          <w:tab w:val="left" w:pos="805"/>
        </w:tabs>
        <w:kinsoku/>
        <w:wordWrap/>
        <w:overflowPunct/>
        <w:topLinePunct w:val="0"/>
        <w:autoSpaceDE/>
        <w:autoSpaceDN/>
        <w:bidi w:val="0"/>
        <w:adjustRightInd/>
        <w:snapToGrid w:val="0"/>
        <w:spacing w:line="360" w:lineRule="auto"/>
        <w:ind w:left="0" w:leftChars="0" w:firstLine="422" w:firstLineChars="200"/>
        <w:textAlignment w:val="auto"/>
        <w:rPr>
          <w:rFonts w:hint="eastAsia" w:ascii="宋体" w:hAnsi="宋体" w:eastAsia="宋体"/>
          <w:szCs w:val="21"/>
          <w:highlight w:val="none"/>
        </w:rPr>
      </w:pPr>
      <w:r>
        <w:rPr>
          <w:rFonts w:hint="eastAsia" w:ascii="宋体" w:hAnsi="宋体" w:eastAsia="宋体"/>
          <w:b/>
          <w:bCs/>
          <w:szCs w:val="21"/>
          <w:highlight w:val="none"/>
        </w:rPr>
        <w:t>机场延伸服务及要客服务费（含税）</w:t>
      </w:r>
      <w:r>
        <w:rPr>
          <w:rFonts w:hint="eastAsia" w:ascii="宋体" w:hAnsi="宋体" w:eastAsia="宋体"/>
          <w:szCs w:val="21"/>
          <w:highlight w:val="none"/>
        </w:rPr>
        <w:t>按照机场规定收取。</w:t>
      </w:r>
    </w:p>
    <w:p w14:paraId="7C9A89CD">
      <w:pPr>
        <w:keepLines w:val="0"/>
        <w:widowControl w:val="0"/>
        <w:tabs>
          <w:tab w:val="left" w:pos="805"/>
        </w:tabs>
        <w:kinsoku/>
        <w:wordWrap/>
        <w:overflowPunct/>
        <w:topLinePunct w:val="0"/>
        <w:autoSpaceDE/>
        <w:autoSpaceDN/>
        <w:bidi w:val="0"/>
        <w:adjustRightInd/>
        <w:snapToGrid w:val="0"/>
        <w:spacing w:line="360" w:lineRule="auto"/>
        <w:ind w:left="0" w:leftChars="0" w:firstLine="422" w:firstLineChars="200"/>
        <w:textAlignment w:val="auto"/>
        <w:rPr>
          <w:rFonts w:hint="eastAsia" w:ascii="宋体" w:hAnsi="宋体" w:eastAsia="宋体"/>
          <w:szCs w:val="21"/>
          <w:highlight w:val="none"/>
        </w:rPr>
      </w:pPr>
      <w:r>
        <w:rPr>
          <w:rFonts w:hint="eastAsia" w:ascii="Times New Roman" w:hAnsi="Times New Roman" w:eastAsia="宋体" w:cs="Times New Roman"/>
          <w:b/>
          <w:bCs/>
          <w:szCs w:val="21"/>
          <w:highlight w:val="none"/>
        </w:rPr>
        <w:t>Les services aéroportuaires complémentaires et VIP (taxes comprises) sont facturés conformément aux tarifs de l’aéroport.</w:t>
      </w:r>
    </w:p>
    <w:p w14:paraId="3538BB6E">
      <w:pPr>
        <w:tabs>
          <w:tab w:val="left" w:pos="805"/>
        </w:tabs>
        <w:snapToGrid w:val="0"/>
        <w:spacing w:line="360" w:lineRule="auto"/>
        <w:ind w:left="35"/>
        <w:rPr>
          <w:rFonts w:hint="eastAsia" w:ascii="宋体" w:hAnsi="宋体" w:eastAsia="宋体"/>
          <w:szCs w:val="21"/>
          <w:highlight w:val="none"/>
        </w:rPr>
      </w:pPr>
      <w:r>
        <w:rPr>
          <w:rFonts w:hint="eastAsia" w:ascii="宋体" w:hAnsi="宋体" w:eastAsia="宋体"/>
          <w:szCs w:val="21"/>
          <w:highlight w:val="none"/>
          <w:lang w:val="en-US" w:eastAsia="zh-CN"/>
        </w:rPr>
        <w:t>4.成交人向采购人提供的报销凭证要求详见本采购文件第三章“合同”第四条“票款结算”。</w:t>
      </w:r>
    </w:p>
    <w:p w14:paraId="52087DB9">
      <w:pPr>
        <w:tabs>
          <w:tab w:val="left" w:pos="805"/>
        </w:tabs>
        <w:snapToGrid w:val="0"/>
        <w:spacing w:line="360" w:lineRule="auto"/>
        <w:ind w:left="35"/>
        <w:rPr>
          <w:rFonts w:hint="eastAsia" w:ascii="宋体" w:hAnsi="宋体" w:eastAsia="宋体"/>
          <w:szCs w:val="21"/>
          <w:highlight w:val="none"/>
        </w:rPr>
      </w:pPr>
      <w:r>
        <w:rPr>
          <w:rFonts w:hint="eastAsia" w:ascii="Times New Roman" w:hAnsi="Times New Roman" w:eastAsia="宋体" w:cs="Times New Roman"/>
          <w:szCs w:val="21"/>
          <w:highlight w:val="none"/>
          <w:lang w:val="en-US" w:eastAsia="zh-CN"/>
        </w:rPr>
        <w:t>4. Les exigences relatives aux justificatifs de remboursement fournis par l’Attributaire sont détaillées au chapitre III « Contrat », article IV « Règlement des billets » du présent dossier de consultation.</w:t>
      </w:r>
    </w:p>
    <w:p w14:paraId="342D0B35">
      <w:pPr>
        <w:tabs>
          <w:tab w:val="left" w:pos="805"/>
        </w:tabs>
        <w:snapToGrid w:val="0"/>
        <w:spacing w:line="360" w:lineRule="auto"/>
        <w:ind w:left="35"/>
        <w:rPr>
          <w:rFonts w:hint="eastAsia" w:ascii="宋体" w:hAnsi="宋体" w:eastAsia="宋体"/>
          <w:szCs w:val="21"/>
          <w:highlight w:val="none"/>
        </w:rPr>
      </w:pPr>
      <w:r>
        <w:rPr>
          <w:rFonts w:hint="eastAsia" w:ascii="宋体" w:hAnsi="宋体" w:eastAsia="宋体"/>
          <w:szCs w:val="21"/>
          <w:highlight w:val="none"/>
          <w:lang w:val="en-US" w:eastAsia="zh-CN"/>
        </w:rPr>
        <w:t>5.成交人应具备相应的票款垫付及资金保障能力，并接受按月结算方式。乙方应于每月月末向甲方提供当月实际发生费用的明细账单，双方核对确认后由甲方于次月支付上月应结算费用；成交人在响应文件中作出的更优付款宽限期承诺，应作为合同文件组成部分。</w:t>
      </w:r>
    </w:p>
    <w:p w14:paraId="0EEDE3CD">
      <w:pPr>
        <w:tabs>
          <w:tab w:val="left" w:pos="805"/>
        </w:tabs>
        <w:snapToGrid w:val="0"/>
        <w:spacing w:line="360" w:lineRule="auto"/>
        <w:ind w:left="35"/>
        <w:rPr>
          <w:rFonts w:hint="eastAsia" w:ascii="宋体" w:hAnsi="宋体" w:eastAsia="宋体"/>
          <w:szCs w:val="21"/>
          <w:highlight w:val="none"/>
        </w:rPr>
      </w:pPr>
      <w:r>
        <w:rPr>
          <w:rFonts w:hint="eastAsia" w:ascii="Times New Roman" w:hAnsi="Times New Roman" w:eastAsia="宋体" w:cs="Times New Roman"/>
          <w:szCs w:val="21"/>
          <w:highlight w:val="none"/>
          <w:lang w:val="en-US" w:eastAsia="zh-CN"/>
        </w:rPr>
        <w:t>5. L’Attributaire doit disposer de capacités suffisantes d’avance de trésorerie pour les billets et de garanties financières, et accepter un règlement mensuel. Le Prestataire remet au Client, à la fin de chaque mois, le relevé détaillé des frais effectivement engagés au cours du mois ; après vérification et confirmation par les deux parties, le Client règle au mois suivant les frais dus au titre du mois précédent. Tout engagement du soumissionnaire prévoyant un délai de paiement plus favorable doit être intégré aux documents contractuels.</w:t>
      </w:r>
    </w:p>
    <w:p w14:paraId="378D378E">
      <w:pPr>
        <w:tabs>
          <w:tab w:val="left" w:pos="805"/>
        </w:tabs>
        <w:snapToGrid w:val="0"/>
        <w:spacing w:line="360" w:lineRule="auto"/>
        <w:ind w:left="35"/>
        <w:rPr>
          <w:rFonts w:hint="eastAsia" w:ascii="宋体" w:hAnsi="宋体" w:eastAsia="宋体"/>
          <w:szCs w:val="21"/>
          <w:highlight w:val="none"/>
        </w:rPr>
      </w:pPr>
      <w:r>
        <w:rPr>
          <w:rFonts w:hint="eastAsia" w:ascii="宋体" w:hAnsi="宋体" w:eastAsia="宋体"/>
          <w:szCs w:val="21"/>
          <w:highlight w:val="none"/>
          <w:lang w:val="en-US" w:eastAsia="zh-CN"/>
        </w:rPr>
        <w:t>6.成交人应原则上通过公对公银行转账方式与采购人结算票款和服务费，并提供必要的备用结算方式；特殊情形下，经甲方书面同意，可临时采用支票、刷卡、扫码付款等方式结算。</w:t>
      </w:r>
    </w:p>
    <w:p w14:paraId="074096D7">
      <w:pPr>
        <w:tabs>
          <w:tab w:val="left" w:pos="805"/>
        </w:tabs>
        <w:snapToGrid w:val="0"/>
        <w:spacing w:line="360" w:lineRule="auto"/>
        <w:ind w:left="35"/>
        <w:rPr>
          <w:rFonts w:hint="eastAsia" w:ascii="宋体" w:hAnsi="宋体" w:eastAsia="宋体"/>
          <w:szCs w:val="21"/>
          <w:highlight w:val="none"/>
        </w:rPr>
      </w:pPr>
      <w:r>
        <w:rPr>
          <w:rFonts w:hint="eastAsia" w:ascii="Times New Roman" w:hAnsi="Times New Roman" w:eastAsia="宋体" w:cs="Times New Roman"/>
          <w:szCs w:val="21"/>
          <w:highlight w:val="none"/>
          <w:lang w:val="en-US" w:eastAsia="zh-CN"/>
        </w:rPr>
        <w:t>6. En principe, le règlement du prix des billets et des frais de service entre l’Attributaire et l’Acheteur s’effectue par virement bancaire entre comptes d’entreprise. L’Attributaire doit également prévoir les modes de paiement alternatifs nécessaires ; dans des circonstances particulières et avec l’accord écrit de l’Acheteur, le règlement peut temporairement être effectué par chèque, carte bancaire, paiement par code QR ou tout autre moyen convenu.</w:t>
      </w:r>
    </w:p>
    <w:p w14:paraId="17ECEA8E">
      <w:pPr>
        <w:tabs>
          <w:tab w:val="left" w:pos="805"/>
        </w:tabs>
        <w:snapToGrid w:val="0"/>
        <w:spacing w:line="360" w:lineRule="auto"/>
        <w:ind w:left="35"/>
        <w:rPr>
          <w:rFonts w:hint="eastAsia" w:ascii="宋体" w:hAnsi="宋体" w:eastAsia="宋体"/>
          <w:szCs w:val="21"/>
          <w:highlight w:val="none"/>
          <w:lang w:val="en-US" w:eastAsia="zh-CN"/>
        </w:rPr>
      </w:pPr>
      <w:r>
        <w:rPr>
          <w:rFonts w:hint="eastAsia" w:ascii="宋体" w:hAnsi="宋体" w:eastAsia="宋体"/>
          <w:szCs w:val="21"/>
          <w:highlight w:val="none"/>
          <w:lang w:val="en-US" w:eastAsia="zh-CN"/>
        </w:rPr>
        <w:t>7.采购人有权通过航空公司官方网站、官方App、航旅纵横等具备票价查询功能的平台或其他合法、可靠的第三方渠道，对成交人提供的机票价格及代理服务费收取情况进行不定期核验。若核验发现成交人实际收取的代理服务费率与合同约定费率相差超过10%，计为1次异常。连续出现超过3次异常的，采购人有权要求成交人赔偿因此造成的损失；合同履行期间累计出现超过5次异常的，采购人有权单方解除合同并追究成交人的违约责任。</w:t>
      </w:r>
    </w:p>
    <w:p w14:paraId="1737D99C">
      <w:pPr>
        <w:tabs>
          <w:tab w:val="left" w:pos="805"/>
        </w:tabs>
        <w:snapToGrid w:val="0"/>
        <w:spacing w:line="360" w:lineRule="auto"/>
        <w:ind w:left="35"/>
        <w:rPr>
          <w:rFonts w:hint="eastAsia" w:ascii="宋体" w:hAnsi="宋体" w:eastAsia="宋体"/>
          <w:szCs w:val="21"/>
          <w:highlight w:val="none"/>
          <w:lang w:val="en-US" w:eastAsia="zh-CN"/>
        </w:rPr>
      </w:pPr>
      <w:r>
        <w:rPr>
          <w:rFonts w:hint="eastAsia" w:ascii="Times New Roman" w:hAnsi="Times New Roman" w:eastAsia="宋体" w:cs="Times New Roman"/>
          <w:szCs w:val="21"/>
          <w:highlight w:val="none"/>
          <w:lang w:val="en-US" w:eastAsia="zh-CN"/>
        </w:rPr>
        <w:t>7. L’Acheteur est en droit de vérifier périodiquement, par l’intermédiaire des sites officiels ou applications officielles des compagnies aériennes, d’Umetrip ou d’autres canaux tiers légaux et fiables permettant la consultation des tarifs, les prix des billets et les frais de service d’agence facturés par l’Attributaire. Si la vérification révèle que le taux de frais de service effectivement facturé diffère de plus de 10 % du taux contractuel, cela constitue une anomalie. En cas de plus de trois anomalies consécutives, l’Acheteur peut exiger l’indemnisation du préjudice qui en résulte ; si plus de cinq anomalies sont constatées au total pendant l’exécution du contrat, l’Acheteur peut résilier unilatéralement le contrat et engager la responsabilité contractuelle de l’Attributaire.</w:t>
      </w:r>
    </w:p>
    <w:p w14:paraId="0ED83313">
      <w:pPr>
        <w:tabs>
          <w:tab w:val="left" w:pos="805"/>
        </w:tabs>
        <w:snapToGrid w:val="0"/>
        <w:spacing w:line="360" w:lineRule="auto"/>
        <w:ind w:left="35"/>
        <w:rPr>
          <w:rFonts w:hint="eastAsia" w:ascii="宋体" w:hAnsi="宋体" w:eastAsia="宋体"/>
          <w:szCs w:val="21"/>
          <w:highlight w:val="none"/>
        </w:rPr>
      </w:pPr>
      <w:r>
        <w:rPr>
          <w:rFonts w:hint="eastAsia" w:ascii="宋体" w:hAnsi="宋体" w:eastAsia="宋体"/>
          <w:szCs w:val="21"/>
          <w:highlight w:val="none"/>
          <w:lang w:val="en-US" w:eastAsia="zh-CN"/>
        </w:rPr>
        <w:t>8.成交人应严格遵守几内亚共和国现行有效的法律法规、民航主管部门及其他有权监管机构的相关规定，并遵守适用的国际航空运输规则、航空公司销售代理政策及其与航空公司签署的销售代理协议。禁止向采购人销售里程兑换票、违规拆分或转售团队票、通过买长乘短等方式规避正常票价规则，未经采购人同意不得退高买低或通过非约定第三方渠道出票，不得实施其他损害采购人合法权益的违规行为。</w:t>
      </w:r>
    </w:p>
    <w:p w14:paraId="50BE8146">
      <w:pPr>
        <w:tabs>
          <w:tab w:val="left" w:pos="805"/>
        </w:tabs>
        <w:snapToGrid w:val="0"/>
        <w:spacing w:line="360" w:lineRule="auto"/>
        <w:ind w:left="35"/>
        <w:rPr>
          <w:rFonts w:hint="eastAsia" w:ascii="宋体" w:hAnsi="宋体" w:eastAsia="宋体"/>
          <w:szCs w:val="21"/>
          <w:highlight w:val="none"/>
        </w:rPr>
      </w:pPr>
      <w:r>
        <w:rPr>
          <w:rFonts w:hint="eastAsia" w:ascii="Times New Roman" w:hAnsi="Times New Roman" w:eastAsia="宋体" w:cs="Times New Roman"/>
          <w:szCs w:val="21"/>
          <w:highlight w:val="none"/>
          <w:lang w:val="en-US" w:eastAsia="zh-CN"/>
        </w:rPr>
        <w:t>8. L’Attributaire doit respecter strictement les lois et règlements en vigueur en République de Guinée, les dispositions des autorités de l’aviation civile et des autres autorités de contrôle compétentes, ainsi que les règles internationales applicables au transport aérien, les politiques de vente des compagnies aériennes et les contrats d’agence conclus avec celles-ci. Il lui est interdit de vendre à l’Acheteur des billets obtenus par échange de miles, de fractionner ou revendre irrégulièrement des billets de groupe, de contourner les règles tarifaires normales au moyen de pratiques telles que l’achat d’un trajet plus long que celui effectivement utilisé, de remplacer sans accord de l’Acheteur un billet plus cher par un billet moins cher ou d’émettre des billets par des canaux tiers non convenus, ainsi que de commettre tout autre acte irrégulier portant atteinte aux droits et intérêts légitimes de l’Acheteur.</w:t>
      </w:r>
    </w:p>
    <w:p w14:paraId="69D7147F">
      <w:pPr>
        <w:tabs>
          <w:tab w:val="left" w:pos="805"/>
        </w:tabs>
        <w:snapToGrid w:val="0"/>
        <w:spacing w:line="360" w:lineRule="auto"/>
        <w:ind w:left="35"/>
        <w:rPr>
          <w:rFonts w:hint="eastAsia" w:ascii="宋体" w:hAnsi="宋体" w:eastAsia="宋体"/>
          <w:szCs w:val="21"/>
          <w:highlight w:val="none"/>
        </w:rPr>
      </w:pPr>
      <w:r>
        <w:rPr>
          <w:rFonts w:hint="eastAsia" w:ascii="宋体" w:hAnsi="宋体" w:eastAsia="宋体"/>
          <w:szCs w:val="21"/>
          <w:highlight w:val="none"/>
          <w:lang w:val="en-US" w:eastAsia="zh-CN"/>
        </w:rPr>
        <w:t>9.</w:t>
      </w:r>
      <w:r>
        <w:rPr>
          <w:rFonts w:hint="eastAsia" w:ascii="宋体" w:hAnsi="宋体" w:eastAsia="宋体"/>
          <w:szCs w:val="21"/>
          <w:highlight w:val="none"/>
        </w:rPr>
        <w:t>成交人应</w:t>
      </w:r>
      <w:r>
        <w:rPr>
          <w:rFonts w:ascii="宋体" w:hAnsi="宋体" w:eastAsia="宋体"/>
          <w:szCs w:val="21"/>
          <w:highlight w:val="none"/>
        </w:rPr>
        <w:t>遵守</w:t>
      </w:r>
      <w:r>
        <w:rPr>
          <w:rFonts w:hint="eastAsia" w:ascii="宋体" w:hAnsi="宋体" w:eastAsia="宋体"/>
          <w:szCs w:val="21"/>
          <w:highlight w:val="none"/>
        </w:rPr>
        <w:t>采购人</w:t>
      </w:r>
      <w:r>
        <w:rPr>
          <w:rFonts w:ascii="宋体" w:hAnsi="宋体" w:eastAsia="宋体"/>
          <w:szCs w:val="21"/>
          <w:highlight w:val="none"/>
        </w:rPr>
        <w:t>商业制度和各项规章制度，保守</w:t>
      </w:r>
      <w:r>
        <w:rPr>
          <w:rFonts w:hint="eastAsia" w:ascii="宋体" w:hAnsi="宋体" w:eastAsia="宋体"/>
          <w:szCs w:val="21"/>
          <w:highlight w:val="none"/>
        </w:rPr>
        <w:t>采购人</w:t>
      </w:r>
      <w:r>
        <w:rPr>
          <w:rFonts w:ascii="宋体" w:hAnsi="宋体" w:eastAsia="宋体"/>
          <w:szCs w:val="21"/>
          <w:highlight w:val="none"/>
        </w:rPr>
        <w:t>商业秘密</w:t>
      </w:r>
      <w:r>
        <w:rPr>
          <w:rFonts w:hint="eastAsia" w:ascii="宋体" w:hAnsi="宋体" w:eastAsia="宋体"/>
          <w:szCs w:val="21"/>
          <w:highlight w:val="none"/>
        </w:rPr>
        <w:t>、员工个人信息（包含姓名、出入境证件号和手机号码，以下简称“员工名录”）和国际差旅行程信息</w:t>
      </w:r>
      <w:r>
        <w:rPr>
          <w:rFonts w:ascii="宋体" w:hAnsi="宋体" w:eastAsia="宋体"/>
          <w:szCs w:val="21"/>
          <w:highlight w:val="none"/>
        </w:rPr>
        <w:t>，严于律己，廉洁奉公，不以任何形式向采购人</w:t>
      </w:r>
      <w:r>
        <w:rPr>
          <w:rFonts w:hint="eastAsia" w:ascii="宋体" w:hAnsi="宋体" w:eastAsia="宋体"/>
          <w:szCs w:val="21"/>
          <w:highlight w:val="none"/>
        </w:rPr>
        <w:t>员工</w:t>
      </w:r>
      <w:r>
        <w:rPr>
          <w:rFonts w:ascii="宋体" w:hAnsi="宋体" w:eastAsia="宋体"/>
          <w:szCs w:val="21"/>
          <w:highlight w:val="none"/>
        </w:rPr>
        <w:t>提供回扣，防止腐败现象的滋生。</w:t>
      </w:r>
    </w:p>
    <w:p w14:paraId="16420E7F">
      <w:pPr>
        <w:tabs>
          <w:tab w:val="left" w:pos="805"/>
        </w:tabs>
        <w:snapToGrid w:val="0"/>
        <w:spacing w:line="360" w:lineRule="auto"/>
        <w:ind w:left="35"/>
        <w:rPr>
          <w:rFonts w:hint="eastAsia" w:ascii="宋体" w:hAnsi="宋体" w:eastAsia="宋体"/>
          <w:szCs w:val="21"/>
          <w:highlight w:val="none"/>
        </w:rPr>
      </w:pPr>
      <w:r>
        <w:rPr>
          <w:rFonts w:hint="eastAsia" w:ascii="Times New Roman" w:hAnsi="Times New Roman" w:eastAsia="宋体" w:cs="Times New Roman"/>
          <w:szCs w:val="21"/>
          <w:highlight w:val="none"/>
          <w:lang w:val="en-US" w:eastAsia="zh-CN"/>
        </w:rPr>
        <w:t>9. L’Attributaire doit respecter les règles commerciales et les règlements internes de l’Acheteur, préserver les secrets commerciaux de l’Acheteur, les données personnelles de ses salariés (notamment le nom, le numéro du document de voyage et le numéro de téléphone, ci-après la « liste des salariés ») ainsi que les informations relatives aux itinéraires internationaux, observer une conduite intègre et ne verser sous aucune forme de commission occulte aux salariés de l’Acheteur, afin de prévenir tout risque de corruption.</w:t>
      </w:r>
    </w:p>
    <w:p w14:paraId="4FC80E45">
      <w:pPr>
        <w:spacing w:line="400" w:lineRule="exact"/>
        <w:jc w:val="both"/>
        <w:rPr>
          <w:rFonts w:ascii="宋体" w:hAnsi="宋体"/>
          <w:highlight w:val="none"/>
        </w:rPr>
      </w:pPr>
    </w:p>
    <w:p w14:paraId="1FC4A3F9">
      <w:pPr>
        <w:widowControl/>
        <w:jc w:val="left"/>
        <w:rPr>
          <w:rFonts w:ascii="宋体" w:hAnsi="宋体" w:eastAsia="宋体"/>
          <w:highlight w:val="none"/>
        </w:rPr>
      </w:pPr>
    </w:p>
    <w:p w14:paraId="22AF7FD0">
      <w:pPr>
        <w:pStyle w:val="2"/>
        <w:adjustRightInd w:val="0"/>
        <w:snapToGrid w:val="0"/>
        <w:spacing w:before="0" w:after="0" w:line="360" w:lineRule="auto"/>
        <w:jc w:val="center"/>
        <w:rPr>
          <w:rFonts w:ascii="宋体" w:hAnsi="宋体" w:eastAsia="宋体"/>
          <w:b/>
          <w:sz w:val="28"/>
          <w:szCs w:val="28"/>
          <w:highlight w:val="none"/>
        </w:rPr>
        <w:sectPr>
          <w:footerReference r:id="rId10" w:type="default"/>
          <w:pgSz w:w="11906" w:h="16838"/>
          <w:pgMar w:top="1417" w:right="1134" w:bottom="1134" w:left="1417" w:header="851" w:footer="850" w:gutter="0"/>
          <w:pgBorders>
            <w:top w:val="none" w:sz="0" w:space="0"/>
            <w:left w:val="none" w:sz="0" w:space="0"/>
            <w:bottom w:val="none" w:sz="0" w:space="0"/>
            <w:right w:val="none" w:sz="0" w:space="0"/>
          </w:pgBorders>
          <w:pgNumType w:fmt="decimal"/>
          <w:cols w:space="720" w:num="1"/>
          <w:titlePg/>
          <w:rtlGutter w:val="0"/>
          <w:docGrid w:linePitch="312" w:charSpace="0"/>
        </w:sectPr>
      </w:pPr>
    </w:p>
    <w:p w14:paraId="74362B92">
      <w:pPr>
        <w:pStyle w:val="2"/>
        <w:adjustRightInd w:val="0"/>
        <w:snapToGrid w:val="0"/>
        <w:spacing w:before="0" w:after="0" w:line="360" w:lineRule="auto"/>
        <w:jc w:val="center"/>
        <w:rPr>
          <w:rFonts w:hint="default"/>
          <w:b w:val="0"/>
          <w:bCs/>
          <w:highlight w:val="none"/>
          <w:lang w:val="en-US" w:eastAsia="zh-CN"/>
        </w:rPr>
      </w:pPr>
      <w:bookmarkStart w:id="30" w:name="_Toc18869"/>
      <w:r>
        <w:rPr>
          <w:rFonts w:ascii="宋体" w:hAnsi="宋体" w:eastAsia="宋体"/>
          <w:b/>
          <w:sz w:val="28"/>
          <w:szCs w:val="28"/>
          <w:highlight w:val="none"/>
        </w:rPr>
        <w:t>第</w:t>
      </w:r>
      <w:r>
        <w:rPr>
          <w:rFonts w:hint="eastAsia" w:ascii="宋体" w:hAnsi="宋体" w:eastAsia="宋体"/>
          <w:b/>
          <w:sz w:val="28"/>
          <w:szCs w:val="28"/>
          <w:highlight w:val="none"/>
          <w:lang w:val="en-US" w:eastAsia="zh-CN"/>
        </w:rPr>
        <w:t>三</w:t>
      </w:r>
      <w:r>
        <w:rPr>
          <w:rFonts w:ascii="宋体" w:hAnsi="宋体" w:eastAsia="宋体"/>
          <w:b/>
          <w:sz w:val="28"/>
          <w:szCs w:val="28"/>
          <w:highlight w:val="none"/>
        </w:rPr>
        <w:t xml:space="preserve">章 </w:t>
      </w:r>
      <w:r>
        <w:rPr>
          <w:rFonts w:hint="eastAsia" w:ascii="宋体" w:hAnsi="宋体" w:eastAsia="宋体" w:cs="Times New Roman"/>
          <w:b/>
          <w:sz w:val="28"/>
          <w:szCs w:val="28"/>
          <w:highlight w:val="none"/>
          <w:lang w:val="en-US" w:eastAsia="zh-CN"/>
        </w:rPr>
        <w:t>合同</w:t>
      </w:r>
      <w:bookmarkEnd w:id="30"/>
    </w:p>
    <w:p w14:paraId="3581FD25">
      <w:pPr>
        <w:adjustRightInd w:val="0"/>
        <w:snapToGrid w:val="0"/>
        <w:spacing w:before="0" w:after="0" w:line="360" w:lineRule="auto"/>
        <w:jc w:val="center"/>
        <w:rPr>
          <w:rFonts w:hint="default"/>
          <w:b w:val="0"/>
          <w:bCs/>
          <w:highlight w:val="none"/>
          <w:lang w:val="en-US" w:eastAsia="zh-CN"/>
        </w:rPr>
      </w:pPr>
      <w:r>
        <w:rPr>
          <w:rFonts w:ascii="Times New Roman" w:hAnsi="Times New Roman" w:eastAsia="宋体" w:cs="Times New Roman"/>
          <w:b/>
          <w:sz w:val="28"/>
          <w:szCs w:val="28"/>
          <w:highlight w:val="none"/>
        </w:rPr>
        <w:t>Chapitre III – Contrat</w:t>
      </w:r>
    </w:p>
    <w:p w14:paraId="5C1690E9">
      <w:pPr>
        <w:jc w:val="center"/>
        <w:rPr>
          <w:rFonts w:hint="eastAsia"/>
          <w:b/>
          <w:sz w:val="32"/>
          <w:szCs w:val="32"/>
          <w:highlight w:val="none"/>
          <w:lang w:val="zh-CN"/>
        </w:rPr>
      </w:pPr>
      <w:bookmarkStart w:id="31" w:name="_Toc19582"/>
    </w:p>
    <w:p w14:paraId="5BD275C2">
      <w:pPr>
        <w:jc w:val="center"/>
        <w:rPr>
          <w:rFonts w:hint="eastAsia"/>
          <w:b/>
          <w:sz w:val="32"/>
          <w:szCs w:val="32"/>
          <w:highlight w:val="none"/>
          <w:lang w:val="zh-CN"/>
        </w:rPr>
      </w:pPr>
      <w:r>
        <w:rPr>
          <w:rFonts w:hint="eastAsia"/>
          <w:b/>
          <w:sz w:val="32"/>
          <w:szCs w:val="32"/>
          <w:highlight w:val="none"/>
          <w:lang w:val="zh-CN"/>
        </w:rPr>
        <w:t>国家电投国际投资开发（几内亚）有限责任公司</w:t>
      </w:r>
    </w:p>
    <w:p w14:paraId="74C9A115">
      <w:pPr>
        <w:jc w:val="center"/>
        <w:rPr>
          <w:rFonts w:hint="eastAsia"/>
          <w:b/>
          <w:sz w:val="32"/>
          <w:szCs w:val="32"/>
          <w:highlight w:val="none"/>
          <w:lang w:val="zh-CN"/>
        </w:rPr>
      </w:pPr>
      <w:r>
        <w:rPr>
          <w:rFonts w:hint="eastAsia" w:ascii="Times New Roman" w:hAnsi="Times New Roman" w:cs="Times New Roman"/>
          <w:b/>
          <w:sz w:val="32"/>
          <w:szCs w:val="32"/>
          <w:highlight w:val="none"/>
          <w:lang w:val="zh-CN"/>
        </w:rPr>
        <w:t>SPIC International Investment &amp; Development(Guinea) Co.,Ltd</w:t>
      </w:r>
    </w:p>
    <w:p w14:paraId="29341377">
      <w:pPr>
        <w:jc w:val="center"/>
        <w:rPr>
          <w:b/>
          <w:sz w:val="32"/>
          <w:szCs w:val="32"/>
          <w:highlight w:val="none"/>
          <w:lang w:val="zh-CN"/>
        </w:rPr>
      </w:pPr>
      <w:r>
        <w:rPr>
          <w:rFonts w:hint="eastAsia" w:ascii="宋体" w:hAnsi="宋体" w:cs="宋体"/>
          <w:b/>
          <w:bCs/>
          <w:sz w:val="32"/>
          <w:szCs w:val="32"/>
          <w:highlight w:val="none"/>
        </w:rPr>
        <w:t>国际机票代理服务协议</w:t>
      </w:r>
    </w:p>
    <w:p w14:paraId="4468A33F">
      <w:pPr>
        <w:jc w:val="center"/>
        <w:rPr>
          <w:b/>
          <w:sz w:val="32"/>
          <w:szCs w:val="32"/>
          <w:highlight w:val="none"/>
          <w:lang w:val="zh-CN"/>
        </w:rPr>
      </w:pPr>
      <w:r>
        <w:rPr>
          <w:rFonts w:hint="eastAsia" w:ascii="Times New Roman" w:hAnsi="Times New Roman" w:cs="Times New Roman"/>
          <w:b/>
          <w:bCs/>
          <w:sz w:val="32"/>
          <w:szCs w:val="32"/>
          <w:highlight w:val="none"/>
        </w:rPr>
        <w:t>Convention de services d’agence pour billets d’avion internationaux</w:t>
      </w:r>
    </w:p>
    <w:p w14:paraId="13D59D0B">
      <w:pPr>
        <w:rPr>
          <w:highlight w:val="none"/>
          <w:lang w:val="zh-CN"/>
        </w:rPr>
      </w:pPr>
    </w:p>
    <w:p w14:paraId="0BA45DBD">
      <w:pPr>
        <w:spacing w:line="360" w:lineRule="auto"/>
        <w:rPr>
          <w:rFonts w:hint="eastAsia" w:ascii="宋体" w:hAnsi="宋体" w:cs="宋体"/>
          <w:b/>
          <w:bCs/>
          <w:sz w:val="28"/>
          <w:highlight w:val="none"/>
        </w:rPr>
      </w:pPr>
    </w:p>
    <w:p w14:paraId="6ACB94C8">
      <w:pPr>
        <w:spacing w:line="360" w:lineRule="auto"/>
        <w:ind w:left="1687" w:hanging="1687" w:hangingChars="600"/>
        <w:rPr>
          <w:rFonts w:hint="eastAsia" w:ascii="宋体" w:hAnsi="宋体" w:cs="宋体"/>
          <w:b/>
          <w:bCs/>
          <w:sz w:val="28"/>
          <w:highlight w:val="none"/>
        </w:rPr>
      </w:pPr>
    </w:p>
    <w:p w14:paraId="69FB0BC0">
      <w:pPr>
        <w:spacing w:line="360" w:lineRule="auto"/>
        <w:ind w:left="1687" w:hanging="1687" w:hangingChars="600"/>
        <w:rPr>
          <w:rFonts w:hint="eastAsia" w:ascii="宋体" w:hAnsi="宋体" w:cs="宋体"/>
          <w:b/>
          <w:bCs/>
          <w:sz w:val="28"/>
          <w:highlight w:val="none"/>
        </w:rPr>
      </w:pPr>
    </w:p>
    <w:p w14:paraId="1EDEE43D">
      <w:pPr>
        <w:spacing w:line="360" w:lineRule="auto"/>
        <w:ind w:left="1265" w:hanging="1265" w:hangingChars="600"/>
        <w:rPr>
          <w:rFonts w:hint="default" w:ascii="宋体" w:hAnsi="宋体" w:eastAsia="宋体" w:cs="宋体"/>
          <w:b/>
          <w:bCs/>
          <w:szCs w:val="21"/>
          <w:highlight w:val="none"/>
          <w:u w:val="single"/>
          <w:lang w:val="en-US" w:eastAsia="zh-CN"/>
        </w:rPr>
      </w:pPr>
      <w:r>
        <w:rPr>
          <w:rFonts w:hint="eastAsia" w:ascii="宋体" w:hAnsi="宋体" w:cs="宋体"/>
          <w:b/>
          <w:bCs/>
          <w:szCs w:val="21"/>
          <w:highlight w:val="none"/>
        </w:rPr>
        <w:t>甲方：</w:t>
      </w:r>
      <w:r>
        <w:rPr>
          <w:rFonts w:hint="eastAsia" w:ascii="宋体" w:hAnsi="宋体" w:cs="宋体"/>
          <w:b/>
          <w:bCs/>
          <w:szCs w:val="21"/>
          <w:highlight w:val="none"/>
          <w:u w:val="single"/>
        </w:rPr>
        <w:t>国家电投国际投资开发（几内亚）有限责任公司</w:t>
      </w:r>
    </w:p>
    <w:p w14:paraId="3D80D53C">
      <w:pPr>
        <w:spacing w:line="360" w:lineRule="auto"/>
        <w:ind w:left="1265" w:hanging="1265" w:hangingChars="600"/>
        <w:rPr>
          <w:rFonts w:hint="default" w:ascii="宋体" w:hAnsi="宋体" w:eastAsia="宋体" w:cs="宋体"/>
          <w:b/>
          <w:bCs/>
          <w:szCs w:val="21"/>
          <w:highlight w:val="none"/>
          <w:u w:val="single"/>
          <w:lang w:val="en-US" w:eastAsia="zh-CN"/>
        </w:rPr>
      </w:pPr>
      <w:r>
        <w:rPr>
          <w:rFonts w:hint="eastAsia" w:ascii="Times New Roman" w:hAnsi="Times New Roman" w:cs="Times New Roman"/>
          <w:b/>
          <w:bCs/>
          <w:szCs w:val="21"/>
          <w:highlight w:val="none"/>
        </w:rPr>
        <w:t>Client : SPIC International Investment &amp; Development(Guinea) Co.,Ltd</w:t>
      </w:r>
    </w:p>
    <w:p w14:paraId="67C8CE41">
      <w:pPr>
        <w:spacing w:line="360" w:lineRule="auto"/>
        <w:ind w:left="1265" w:hanging="1265" w:hangingChars="600"/>
        <w:rPr>
          <w:rFonts w:hint="eastAsia" w:ascii="宋体" w:hAnsi="宋体" w:cs="宋体"/>
          <w:b/>
          <w:bCs/>
          <w:szCs w:val="21"/>
          <w:highlight w:val="none"/>
          <w:lang w:val="en-US" w:eastAsia="zh-CN"/>
        </w:rPr>
      </w:pPr>
      <w:r>
        <w:rPr>
          <w:rFonts w:hint="eastAsia" w:ascii="宋体" w:hAnsi="宋体" w:cs="宋体"/>
          <w:b/>
          <w:bCs/>
          <w:szCs w:val="21"/>
          <w:highlight w:val="none"/>
        </w:rPr>
        <w:t>工商注册登记证明：</w:t>
      </w:r>
      <w:r>
        <w:rPr>
          <w:rFonts w:hint="eastAsia" w:ascii="宋体" w:hAnsi="宋体" w:cs="宋体"/>
          <w:b/>
          <w:bCs/>
          <w:szCs w:val="21"/>
          <w:highlight w:val="none"/>
          <w:lang w:val="en-US" w:eastAsia="zh-CN"/>
        </w:rPr>
        <w:t>RCCM/GN-TCC.2026.M2.00659</w:t>
      </w:r>
    </w:p>
    <w:p w14:paraId="4BEA1D5C">
      <w:pPr>
        <w:spacing w:line="360" w:lineRule="auto"/>
        <w:ind w:left="1265" w:hanging="1265" w:hangingChars="600"/>
        <w:rPr>
          <w:rFonts w:hint="eastAsia" w:ascii="宋体" w:hAnsi="宋体" w:cs="宋体"/>
          <w:b/>
          <w:bCs/>
          <w:szCs w:val="21"/>
          <w:highlight w:val="none"/>
          <w:lang w:val="en-US" w:eastAsia="zh-CN"/>
        </w:rPr>
      </w:pPr>
      <w:r>
        <w:rPr>
          <w:rFonts w:hint="eastAsia" w:ascii="Times New Roman" w:hAnsi="Times New Roman" w:cs="Times New Roman"/>
          <w:b/>
          <w:bCs/>
          <w:szCs w:val="21"/>
          <w:highlight w:val="none"/>
        </w:rPr>
        <w:t>Immatriculation au RCCM : RCCM/GN-TCC.2026.M2.00659</w:t>
      </w:r>
    </w:p>
    <w:p w14:paraId="400C7EF5">
      <w:pPr>
        <w:spacing w:line="360" w:lineRule="auto"/>
        <w:ind w:left="1265" w:hanging="1265" w:hangingChars="600"/>
        <w:rPr>
          <w:rFonts w:hint="eastAsia" w:ascii="宋体" w:hAnsi="宋体" w:eastAsia="宋体" w:cs="宋体"/>
          <w:b/>
          <w:bCs/>
          <w:szCs w:val="21"/>
          <w:highlight w:val="none"/>
          <w:lang w:val="en-US" w:eastAsia="zh-CN"/>
        </w:rPr>
      </w:pPr>
      <w:r>
        <w:rPr>
          <w:rFonts w:hint="eastAsia" w:ascii="宋体" w:hAnsi="宋体" w:cs="宋体"/>
          <w:b/>
          <w:bCs/>
          <w:szCs w:val="21"/>
          <w:highlight w:val="none"/>
        </w:rPr>
        <w:t>法定代表人：</w:t>
      </w:r>
      <w:r>
        <w:rPr>
          <w:rFonts w:hint="eastAsia" w:ascii="宋体" w:hAnsi="宋体" w:cs="宋体"/>
          <w:b/>
          <w:bCs/>
          <w:szCs w:val="21"/>
          <w:highlight w:val="none"/>
          <w:lang w:val="en-US" w:eastAsia="zh-CN"/>
        </w:rPr>
        <w:t>蒋文多</w:t>
      </w:r>
    </w:p>
    <w:p w14:paraId="16A2DE5B">
      <w:pPr>
        <w:spacing w:line="360" w:lineRule="auto"/>
        <w:ind w:left="1265" w:hanging="1265" w:hangingChars="600"/>
        <w:rPr>
          <w:rFonts w:hint="eastAsia" w:ascii="宋体" w:hAnsi="宋体" w:eastAsia="宋体" w:cs="宋体"/>
          <w:b/>
          <w:bCs/>
          <w:szCs w:val="21"/>
          <w:highlight w:val="none"/>
          <w:lang w:val="en-US" w:eastAsia="zh-CN"/>
        </w:rPr>
      </w:pPr>
      <w:r>
        <w:rPr>
          <w:rFonts w:hint="eastAsia" w:ascii="Times New Roman" w:hAnsi="Times New Roman" w:cs="Times New Roman"/>
          <w:b/>
          <w:bCs/>
          <w:szCs w:val="21"/>
          <w:highlight w:val="none"/>
        </w:rPr>
        <w:t>Représentant légal : Jiang Wenduo</w:t>
      </w:r>
    </w:p>
    <w:p w14:paraId="18CB004B">
      <w:pPr>
        <w:spacing w:line="360" w:lineRule="auto"/>
        <w:ind w:left="1265" w:hanging="1265" w:hangingChars="600"/>
        <w:rPr>
          <w:rFonts w:hint="eastAsia" w:ascii="宋体" w:hAnsi="宋体" w:cs="宋体"/>
          <w:b/>
          <w:bCs/>
          <w:szCs w:val="21"/>
          <w:highlight w:val="none"/>
        </w:rPr>
      </w:pPr>
      <w:r>
        <w:rPr>
          <w:rFonts w:hint="eastAsia" w:ascii="宋体" w:hAnsi="宋体" w:cs="宋体"/>
          <w:b/>
          <w:bCs/>
          <w:szCs w:val="21"/>
          <w:highlight w:val="none"/>
        </w:rPr>
        <w:t>联系人：</w:t>
      </w:r>
      <w:r>
        <w:rPr>
          <w:rFonts w:hint="eastAsia" w:ascii="宋体" w:hAnsi="宋体" w:cs="宋体"/>
          <w:b/>
          <w:bCs/>
          <w:szCs w:val="21"/>
          <w:highlight w:val="none"/>
          <w:u w:val="single"/>
        </w:rPr>
        <w:t xml:space="preserve">  </w:t>
      </w:r>
      <w:r>
        <w:rPr>
          <w:rFonts w:ascii="宋体" w:hAnsi="宋体" w:cs="宋体"/>
          <w:b/>
          <w:bCs/>
          <w:szCs w:val="21"/>
          <w:highlight w:val="none"/>
          <w:u w:val="single"/>
        </w:rPr>
        <w:t xml:space="preserve">                    </w:t>
      </w:r>
    </w:p>
    <w:p w14:paraId="34E8C9D6">
      <w:pPr>
        <w:spacing w:line="360" w:lineRule="auto"/>
        <w:ind w:left="1265" w:hanging="1265" w:hangingChars="600"/>
        <w:rPr>
          <w:rFonts w:hint="eastAsia" w:ascii="宋体" w:hAnsi="宋体" w:cs="宋体"/>
          <w:b/>
          <w:bCs/>
          <w:szCs w:val="21"/>
          <w:highlight w:val="none"/>
        </w:rPr>
      </w:pPr>
      <w:r>
        <w:rPr>
          <w:rFonts w:hint="eastAsia" w:ascii="Times New Roman" w:hAnsi="Times New Roman" w:cs="Times New Roman"/>
          <w:b/>
          <w:bCs/>
          <w:szCs w:val="21"/>
          <w:highlight w:val="none"/>
        </w:rPr>
        <w:t>Contact :</w:t>
      </w:r>
    </w:p>
    <w:p w14:paraId="7D0BDB8F">
      <w:pPr>
        <w:spacing w:line="360" w:lineRule="auto"/>
        <w:ind w:left="1265" w:hanging="1265" w:hangingChars="600"/>
        <w:rPr>
          <w:rFonts w:hint="eastAsia" w:ascii="宋体" w:hAnsi="宋体" w:cs="宋体"/>
          <w:b/>
          <w:bCs/>
          <w:szCs w:val="21"/>
          <w:highlight w:val="none"/>
          <w:u w:val="single"/>
        </w:rPr>
      </w:pPr>
      <w:r>
        <w:rPr>
          <w:rFonts w:hint="eastAsia" w:ascii="宋体" w:hAnsi="宋体" w:cs="宋体"/>
          <w:b/>
          <w:bCs/>
          <w:szCs w:val="21"/>
          <w:highlight w:val="none"/>
        </w:rPr>
        <w:t>联系电话：</w:t>
      </w:r>
      <w:r>
        <w:rPr>
          <w:rFonts w:ascii="宋体" w:hAnsi="宋体" w:cs="宋体"/>
          <w:b/>
          <w:bCs/>
          <w:szCs w:val="21"/>
          <w:highlight w:val="none"/>
          <w:u w:val="single"/>
        </w:rPr>
        <w:t xml:space="preserve">                    </w:t>
      </w:r>
    </w:p>
    <w:p w14:paraId="52B57EDA">
      <w:pPr>
        <w:spacing w:line="360" w:lineRule="auto"/>
        <w:ind w:left="1265" w:hanging="1265" w:hangingChars="600"/>
        <w:rPr>
          <w:rFonts w:hint="eastAsia" w:ascii="宋体" w:hAnsi="宋体" w:cs="宋体"/>
          <w:b/>
          <w:bCs/>
          <w:szCs w:val="21"/>
          <w:highlight w:val="none"/>
          <w:u w:val="single"/>
        </w:rPr>
      </w:pPr>
      <w:r>
        <w:rPr>
          <w:rFonts w:hint="eastAsia" w:ascii="Times New Roman" w:hAnsi="Times New Roman" w:cs="Times New Roman"/>
          <w:b/>
          <w:bCs/>
          <w:szCs w:val="21"/>
          <w:highlight w:val="none"/>
        </w:rPr>
        <w:t>Téléphone :</w:t>
      </w:r>
    </w:p>
    <w:p w14:paraId="0BF740E8">
      <w:pPr>
        <w:spacing w:line="360" w:lineRule="auto"/>
        <w:ind w:left="1265" w:hanging="1265" w:hangingChars="600"/>
        <w:rPr>
          <w:rFonts w:hint="eastAsia" w:ascii="宋体" w:hAnsi="宋体" w:cs="宋体"/>
          <w:b/>
          <w:bCs/>
          <w:szCs w:val="21"/>
          <w:highlight w:val="none"/>
        </w:rPr>
      </w:pPr>
    </w:p>
    <w:p w14:paraId="31BE09DF">
      <w:pPr>
        <w:spacing w:line="360" w:lineRule="auto"/>
        <w:ind w:left="1265" w:hanging="1265" w:hangingChars="600"/>
        <w:rPr>
          <w:rFonts w:hint="eastAsia" w:ascii="宋体" w:hAnsi="宋体" w:cs="宋体"/>
          <w:b/>
          <w:bCs/>
          <w:szCs w:val="21"/>
          <w:highlight w:val="none"/>
        </w:rPr>
      </w:pPr>
    </w:p>
    <w:p w14:paraId="286D3BAB">
      <w:pPr>
        <w:spacing w:line="360" w:lineRule="auto"/>
        <w:ind w:left="1265" w:hanging="1265" w:hangingChars="600"/>
        <w:rPr>
          <w:rFonts w:hint="eastAsia" w:ascii="宋体" w:hAnsi="宋体" w:cs="宋体"/>
          <w:b/>
          <w:bCs/>
          <w:szCs w:val="21"/>
          <w:highlight w:val="none"/>
          <w:u w:val="single"/>
        </w:rPr>
      </w:pPr>
      <w:r>
        <w:rPr>
          <w:rFonts w:hint="eastAsia" w:ascii="宋体" w:hAnsi="宋体" w:cs="宋体"/>
          <w:b/>
          <w:bCs/>
          <w:szCs w:val="21"/>
          <w:highlight w:val="none"/>
        </w:rPr>
        <w:t xml:space="preserve">乙方： </w:t>
      </w:r>
      <w:r>
        <w:rPr>
          <w:rFonts w:ascii="宋体" w:hAnsi="宋体" w:cs="宋体"/>
          <w:b/>
          <w:bCs/>
          <w:szCs w:val="21"/>
          <w:highlight w:val="none"/>
          <w:u w:val="single"/>
        </w:rPr>
        <w:t xml:space="preserve">                       </w:t>
      </w:r>
    </w:p>
    <w:p w14:paraId="48E1C0C5">
      <w:pPr>
        <w:spacing w:line="360" w:lineRule="auto"/>
        <w:ind w:left="1265" w:hanging="1265" w:hangingChars="600"/>
        <w:rPr>
          <w:rFonts w:hint="eastAsia" w:ascii="宋体" w:hAnsi="宋体" w:cs="宋体"/>
          <w:b/>
          <w:bCs/>
          <w:szCs w:val="21"/>
          <w:highlight w:val="none"/>
          <w:u w:val="single"/>
        </w:rPr>
      </w:pPr>
      <w:r>
        <w:rPr>
          <w:rFonts w:hint="eastAsia" w:ascii="Times New Roman" w:hAnsi="Times New Roman" w:cs="Times New Roman"/>
          <w:b/>
          <w:bCs/>
          <w:szCs w:val="21"/>
          <w:highlight w:val="none"/>
        </w:rPr>
        <w:t>Prestataire :</w:t>
      </w:r>
    </w:p>
    <w:p w14:paraId="10BB6D5F">
      <w:pPr>
        <w:spacing w:line="360" w:lineRule="auto"/>
        <w:ind w:left="1265" w:hanging="1265" w:hangingChars="600"/>
        <w:rPr>
          <w:rFonts w:hint="eastAsia" w:ascii="宋体" w:hAnsi="宋体" w:cs="宋体"/>
          <w:b/>
          <w:bCs/>
          <w:szCs w:val="21"/>
          <w:highlight w:val="none"/>
        </w:rPr>
      </w:pPr>
      <w:r>
        <w:rPr>
          <w:rFonts w:hint="eastAsia" w:ascii="宋体" w:hAnsi="宋体" w:cs="宋体"/>
          <w:b/>
          <w:bCs/>
          <w:szCs w:val="21"/>
          <w:highlight w:val="none"/>
        </w:rPr>
        <w:t>工商注册登记证明：</w:t>
      </w:r>
      <w:r>
        <w:rPr>
          <w:rFonts w:ascii="宋体" w:hAnsi="宋体" w:cs="宋体"/>
          <w:b/>
          <w:bCs/>
          <w:szCs w:val="21"/>
          <w:highlight w:val="none"/>
          <w:u w:val="single"/>
        </w:rPr>
        <w:t xml:space="preserve">            </w:t>
      </w:r>
    </w:p>
    <w:p w14:paraId="73400022">
      <w:pPr>
        <w:spacing w:line="360" w:lineRule="auto"/>
        <w:ind w:left="1265" w:hanging="1265" w:hangingChars="600"/>
        <w:rPr>
          <w:rFonts w:hint="eastAsia" w:ascii="宋体" w:hAnsi="宋体" w:cs="宋体"/>
          <w:b/>
          <w:bCs/>
          <w:szCs w:val="21"/>
          <w:highlight w:val="none"/>
        </w:rPr>
      </w:pPr>
      <w:r>
        <w:rPr>
          <w:rFonts w:hint="eastAsia" w:ascii="Times New Roman" w:hAnsi="Times New Roman" w:cs="Times New Roman"/>
          <w:b/>
          <w:bCs/>
          <w:szCs w:val="21"/>
          <w:highlight w:val="none"/>
        </w:rPr>
        <w:t>Immatriculation au RCCM :</w:t>
      </w:r>
    </w:p>
    <w:p w14:paraId="7F525792">
      <w:pPr>
        <w:spacing w:line="360" w:lineRule="auto"/>
        <w:ind w:left="1265" w:hanging="1265" w:hangingChars="600"/>
        <w:rPr>
          <w:rFonts w:hint="eastAsia" w:ascii="宋体" w:hAnsi="宋体" w:cs="宋体"/>
          <w:b/>
          <w:bCs/>
          <w:szCs w:val="21"/>
          <w:highlight w:val="none"/>
        </w:rPr>
      </w:pPr>
      <w:r>
        <w:rPr>
          <w:rFonts w:hint="eastAsia" w:ascii="宋体" w:hAnsi="宋体" w:cs="宋体"/>
          <w:b/>
          <w:bCs/>
          <w:szCs w:val="21"/>
          <w:highlight w:val="none"/>
        </w:rPr>
        <w:t>法定代表人：</w:t>
      </w:r>
      <w:r>
        <w:rPr>
          <w:rFonts w:ascii="宋体" w:hAnsi="宋体" w:cs="宋体"/>
          <w:b/>
          <w:bCs/>
          <w:szCs w:val="21"/>
          <w:highlight w:val="none"/>
          <w:u w:val="single"/>
        </w:rPr>
        <w:t xml:space="preserve">                  </w:t>
      </w:r>
    </w:p>
    <w:p w14:paraId="20BC36F3">
      <w:pPr>
        <w:spacing w:line="360" w:lineRule="auto"/>
        <w:ind w:left="1265" w:hanging="1265" w:hangingChars="600"/>
        <w:rPr>
          <w:rFonts w:hint="eastAsia" w:ascii="宋体" w:hAnsi="宋体" w:cs="宋体"/>
          <w:b/>
          <w:bCs/>
          <w:szCs w:val="21"/>
          <w:highlight w:val="none"/>
        </w:rPr>
      </w:pPr>
      <w:r>
        <w:rPr>
          <w:rFonts w:hint="eastAsia" w:ascii="Times New Roman" w:hAnsi="Times New Roman" w:cs="Times New Roman"/>
          <w:b/>
          <w:bCs/>
          <w:szCs w:val="21"/>
          <w:highlight w:val="none"/>
        </w:rPr>
        <w:t>Représentant légal :</w:t>
      </w:r>
    </w:p>
    <w:p w14:paraId="5D16ED74">
      <w:pPr>
        <w:spacing w:line="360" w:lineRule="auto"/>
        <w:ind w:left="1265" w:hanging="1265" w:hangingChars="600"/>
        <w:rPr>
          <w:rFonts w:hint="eastAsia" w:ascii="宋体" w:hAnsi="宋体" w:cs="宋体"/>
          <w:b/>
          <w:bCs/>
          <w:szCs w:val="21"/>
          <w:highlight w:val="none"/>
        </w:rPr>
      </w:pPr>
      <w:r>
        <w:rPr>
          <w:rFonts w:hint="eastAsia" w:ascii="宋体" w:hAnsi="宋体" w:cs="宋体"/>
          <w:b/>
          <w:bCs/>
          <w:szCs w:val="21"/>
          <w:highlight w:val="none"/>
        </w:rPr>
        <w:t>联系人：</w:t>
      </w:r>
      <w:r>
        <w:rPr>
          <w:rFonts w:ascii="宋体" w:hAnsi="宋体" w:cs="宋体"/>
          <w:b/>
          <w:bCs/>
          <w:szCs w:val="21"/>
          <w:highlight w:val="none"/>
          <w:u w:val="single"/>
        </w:rPr>
        <w:t xml:space="preserve">                      </w:t>
      </w:r>
    </w:p>
    <w:p w14:paraId="508FA21B">
      <w:pPr>
        <w:spacing w:line="360" w:lineRule="auto"/>
        <w:ind w:left="1265" w:hanging="1265" w:hangingChars="600"/>
        <w:rPr>
          <w:rFonts w:hint="eastAsia" w:ascii="宋体" w:hAnsi="宋体" w:cs="宋体"/>
          <w:b/>
          <w:bCs/>
          <w:szCs w:val="21"/>
          <w:highlight w:val="none"/>
        </w:rPr>
      </w:pPr>
      <w:r>
        <w:rPr>
          <w:rFonts w:hint="eastAsia" w:ascii="Times New Roman" w:hAnsi="Times New Roman" w:cs="Times New Roman"/>
          <w:b/>
          <w:bCs/>
          <w:szCs w:val="21"/>
          <w:highlight w:val="none"/>
        </w:rPr>
        <w:t>Contact :</w:t>
      </w:r>
    </w:p>
    <w:p w14:paraId="43D785FE">
      <w:pPr>
        <w:spacing w:line="360" w:lineRule="auto"/>
        <w:ind w:left="1265" w:hanging="1265" w:hangingChars="600"/>
        <w:rPr>
          <w:rFonts w:hint="eastAsia" w:ascii="宋体" w:hAnsi="宋体" w:cs="宋体"/>
          <w:b/>
          <w:bCs/>
          <w:szCs w:val="21"/>
          <w:highlight w:val="none"/>
        </w:rPr>
      </w:pPr>
      <w:r>
        <w:rPr>
          <w:rFonts w:hint="eastAsia" w:ascii="宋体" w:hAnsi="宋体" w:cs="宋体"/>
          <w:b/>
          <w:bCs/>
          <w:szCs w:val="21"/>
          <w:highlight w:val="none"/>
        </w:rPr>
        <w:t>联系电话：</w:t>
      </w:r>
      <w:r>
        <w:rPr>
          <w:rFonts w:ascii="宋体" w:hAnsi="宋体" w:cs="宋体"/>
          <w:b/>
          <w:bCs/>
          <w:szCs w:val="21"/>
          <w:highlight w:val="none"/>
          <w:u w:val="single"/>
        </w:rPr>
        <w:t xml:space="preserve">                    </w:t>
      </w:r>
    </w:p>
    <w:p w14:paraId="534353EA">
      <w:pPr>
        <w:spacing w:line="360" w:lineRule="auto"/>
        <w:ind w:left="1265" w:hanging="1265" w:hangingChars="600"/>
        <w:rPr>
          <w:rFonts w:hint="eastAsia" w:ascii="宋体" w:hAnsi="宋体" w:cs="宋体"/>
          <w:b/>
          <w:bCs/>
          <w:szCs w:val="21"/>
          <w:highlight w:val="none"/>
        </w:rPr>
      </w:pPr>
      <w:r>
        <w:rPr>
          <w:rFonts w:hint="eastAsia" w:ascii="Times New Roman" w:hAnsi="Times New Roman" w:cs="Times New Roman"/>
          <w:b/>
          <w:bCs/>
          <w:szCs w:val="21"/>
          <w:highlight w:val="none"/>
        </w:rPr>
        <w:t>Téléphone :</w:t>
      </w:r>
    </w:p>
    <w:p w14:paraId="0D2BBB4D">
      <w:pPr>
        <w:widowControl/>
        <w:jc w:val="left"/>
        <w:rPr>
          <w:rFonts w:hint="eastAsia" w:ascii="宋体" w:hAnsi="宋体" w:cs="宋体"/>
          <w:szCs w:val="21"/>
          <w:highlight w:val="none"/>
        </w:rPr>
      </w:pPr>
      <w:r>
        <w:rPr>
          <w:rFonts w:hint="eastAsia" w:ascii="宋体" w:hAnsi="宋体" w:cs="宋体"/>
          <w:szCs w:val="21"/>
          <w:highlight w:val="none"/>
        </w:rPr>
        <w:br w:type="page"/>
      </w:r>
    </w:p>
    <w:p w14:paraId="678627F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根据几内亚共和国现行有效的法律法规，甲乙双方在平等、自愿、公平、诚实信用的基础上，就国际机票代理服务事宜达成一致，并同意按如下条款签订本协议：</w:t>
      </w:r>
    </w:p>
    <w:p w14:paraId="68413CB3">
      <w:pPr>
        <w:keepNext w:val="0"/>
        <w:keepLines w:val="0"/>
        <w:pageBreakBefore w:val="0"/>
        <w:kinsoku/>
        <w:wordWrap/>
        <w:overflowPunct/>
        <w:topLinePunct w:val="0"/>
        <w:autoSpaceDE/>
        <w:autoSpaceDN/>
        <w:bidi w:val="0"/>
        <w:adjustRightInd/>
        <w:snapToGrid w:val="0"/>
        <w:spacing w:line="240" w:lineRule="atLeast"/>
        <w:ind w:left="0" w:leftChars="0" w:right="202" w:firstLine="480" w:firstLineChars="200"/>
        <w:textAlignment w:val="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Conformément aux lois et règlements en vigueur en République de Guinée, le Client et le Prestataire, sur la base de l’égalité, du libre consentement, de l’équité et de la bonne foi, sont convenus des services d’agence pour billets d’avion internationaux et concluent la présente convention selon les clauses suivantes :</w:t>
      </w:r>
    </w:p>
    <w:p w14:paraId="66173552">
      <w:pPr>
        <w:pStyle w:val="2"/>
        <w:tabs>
          <w:tab w:val="left" w:pos="720"/>
        </w:tabs>
        <w:spacing w:line="360" w:lineRule="auto"/>
        <w:rPr>
          <w:rFonts w:hint="eastAsia"/>
        </w:rPr>
      </w:pPr>
      <w:bookmarkStart w:id="32" w:name="_Toc25093"/>
      <w:r>
        <w:rPr>
          <w:rFonts w:hint="eastAsia" w:ascii="宋体" w:hAnsi="宋体" w:cs="宋体"/>
          <w:sz w:val="21"/>
          <w:szCs w:val="21"/>
          <w:highlight w:val="none"/>
        </w:rPr>
        <w:t>一、服务内容</w:t>
      </w:r>
      <w:bookmarkEnd w:id="32"/>
    </w:p>
    <w:p w14:paraId="04F000EF">
      <w:pPr>
        <w:tabs>
          <w:tab w:val="left" w:pos="720"/>
        </w:tabs>
        <w:spacing w:line="360" w:lineRule="auto"/>
        <w:rPr>
          <w:rFonts w:hint="eastAsia"/>
        </w:rPr>
      </w:pPr>
      <w:r>
        <w:rPr>
          <w:rFonts w:hint="eastAsia" w:ascii="Times New Roman" w:hAnsi="Times New Roman" w:cs="Times New Roman"/>
          <w:sz w:val="21"/>
          <w:szCs w:val="21"/>
          <w:highlight w:val="none"/>
        </w:rPr>
        <w:t>I. Contenu des services</w:t>
      </w:r>
    </w:p>
    <w:p w14:paraId="1277893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乙方应根据甲方的需要和要求向甲方提供国际机票咨询、预订、出票</w:t>
      </w:r>
      <w:r>
        <w:rPr>
          <w:rFonts w:ascii="宋体" w:hAnsi="宋体" w:cs="宋体"/>
          <w:szCs w:val="21"/>
          <w:highlight w:val="none"/>
        </w:rPr>
        <w:t>、退改签</w:t>
      </w:r>
      <w:r>
        <w:rPr>
          <w:rFonts w:hint="eastAsia" w:ascii="宋体" w:hAnsi="宋体" w:cs="宋体"/>
          <w:szCs w:val="21"/>
          <w:highlight w:val="none"/>
        </w:rPr>
        <w:t>等国际机票全流程跟踪保障服务及相关增值服务。具体服务范围如下：</w:t>
      </w:r>
      <w:r>
        <w:rPr>
          <w:rFonts w:ascii="宋体" w:hAnsi="宋体" w:cs="宋体"/>
          <w:szCs w:val="21"/>
          <w:highlight w:val="none"/>
        </w:rPr>
        <w:t xml:space="preserve"> </w:t>
      </w:r>
    </w:p>
    <w:p w14:paraId="6E72A276">
      <w:pPr>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Le Prestataire fournit au Client, en fonction de ses besoins et exigences, des services complets de suivi et d’assistance pour les billets d’avion internationaux, notamment le conseil, la réservation, l’émission, la modification et le remboursement, ainsi que les services à valeur ajoutée correspondants. Le périmètre détaillé est le suivant :</w:t>
      </w:r>
    </w:p>
    <w:p w14:paraId="6DFC7B25">
      <w:pPr>
        <w:pStyle w:val="3"/>
        <w:spacing w:line="360" w:lineRule="auto"/>
        <w:jc w:val="left"/>
        <w:rPr>
          <w:rFonts w:hint="eastAsia" w:ascii="宋体" w:hAnsi="宋体" w:eastAsia="宋体"/>
          <w:sz w:val="21"/>
          <w:szCs w:val="21"/>
          <w:highlight w:val="none"/>
        </w:rPr>
      </w:pPr>
      <w:bookmarkStart w:id="33" w:name="_Toc25384"/>
      <w:r>
        <w:rPr>
          <w:rFonts w:hint="eastAsia" w:ascii="宋体" w:hAnsi="宋体" w:eastAsia="宋体"/>
          <w:sz w:val="21"/>
          <w:szCs w:val="21"/>
          <w:highlight w:val="none"/>
        </w:rPr>
        <w:t>1</w:t>
      </w:r>
      <w:r>
        <w:rPr>
          <w:rFonts w:ascii="宋体" w:hAnsi="宋体" w:eastAsia="宋体"/>
          <w:sz w:val="21"/>
          <w:szCs w:val="21"/>
          <w:highlight w:val="none"/>
        </w:rPr>
        <w:t>.1</w:t>
      </w:r>
      <w:r>
        <w:rPr>
          <w:rFonts w:hint="eastAsia" w:ascii="宋体" w:hAnsi="宋体" w:eastAsia="宋体"/>
          <w:sz w:val="21"/>
          <w:szCs w:val="21"/>
          <w:highlight w:val="none"/>
        </w:rPr>
        <w:t>国际机票咨询及订购服务：</w:t>
      </w:r>
      <w:bookmarkEnd w:id="33"/>
    </w:p>
    <w:p w14:paraId="059AB0A9">
      <w:pPr>
        <w:spacing w:line="360" w:lineRule="auto"/>
        <w:jc w:val="left"/>
        <w:rPr>
          <w:rFonts w:hint="eastAsia" w:ascii="宋体" w:hAnsi="宋体" w:eastAsia="宋体"/>
          <w:sz w:val="21"/>
          <w:szCs w:val="21"/>
          <w:highlight w:val="none"/>
        </w:rPr>
      </w:pPr>
      <w:r>
        <w:rPr>
          <w:rFonts w:hint="eastAsia" w:ascii="Times New Roman" w:hAnsi="Times New Roman" w:eastAsia="宋体" w:cs="Times New Roman"/>
          <w:sz w:val="21"/>
          <w:szCs w:val="21"/>
          <w:highlight w:val="none"/>
        </w:rPr>
        <w:t>1.1 Services de conseil et d’achat de billets d’avion internationaux :</w:t>
      </w:r>
    </w:p>
    <w:p w14:paraId="01B20A5D">
      <w:pPr>
        <w:numPr>
          <w:ilvl w:val="0"/>
          <w:numId w:val="0"/>
        </w:numPr>
        <w:spacing w:line="360" w:lineRule="auto"/>
        <w:ind w:left="845" w:leftChars="0" w:hanging="420" w:firstLineChars="0"/>
        <w:rPr>
          <w:rFonts w:hint="eastAsia" w:ascii="宋体" w:hAnsi="宋体" w:eastAsia="宋体" w:cs="宋体"/>
          <w:szCs w:val="21"/>
          <w:highlight w:val="none"/>
          <w:lang w:eastAsia="zh-CN"/>
        </w:rPr>
      </w:pPr>
      <w:r>
        <w:rPr>
          <w:rFonts w:hint="eastAsia" w:ascii="宋体" w:hAnsi="宋体" w:cs="宋体"/>
          <w:szCs w:val="21"/>
          <w:highlight w:val="none"/>
        </w:rPr>
        <w:t>国际机票查询</w:t>
      </w:r>
      <w:r>
        <w:rPr>
          <w:rFonts w:ascii="宋体" w:hAnsi="宋体" w:cs="宋体"/>
          <w:szCs w:val="21"/>
          <w:highlight w:val="none"/>
        </w:rPr>
        <w:t>、</w:t>
      </w:r>
      <w:r>
        <w:rPr>
          <w:rFonts w:hint="eastAsia" w:ascii="宋体" w:hAnsi="宋体" w:cs="宋体"/>
          <w:szCs w:val="21"/>
          <w:highlight w:val="none"/>
        </w:rPr>
        <w:t>航线</w:t>
      </w:r>
      <w:r>
        <w:rPr>
          <w:rFonts w:ascii="宋体" w:hAnsi="宋体" w:cs="宋体"/>
          <w:szCs w:val="21"/>
          <w:highlight w:val="none"/>
        </w:rPr>
        <w:t>咨询</w:t>
      </w:r>
      <w:r>
        <w:rPr>
          <w:rFonts w:hint="eastAsia" w:ascii="宋体" w:hAnsi="宋体" w:cs="宋体"/>
          <w:szCs w:val="21"/>
          <w:highlight w:val="none"/>
        </w:rPr>
        <w:t>、</w:t>
      </w:r>
      <w:r>
        <w:rPr>
          <w:rFonts w:ascii="宋体" w:hAnsi="宋体" w:cs="宋体"/>
          <w:szCs w:val="21"/>
          <w:highlight w:val="none"/>
        </w:rPr>
        <w:t>机票</w:t>
      </w:r>
      <w:r>
        <w:rPr>
          <w:rFonts w:hint="eastAsia" w:ascii="宋体" w:hAnsi="宋体" w:cs="宋体"/>
          <w:szCs w:val="21"/>
          <w:highlight w:val="none"/>
        </w:rPr>
        <w:t>订购</w:t>
      </w:r>
      <w:r>
        <w:rPr>
          <w:rFonts w:hint="eastAsia" w:ascii="宋体" w:hAnsi="宋体" w:cs="宋体"/>
          <w:szCs w:val="21"/>
          <w:highlight w:val="none"/>
          <w:lang w:eastAsia="zh-CN"/>
        </w:rPr>
        <w:t>；</w:t>
      </w:r>
      <w:r>
        <w:rPr>
          <w:rFonts w:hint="eastAsia" w:ascii="宋体" w:hAnsi="宋体" w:cs="宋体"/>
          <w:szCs w:val="21"/>
          <w:highlight w:val="none"/>
        </w:rPr>
        <w:t>国际机票退票、</w:t>
      </w:r>
      <w:r>
        <w:rPr>
          <w:rFonts w:ascii="宋体" w:hAnsi="宋体" w:cs="宋体"/>
          <w:szCs w:val="21"/>
          <w:highlight w:val="none"/>
        </w:rPr>
        <w:t>改期、</w:t>
      </w:r>
      <w:r>
        <w:rPr>
          <w:rFonts w:hint="eastAsia" w:ascii="宋体" w:hAnsi="宋体" w:cs="宋体"/>
          <w:szCs w:val="21"/>
          <w:highlight w:val="none"/>
        </w:rPr>
        <w:t>签转</w:t>
      </w:r>
      <w:r>
        <w:rPr>
          <w:rFonts w:hint="eastAsia" w:ascii="宋体" w:hAnsi="宋体" w:cs="宋体"/>
          <w:szCs w:val="21"/>
          <w:highlight w:val="none"/>
          <w:lang w:eastAsia="zh-CN"/>
        </w:rPr>
        <w:t>。</w:t>
      </w:r>
    </w:p>
    <w:p w14:paraId="7C715395">
      <w:pPr>
        <w:spacing w:line="360" w:lineRule="auto"/>
        <w:ind w:left="845" w:leftChars="0" w:hanging="420" w:firstLineChars="0"/>
        <w:rPr>
          <w:rFonts w:hint="eastAsia" w:ascii="宋体" w:hAnsi="宋体" w:eastAsia="宋体" w:cs="宋体"/>
          <w:szCs w:val="21"/>
          <w:highlight w:val="none"/>
          <w:lang w:eastAsia="zh-CN"/>
        </w:rPr>
      </w:pPr>
      <w:r>
        <w:rPr>
          <w:rFonts w:hint="eastAsia" w:ascii="Times New Roman" w:hAnsi="Times New Roman" w:cs="Times New Roman"/>
          <w:szCs w:val="21"/>
          <w:highlight w:val="none"/>
        </w:rPr>
        <w:t>Recherche de billets internationaux, conseil sur les itinéraires et achat de billets ; remboursement, changement de date et endossement/transfert de billets internationaux.</w:t>
      </w:r>
    </w:p>
    <w:p w14:paraId="0D44DCF9">
      <w:pPr>
        <w:pStyle w:val="3"/>
        <w:spacing w:line="360" w:lineRule="auto"/>
        <w:jc w:val="left"/>
        <w:rPr>
          <w:rFonts w:hint="eastAsia" w:ascii="宋体" w:hAnsi="宋体" w:eastAsia="宋体"/>
          <w:sz w:val="21"/>
          <w:szCs w:val="21"/>
          <w:highlight w:val="none"/>
        </w:rPr>
      </w:pPr>
      <w:bookmarkStart w:id="34" w:name="_Toc24047"/>
      <w:r>
        <w:rPr>
          <w:rFonts w:ascii="宋体" w:hAnsi="宋体" w:eastAsia="宋体"/>
          <w:sz w:val="21"/>
          <w:szCs w:val="21"/>
          <w:highlight w:val="none"/>
        </w:rPr>
        <w:t>1.2</w:t>
      </w:r>
      <w:r>
        <w:rPr>
          <w:rFonts w:hint="eastAsia" w:ascii="宋体" w:hAnsi="宋体" w:eastAsia="宋体"/>
          <w:sz w:val="21"/>
          <w:szCs w:val="21"/>
          <w:highlight w:val="none"/>
        </w:rPr>
        <w:t>国际差旅保障服务：</w:t>
      </w:r>
      <w:bookmarkEnd w:id="34"/>
    </w:p>
    <w:p w14:paraId="206410E3">
      <w:pPr>
        <w:spacing w:line="360" w:lineRule="auto"/>
        <w:jc w:val="left"/>
        <w:rPr>
          <w:rFonts w:hint="eastAsia" w:ascii="宋体" w:hAnsi="宋体" w:eastAsia="宋体"/>
          <w:sz w:val="21"/>
          <w:szCs w:val="21"/>
          <w:highlight w:val="none"/>
        </w:rPr>
      </w:pPr>
      <w:r>
        <w:rPr>
          <w:rFonts w:ascii="Times New Roman" w:hAnsi="Times New Roman" w:eastAsia="宋体" w:cs="Times New Roman"/>
          <w:sz w:val="21"/>
          <w:szCs w:val="21"/>
          <w:highlight w:val="none"/>
        </w:rPr>
        <w:t>1.2 Services d’assistance aux déplacements professionnels internationaux :</w:t>
      </w:r>
    </w:p>
    <w:p w14:paraId="3FC7BF9E">
      <w:pPr>
        <w:numPr>
          <w:ilvl w:val="0"/>
          <w:numId w:val="0"/>
        </w:numPr>
        <w:spacing w:line="360" w:lineRule="auto"/>
        <w:ind w:left="845" w:leftChars="0" w:hanging="420" w:firstLineChars="0"/>
        <w:rPr>
          <w:rFonts w:hint="eastAsia" w:ascii="宋体" w:hAnsi="宋体" w:cs="宋体"/>
          <w:szCs w:val="21"/>
          <w:highlight w:val="none"/>
        </w:rPr>
      </w:pPr>
      <w:r>
        <w:rPr>
          <w:rFonts w:hint="eastAsia" w:ascii="宋体" w:hAnsi="宋体" w:cs="宋体"/>
          <w:szCs w:val="21"/>
          <w:highlight w:val="none"/>
        </w:rPr>
        <w:t>专属服务团队保障</w:t>
      </w:r>
      <w:r>
        <w:rPr>
          <w:rFonts w:hint="eastAsia" w:ascii="宋体" w:hAnsi="宋体" w:cs="宋体"/>
          <w:szCs w:val="21"/>
          <w:highlight w:val="none"/>
          <w:lang w:eastAsia="zh-CN"/>
        </w:rPr>
        <w:t>、</w:t>
      </w:r>
      <w:r>
        <w:rPr>
          <w:rFonts w:ascii="宋体" w:hAnsi="宋体" w:cs="宋体"/>
          <w:szCs w:val="21"/>
          <w:highlight w:val="none"/>
        </w:rPr>
        <w:t>7×24小时客服保障</w:t>
      </w:r>
      <w:r>
        <w:rPr>
          <w:rFonts w:hint="eastAsia" w:ascii="宋体" w:hAnsi="宋体" w:cs="宋体"/>
          <w:szCs w:val="21"/>
          <w:highlight w:val="none"/>
          <w:lang w:eastAsia="zh-CN"/>
        </w:rPr>
        <w:t>、</w:t>
      </w:r>
      <w:r>
        <w:rPr>
          <w:rFonts w:ascii="宋体" w:hAnsi="宋体" w:cs="宋体"/>
          <w:szCs w:val="21"/>
          <w:highlight w:val="none"/>
        </w:rPr>
        <w:t>VIP服务保障</w:t>
      </w:r>
      <w:r>
        <w:rPr>
          <w:rFonts w:hint="eastAsia" w:ascii="宋体" w:hAnsi="宋体" w:cs="宋体"/>
          <w:szCs w:val="21"/>
          <w:highlight w:val="none"/>
          <w:lang w:eastAsia="zh-CN"/>
        </w:rPr>
        <w:t>、</w:t>
      </w:r>
      <w:r>
        <w:rPr>
          <w:rFonts w:hint="eastAsia" w:ascii="宋体" w:hAnsi="宋体" w:cs="宋体"/>
          <w:szCs w:val="21"/>
          <w:highlight w:val="none"/>
        </w:rPr>
        <w:t>全程差旅保障</w:t>
      </w:r>
      <w:r>
        <w:rPr>
          <w:rFonts w:hint="eastAsia" w:ascii="宋体" w:hAnsi="宋体" w:cs="宋体"/>
          <w:szCs w:val="21"/>
          <w:highlight w:val="none"/>
          <w:lang w:eastAsia="zh-CN"/>
        </w:rPr>
        <w:t>、</w:t>
      </w:r>
      <w:r>
        <w:rPr>
          <w:rFonts w:hint="eastAsia" w:ascii="宋体" w:hAnsi="宋体" w:cs="宋体"/>
          <w:szCs w:val="21"/>
          <w:highlight w:val="none"/>
        </w:rPr>
        <w:t>应急保障</w:t>
      </w:r>
    </w:p>
    <w:p w14:paraId="534B1F41">
      <w:pPr>
        <w:spacing w:line="360" w:lineRule="auto"/>
        <w:ind w:left="845" w:leftChars="0" w:hanging="420" w:firstLineChars="0"/>
        <w:rPr>
          <w:rFonts w:hint="eastAsia" w:ascii="宋体" w:hAnsi="宋体" w:cs="宋体"/>
          <w:szCs w:val="21"/>
          <w:highlight w:val="none"/>
        </w:rPr>
      </w:pPr>
      <w:r>
        <w:rPr>
          <w:rFonts w:hint="eastAsia" w:ascii="Times New Roman" w:hAnsi="Times New Roman" w:cs="Times New Roman"/>
          <w:szCs w:val="21"/>
          <w:highlight w:val="none"/>
        </w:rPr>
        <w:t>Équipe de service dédiée, assistance clientèle 24 h/24 et 7 j/7, assistance VIP, accompagnement sur l’ensemble du déplacement et assistance d’urgence.</w:t>
      </w:r>
    </w:p>
    <w:p w14:paraId="16446248">
      <w:pPr>
        <w:pStyle w:val="3"/>
        <w:spacing w:line="360" w:lineRule="auto"/>
        <w:jc w:val="left"/>
        <w:rPr>
          <w:rFonts w:hint="eastAsia" w:ascii="宋体" w:hAnsi="宋体" w:eastAsia="宋体"/>
          <w:sz w:val="21"/>
          <w:szCs w:val="21"/>
          <w:highlight w:val="none"/>
        </w:rPr>
      </w:pPr>
      <w:bookmarkStart w:id="35" w:name="_Toc19768"/>
      <w:r>
        <w:rPr>
          <w:rFonts w:hint="eastAsia" w:ascii="宋体" w:hAnsi="宋体" w:eastAsia="宋体"/>
          <w:sz w:val="21"/>
          <w:szCs w:val="21"/>
          <w:highlight w:val="none"/>
        </w:rPr>
        <w:t>1</w:t>
      </w:r>
      <w:r>
        <w:rPr>
          <w:rFonts w:ascii="宋体" w:hAnsi="宋体" w:eastAsia="宋体"/>
          <w:sz w:val="21"/>
          <w:szCs w:val="21"/>
          <w:highlight w:val="none"/>
        </w:rPr>
        <w:t>.3</w:t>
      </w:r>
      <w:r>
        <w:rPr>
          <w:rFonts w:hint="eastAsia" w:ascii="宋体" w:hAnsi="宋体" w:eastAsia="宋体"/>
          <w:sz w:val="21"/>
          <w:szCs w:val="21"/>
          <w:highlight w:val="none"/>
        </w:rPr>
        <w:t>国际差旅管理服务</w:t>
      </w:r>
      <w:r>
        <w:rPr>
          <w:rFonts w:ascii="宋体" w:hAnsi="宋体" w:eastAsia="宋体"/>
          <w:sz w:val="21"/>
          <w:szCs w:val="21"/>
          <w:highlight w:val="none"/>
        </w:rPr>
        <w:t>:</w:t>
      </w:r>
      <w:bookmarkEnd w:id="35"/>
    </w:p>
    <w:p w14:paraId="1A78B7BC">
      <w:pPr>
        <w:spacing w:line="360" w:lineRule="auto"/>
        <w:jc w:val="left"/>
        <w:rPr>
          <w:rFonts w:hint="eastAsia" w:ascii="宋体" w:hAnsi="宋体" w:eastAsia="宋体"/>
          <w:sz w:val="21"/>
          <w:szCs w:val="21"/>
          <w:highlight w:val="none"/>
        </w:rPr>
      </w:pPr>
      <w:r>
        <w:rPr>
          <w:rFonts w:hint="eastAsia" w:ascii="Times New Roman" w:hAnsi="Times New Roman" w:eastAsia="宋体" w:cs="Times New Roman"/>
          <w:sz w:val="21"/>
          <w:szCs w:val="21"/>
          <w:highlight w:val="none"/>
        </w:rPr>
        <w:t>1.3 Services de gestion des déplacements professionnels internationaux :</w:t>
      </w:r>
    </w:p>
    <w:p w14:paraId="04178CC0">
      <w:pPr>
        <w:numPr>
          <w:ilvl w:val="0"/>
          <w:numId w:val="0"/>
        </w:numPr>
        <w:spacing w:line="360" w:lineRule="auto"/>
        <w:ind w:left="845" w:leftChars="0" w:hanging="420" w:firstLineChars="0"/>
        <w:rPr>
          <w:rFonts w:hint="eastAsia" w:ascii="宋体" w:hAnsi="宋体" w:cs="宋体"/>
          <w:szCs w:val="21"/>
          <w:highlight w:val="none"/>
        </w:rPr>
      </w:pPr>
      <w:r>
        <w:rPr>
          <w:rFonts w:hint="eastAsia" w:ascii="宋体" w:hAnsi="宋体" w:cs="宋体"/>
          <w:szCs w:val="21"/>
          <w:highlight w:val="none"/>
        </w:rPr>
        <w:t>差旅账单订制</w:t>
      </w:r>
      <w:r>
        <w:rPr>
          <w:rFonts w:hint="eastAsia" w:ascii="宋体" w:hAnsi="宋体" w:cs="宋体"/>
          <w:szCs w:val="21"/>
          <w:highlight w:val="none"/>
          <w:lang w:eastAsia="zh-CN"/>
        </w:rPr>
        <w:t>、</w:t>
      </w:r>
      <w:r>
        <w:rPr>
          <w:rFonts w:hint="eastAsia" w:ascii="宋体" w:hAnsi="宋体" w:cs="宋体"/>
          <w:szCs w:val="21"/>
          <w:highlight w:val="none"/>
        </w:rPr>
        <w:t>差旅报告定制及分析</w:t>
      </w:r>
      <w:r>
        <w:rPr>
          <w:rFonts w:hint="eastAsia" w:ascii="宋体" w:hAnsi="宋体" w:cs="宋体"/>
          <w:szCs w:val="21"/>
          <w:highlight w:val="none"/>
          <w:lang w:eastAsia="zh-CN"/>
        </w:rPr>
        <w:t>、</w:t>
      </w:r>
      <w:r>
        <w:rPr>
          <w:rFonts w:hint="eastAsia" w:ascii="宋体" w:hAnsi="宋体" w:cs="宋体"/>
          <w:szCs w:val="21"/>
          <w:highlight w:val="none"/>
        </w:rPr>
        <w:t>大客户协议托管、洽谈和优化</w:t>
      </w:r>
      <w:r>
        <w:rPr>
          <w:rFonts w:hint="eastAsia" w:ascii="宋体" w:hAnsi="宋体" w:cs="宋体"/>
          <w:szCs w:val="21"/>
          <w:highlight w:val="none"/>
          <w:lang w:eastAsia="zh-CN"/>
        </w:rPr>
        <w:t>、</w:t>
      </w:r>
      <w:r>
        <w:rPr>
          <w:rFonts w:hint="eastAsia" w:ascii="宋体" w:hAnsi="宋体" w:cs="宋体"/>
          <w:szCs w:val="21"/>
          <w:highlight w:val="none"/>
        </w:rPr>
        <w:t>差旅结算优化</w:t>
      </w:r>
    </w:p>
    <w:p w14:paraId="69383DCC">
      <w:pPr>
        <w:spacing w:line="360" w:lineRule="auto"/>
        <w:ind w:left="845" w:leftChars="0" w:hanging="420" w:firstLineChars="0"/>
        <w:rPr>
          <w:rFonts w:hint="eastAsia" w:ascii="宋体" w:hAnsi="宋体" w:cs="宋体"/>
          <w:szCs w:val="21"/>
          <w:highlight w:val="none"/>
        </w:rPr>
      </w:pPr>
      <w:r>
        <w:rPr>
          <w:rFonts w:hint="eastAsia" w:ascii="Times New Roman" w:hAnsi="Times New Roman" w:cs="Times New Roman"/>
          <w:szCs w:val="21"/>
          <w:highlight w:val="none"/>
        </w:rPr>
        <w:t>Personnalisation des relevés de voyage, élaboration et analyse de rapports de déplacement, gestion, négociation et optimisation des accords grands comptes, et optimisation du règlement des déplacements professionnels.</w:t>
      </w:r>
    </w:p>
    <w:p w14:paraId="2F413107">
      <w:pPr>
        <w:pStyle w:val="3"/>
        <w:spacing w:line="360" w:lineRule="auto"/>
        <w:jc w:val="left"/>
        <w:rPr>
          <w:rFonts w:hint="eastAsia" w:ascii="宋体" w:hAnsi="宋体" w:eastAsia="宋体"/>
          <w:sz w:val="21"/>
          <w:szCs w:val="21"/>
          <w:highlight w:val="none"/>
        </w:rPr>
      </w:pPr>
      <w:bookmarkStart w:id="36" w:name="_Toc4595"/>
      <w:r>
        <w:rPr>
          <w:rFonts w:hint="eastAsia" w:ascii="宋体" w:hAnsi="宋体" w:eastAsia="宋体"/>
          <w:sz w:val="21"/>
          <w:szCs w:val="21"/>
          <w:highlight w:val="none"/>
        </w:rPr>
        <w:t>1</w:t>
      </w:r>
      <w:r>
        <w:rPr>
          <w:rFonts w:ascii="宋体" w:hAnsi="宋体" w:eastAsia="宋体"/>
          <w:sz w:val="21"/>
          <w:szCs w:val="21"/>
          <w:highlight w:val="none"/>
        </w:rPr>
        <w:t>.4</w:t>
      </w:r>
      <w:r>
        <w:rPr>
          <w:rFonts w:hint="eastAsia" w:ascii="宋体" w:hAnsi="宋体" w:eastAsia="宋体"/>
          <w:sz w:val="21"/>
          <w:szCs w:val="21"/>
          <w:highlight w:val="none"/>
        </w:rPr>
        <w:t>其他增值服务：</w:t>
      </w:r>
      <w:bookmarkEnd w:id="36"/>
    </w:p>
    <w:p w14:paraId="513B6EC3">
      <w:pPr>
        <w:spacing w:line="360" w:lineRule="auto"/>
        <w:jc w:val="left"/>
        <w:rPr>
          <w:rFonts w:hint="eastAsia" w:ascii="宋体" w:hAnsi="宋体" w:eastAsia="宋体"/>
          <w:sz w:val="21"/>
          <w:szCs w:val="21"/>
          <w:highlight w:val="none"/>
        </w:rPr>
      </w:pPr>
      <w:r>
        <w:rPr>
          <w:rFonts w:hint="eastAsia" w:ascii="Times New Roman" w:hAnsi="Times New Roman" w:eastAsia="宋体" w:cs="Times New Roman"/>
          <w:sz w:val="21"/>
          <w:szCs w:val="21"/>
          <w:highlight w:val="none"/>
        </w:rPr>
        <w:t>1.4 Autres services à valeur ajoutée :</w:t>
      </w:r>
    </w:p>
    <w:p w14:paraId="00FB5C13">
      <w:pPr>
        <w:numPr>
          <w:ilvl w:val="0"/>
          <w:numId w:val="0"/>
        </w:numPr>
        <w:spacing w:line="360" w:lineRule="auto"/>
        <w:ind w:left="845" w:leftChars="0" w:hanging="420" w:firstLineChars="0"/>
        <w:rPr>
          <w:rFonts w:hint="eastAsia" w:ascii="宋体" w:hAnsi="宋体" w:eastAsia="宋体" w:cs="宋体"/>
          <w:szCs w:val="21"/>
          <w:highlight w:val="none"/>
          <w:lang w:eastAsia="zh-CN"/>
        </w:rPr>
      </w:pPr>
      <w:r>
        <w:rPr>
          <w:rFonts w:hint="eastAsia" w:ascii="宋体" w:hAnsi="宋体" w:cs="宋体"/>
          <w:szCs w:val="21"/>
          <w:highlight w:val="none"/>
        </w:rPr>
        <w:t>根据甲方实际出行机场及行程需求提供机场延伸服务及要客服务；</w:t>
      </w:r>
    </w:p>
    <w:p w14:paraId="21211B76">
      <w:pPr>
        <w:spacing w:line="360" w:lineRule="auto"/>
        <w:ind w:left="845" w:leftChars="0" w:hanging="420" w:firstLineChars="0"/>
        <w:rPr>
          <w:rFonts w:hint="eastAsia" w:ascii="宋体" w:hAnsi="宋体" w:eastAsia="宋体" w:cs="宋体"/>
          <w:szCs w:val="21"/>
          <w:highlight w:val="none"/>
          <w:lang w:eastAsia="zh-CN"/>
        </w:rPr>
      </w:pPr>
      <w:r>
        <w:rPr>
          <w:rFonts w:hint="eastAsia" w:ascii="Times New Roman" w:hAnsi="Times New Roman" w:cs="Times New Roman"/>
          <w:szCs w:val="21"/>
          <w:highlight w:val="none"/>
        </w:rPr>
        <w:t>Services aéroportuaires complémentaires et assistance VIP selon les aéroports effectivement utilisés et les besoins d’itinéraire du Client ;</w:t>
      </w:r>
    </w:p>
    <w:p w14:paraId="201C0940">
      <w:pPr>
        <w:numPr>
          <w:ilvl w:val="0"/>
          <w:numId w:val="0"/>
        </w:numPr>
        <w:spacing w:line="360" w:lineRule="auto"/>
        <w:ind w:left="845" w:leftChars="0" w:hanging="420" w:firstLineChars="0"/>
        <w:rPr>
          <w:rFonts w:hint="eastAsia" w:ascii="宋体" w:hAnsi="宋体" w:cs="宋体"/>
          <w:szCs w:val="21"/>
          <w:highlight w:val="none"/>
        </w:rPr>
      </w:pPr>
      <w:r>
        <w:rPr>
          <w:rFonts w:hint="eastAsia" w:ascii="宋体" w:hAnsi="宋体" w:cs="宋体"/>
          <w:szCs w:val="21"/>
          <w:highlight w:val="none"/>
        </w:rPr>
        <w:t>技术支持</w:t>
      </w:r>
      <w:r>
        <w:rPr>
          <w:rFonts w:hint="eastAsia" w:ascii="宋体" w:hAnsi="宋体" w:cs="宋体"/>
          <w:szCs w:val="21"/>
          <w:highlight w:val="none"/>
          <w:lang w:eastAsia="zh-CN"/>
        </w:rPr>
        <w:t>、</w:t>
      </w:r>
      <w:r>
        <w:rPr>
          <w:rFonts w:hint="eastAsia" w:ascii="宋体" w:hAnsi="宋体" w:cs="宋体"/>
          <w:szCs w:val="21"/>
          <w:highlight w:val="none"/>
        </w:rPr>
        <w:t>机场应急服务</w:t>
      </w:r>
      <w:r>
        <w:rPr>
          <w:rFonts w:hint="eastAsia" w:ascii="宋体" w:hAnsi="宋体" w:cs="宋体"/>
          <w:szCs w:val="21"/>
          <w:highlight w:val="none"/>
          <w:lang w:eastAsia="zh-CN"/>
        </w:rPr>
        <w:t>、</w:t>
      </w:r>
      <w:r>
        <w:rPr>
          <w:rFonts w:hint="eastAsia" w:ascii="宋体" w:hAnsi="宋体" w:cs="宋体"/>
          <w:szCs w:val="21"/>
          <w:highlight w:val="none"/>
        </w:rPr>
        <w:t>专人航班跟进</w:t>
      </w:r>
      <w:r>
        <w:rPr>
          <w:rFonts w:hint="eastAsia" w:ascii="宋体" w:hAnsi="宋体" w:cs="宋体"/>
          <w:szCs w:val="21"/>
          <w:highlight w:val="none"/>
          <w:lang w:eastAsia="zh-CN"/>
        </w:rPr>
        <w:t>、</w:t>
      </w:r>
      <w:r>
        <w:rPr>
          <w:rFonts w:hint="eastAsia" w:ascii="宋体" w:hAnsi="宋体" w:cs="宋体"/>
          <w:szCs w:val="21"/>
          <w:highlight w:val="none"/>
        </w:rPr>
        <w:t>座位优先候补</w:t>
      </w:r>
      <w:r>
        <w:rPr>
          <w:rFonts w:hint="eastAsia" w:ascii="宋体" w:hAnsi="宋体" w:cs="宋体"/>
          <w:szCs w:val="21"/>
          <w:highlight w:val="none"/>
          <w:lang w:eastAsia="zh-CN"/>
        </w:rPr>
        <w:t>、</w:t>
      </w:r>
      <w:r>
        <w:rPr>
          <w:rFonts w:hint="eastAsia" w:ascii="宋体" w:hAnsi="宋体" w:cs="宋体"/>
          <w:szCs w:val="21"/>
          <w:highlight w:val="none"/>
        </w:rPr>
        <w:t>机上餐食预订</w:t>
      </w:r>
      <w:r>
        <w:rPr>
          <w:rFonts w:hint="eastAsia" w:ascii="宋体" w:hAnsi="宋体" w:cs="宋体"/>
          <w:szCs w:val="21"/>
          <w:highlight w:val="none"/>
          <w:lang w:eastAsia="zh-CN"/>
        </w:rPr>
        <w:t>、</w:t>
      </w:r>
      <w:r>
        <w:rPr>
          <w:rFonts w:hint="eastAsia" w:ascii="宋体" w:hAnsi="宋体" w:cs="宋体"/>
          <w:szCs w:val="21"/>
          <w:highlight w:val="none"/>
        </w:rPr>
        <w:t>紧急情况协助</w:t>
      </w:r>
    </w:p>
    <w:p w14:paraId="286AB8DE">
      <w:pPr>
        <w:spacing w:line="360" w:lineRule="auto"/>
        <w:ind w:left="845" w:leftChars="0" w:hanging="420" w:firstLineChars="0"/>
        <w:rPr>
          <w:rFonts w:hint="eastAsia" w:ascii="宋体" w:hAnsi="宋体" w:cs="宋体"/>
          <w:szCs w:val="21"/>
          <w:highlight w:val="none"/>
        </w:rPr>
      </w:pPr>
      <w:r>
        <w:rPr>
          <w:rFonts w:hint="eastAsia" w:ascii="Times New Roman" w:hAnsi="Times New Roman" w:cs="Times New Roman"/>
          <w:szCs w:val="21"/>
          <w:highlight w:val="none"/>
        </w:rPr>
        <w:t>Assistance technique, services d’urgence à l’aéroport, suivi des vols par un agent dédié, priorité sur liste d’attente pour les sièges, réservation des repas à bord et assistance en situation d’urgence.</w:t>
      </w:r>
    </w:p>
    <w:p w14:paraId="48AF56C0">
      <w:pPr>
        <w:pStyle w:val="2"/>
        <w:tabs>
          <w:tab w:val="left" w:pos="720"/>
        </w:tabs>
        <w:spacing w:line="360" w:lineRule="auto"/>
        <w:rPr>
          <w:rFonts w:hint="eastAsia" w:ascii="宋体" w:hAnsi="宋体" w:cs="宋体"/>
          <w:sz w:val="21"/>
          <w:szCs w:val="21"/>
          <w:highlight w:val="none"/>
        </w:rPr>
      </w:pPr>
      <w:bookmarkStart w:id="37" w:name="_Toc14253"/>
      <w:r>
        <w:rPr>
          <w:rFonts w:hint="eastAsia" w:ascii="宋体" w:hAnsi="宋体" w:cs="宋体"/>
          <w:sz w:val="21"/>
          <w:szCs w:val="21"/>
          <w:highlight w:val="none"/>
        </w:rPr>
        <w:t>二、服务流程</w:t>
      </w:r>
      <w:bookmarkEnd w:id="37"/>
    </w:p>
    <w:p w14:paraId="3922BB35">
      <w:pPr>
        <w:tabs>
          <w:tab w:val="left" w:pos="720"/>
        </w:tabs>
        <w:spacing w:line="360" w:lineRule="auto"/>
        <w:rPr>
          <w:rFonts w:hint="eastAsia" w:ascii="宋体" w:hAnsi="宋体" w:cs="宋体"/>
          <w:sz w:val="21"/>
          <w:szCs w:val="21"/>
          <w:highlight w:val="none"/>
        </w:rPr>
      </w:pPr>
      <w:r>
        <w:rPr>
          <w:rFonts w:hint="eastAsia" w:ascii="Times New Roman" w:hAnsi="Times New Roman" w:cs="Times New Roman"/>
          <w:sz w:val="21"/>
          <w:szCs w:val="21"/>
          <w:highlight w:val="none"/>
        </w:rPr>
        <w:t>II. Processus de service</w:t>
      </w:r>
    </w:p>
    <w:p w14:paraId="5EE16771">
      <w:pPr>
        <w:pStyle w:val="3"/>
        <w:spacing w:line="360" w:lineRule="auto"/>
        <w:rPr>
          <w:rFonts w:hint="eastAsia" w:ascii="宋体" w:hAnsi="宋体" w:eastAsia="宋体" w:cs="宋体"/>
          <w:b w:val="0"/>
          <w:bCs/>
          <w:sz w:val="21"/>
          <w:szCs w:val="21"/>
          <w:highlight w:val="none"/>
        </w:rPr>
      </w:pPr>
      <w:bookmarkStart w:id="38" w:name="_Toc10158"/>
      <w:r>
        <w:rPr>
          <w:rFonts w:ascii="宋体" w:hAnsi="宋体" w:eastAsia="宋体" w:cs="宋体"/>
          <w:b w:val="0"/>
          <w:bCs/>
          <w:sz w:val="21"/>
          <w:szCs w:val="21"/>
          <w:highlight w:val="none"/>
        </w:rPr>
        <w:t>2.1</w:t>
      </w:r>
      <w:r>
        <w:rPr>
          <w:rFonts w:hint="eastAsia" w:ascii="宋体" w:hAnsi="宋体" w:eastAsia="宋体" w:cs="宋体"/>
          <w:b w:val="0"/>
          <w:bCs/>
          <w:sz w:val="21"/>
          <w:szCs w:val="21"/>
          <w:highlight w:val="none"/>
        </w:rPr>
        <w:t>预订及确认</w:t>
      </w:r>
      <w:bookmarkEnd w:id="38"/>
    </w:p>
    <w:p w14:paraId="0120F972">
      <w:pPr>
        <w:spacing w:line="360" w:lineRule="auto"/>
        <w:rPr>
          <w:rFonts w:hint="eastAsia" w:ascii="宋体" w:hAnsi="宋体" w:eastAsia="宋体" w:cs="宋体"/>
          <w:b w:val="0"/>
          <w:bCs/>
          <w:sz w:val="21"/>
          <w:szCs w:val="21"/>
          <w:highlight w:val="none"/>
        </w:rPr>
      </w:pPr>
      <w:r>
        <w:rPr>
          <w:rFonts w:ascii="Times New Roman" w:hAnsi="Times New Roman" w:eastAsia="宋体" w:cs="Times New Roman"/>
          <w:b w:val="0"/>
          <w:bCs/>
          <w:sz w:val="21"/>
          <w:szCs w:val="21"/>
          <w:highlight w:val="none"/>
        </w:rPr>
        <w:t>2.1 Réservation et confirmation</w:t>
      </w:r>
    </w:p>
    <w:p w14:paraId="10C80ABF">
      <w:pPr>
        <w:pStyle w:val="5"/>
        <w:spacing w:line="360" w:lineRule="auto"/>
        <w:rPr>
          <w:rFonts w:hint="eastAsia" w:ascii="宋体" w:hAnsi="宋体" w:cs="宋体"/>
          <w:b w:val="0"/>
          <w:bCs w:val="0"/>
          <w:sz w:val="21"/>
          <w:szCs w:val="21"/>
          <w:highlight w:val="none"/>
        </w:rPr>
      </w:pPr>
      <w:r>
        <w:rPr>
          <w:rFonts w:ascii="宋体" w:hAnsi="宋体" w:cs="宋体"/>
          <w:b w:val="0"/>
          <w:bCs w:val="0"/>
          <w:sz w:val="21"/>
          <w:szCs w:val="21"/>
          <w:highlight w:val="none"/>
        </w:rPr>
        <w:t>2.1.1接收预订信息</w:t>
      </w:r>
    </w:p>
    <w:p w14:paraId="5300D63D">
      <w:pPr>
        <w:spacing w:line="360" w:lineRule="auto"/>
        <w:rPr>
          <w:rFonts w:hint="eastAsia" w:ascii="宋体" w:hAnsi="宋体" w:cs="宋体"/>
          <w:b w:val="0"/>
          <w:bCs w:val="0"/>
          <w:sz w:val="21"/>
          <w:szCs w:val="21"/>
          <w:highlight w:val="none"/>
        </w:rPr>
      </w:pPr>
      <w:r>
        <w:rPr>
          <w:rFonts w:ascii="Times New Roman" w:hAnsi="Times New Roman" w:cs="Times New Roman"/>
          <w:b w:val="0"/>
          <w:bCs w:val="0"/>
          <w:sz w:val="21"/>
          <w:szCs w:val="21"/>
          <w:highlight w:val="none"/>
        </w:rPr>
        <w:t>2.1.1 Réception des demandes de réservation</w:t>
      </w:r>
    </w:p>
    <w:p w14:paraId="3F69CDB4">
      <w:pPr>
        <w:tabs>
          <w:tab w:val="left" w:pos="142"/>
        </w:tabs>
        <w:spacing w:before="120" w:beforeLines="50" w:after="120" w:afterLines="50" w:line="360" w:lineRule="auto"/>
        <w:ind w:firstLine="420" w:firstLineChars="200"/>
        <w:rPr>
          <w:rFonts w:hint="eastAsia" w:ascii="宋体" w:hAnsi="宋体" w:cs="宋体"/>
          <w:szCs w:val="21"/>
          <w:highlight w:val="none"/>
        </w:rPr>
      </w:pPr>
      <w:r>
        <w:rPr>
          <w:rFonts w:hint="eastAsia" w:ascii="宋体" w:hAnsi="宋体" w:cs="宋体"/>
          <w:szCs w:val="21"/>
          <w:highlight w:val="none"/>
        </w:rPr>
        <w:t>乙方的专属服务团队应7×24小时接受甲方订票人通过电话、邮件或其他经双方认可的即时通讯方式提出的预订需求。专属服务团队服务专员手机应保持24小时开通，保障甲方预订需求得到实时处理。甲方应提供旅客的正确姓名、行程、日期、舱位等级及其它必要的证件和资料。</w:t>
      </w:r>
    </w:p>
    <w:p w14:paraId="778CA6F7">
      <w:pPr>
        <w:tabs>
          <w:tab w:val="left" w:pos="142"/>
        </w:tabs>
        <w:spacing w:before="120" w:beforeLines="50" w:after="120" w:afterLines="50"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L’équipe dédiée du Prestataire doit recevoir 24 h/24 et 7 j/7 les demandes de réservation formulées par les personnes autorisées du Client par téléphone, courrier électronique ou tout autre moyen de messagerie instantanée reconnu par les deux parties. Le téléphone portable des agents de l’équipe dédiée doit rester accessible 24 heures sur 24 afin de garantir le traitement en temps réel des demandes du Client. Le Client doit fournir le nom exact du voyageur, l’itinéraire, la date, la classe de voyage ainsi que les documents et informations nécessaires.</w:t>
      </w:r>
    </w:p>
    <w:p w14:paraId="15A9516D">
      <w:pPr>
        <w:pStyle w:val="5"/>
        <w:spacing w:line="360" w:lineRule="auto"/>
        <w:rPr>
          <w:rFonts w:hint="eastAsia" w:ascii="宋体" w:hAnsi="宋体" w:cs="宋体"/>
          <w:b w:val="0"/>
          <w:bCs w:val="0"/>
          <w:sz w:val="21"/>
          <w:szCs w:val="21"/>
          <w:highlight w:val="none"/>
        </w:rPr>
      </w:pPr>
      <w:r>
        <w:rPr>
          <w:rFonts w:ascii="宋体" w:hAnsi="宋体" w:cs="宋体"/>
          <w:b w:val="0"/>
          <w:bCs w:val="0"/>
          <w:sz w:val="21"/>
          <w:szCs w:val="21"/>
          <w:highlight w:val="none"/>
        </w:rPr>
        <w:t>2.1.2提供行程方案</w:t>
      </w:r>
    </w:p>
    <w:p w14:paraId="69B355ED">
      <w:pPr>
        <w:spacing w:line="360" w:lineRule="auto"/>
        <w:rPr>
          <w:rFonts w:hint="eastAsia" w:ascii="宋体" w:hAnsi="宋体" w:cs="宋体"/>
          <w:b w:val="0"/>
          <w:bCs w:val="0"/>
          <w:sz w:val="21"/>
          <w:szCs w:val="21"/>
          <w:highlight w:val="none"/>
        </w:rPr>
      </w:pPr>
      <w:r>
        <w:rPr>
          <w:rFonts w:ascii="Times New Roman" w:hAnsi="Times New Roman" w:cs="Times New Roman"/>
          <w:b w:val="0"/>
          <w:bCs w:val="0"/>
          <w:sz w:val="21"/>
          <w:szCs w:val="21"/>
          <w:highlight w:val="none"/>
        </w:rPr>
        <w:t>2.1.2 Proposition d’itinéraires</w:t>
      </w:r>
    </w:p>
    <w:p w14:paraId="3E6F942C">
      <w:pPr>
        <w:tabs>
          <w:tab w:val="left" w:pos="142"/>
        </w:tabs>
        <w:spacing w:before="120" w:beforeLines="50" w:after="120" w:afterLines="50" w:line="360" w:lineRule="auto"/>
        <w:ind w:firstLine="424" w:firstLineChars="202"/>
        <w:rPr>
          <w:rFonts w:hint="eastAsia" w:ascii="宋体" w:hAnsi="宋体" w:cs="宋体"/>
          <w:szCs w:val="21"/>
          <w:highlight w:val="none"/>
        </w:rPr>
      </w:pPr>
      <w:r>
        <w:rPr>
          <w:rFonts w:hint="eastAsia" w:ascii="宋体" w:hAnsi="宋体" w:cs="宋体"/>
          <w:szCs w:val="21"/>
          <w:highlight w:val="none"/>
        </w:rPr>
        <w:t>乙方接收到甲方的预订需求后应及时做出反馈，通报预订情况，对于不能当时确认的预订，应根据甲方要求随时通报进程状况。在甲方提出预订需求后，乙方应提供一至多套方案，内容包括航空公司、舱位等级、机型、飞行和中转时间、退改签规定等详细的航班相关信息。乙方应根据路线、价格、灵活性</w:t>
      </w:r>
      <w:r>
        <w:rPr>
          <w:rFonts w:ascii="宋体" w:hAnsi="宋体" w:cs="宋体"/>
          <w:szCs w:val="21"/>
          <w:highlight w:val="none"/>
        </w:rPr>
        <w:t>、</w:t>
      </w:r>
      <w:r>
        <w:rPr>
          <w:rFonts w:hint="eastAsia" w:ascii="宋体" w:hAnsi="宋体" w:cs="宋体"/>
          <w:szCs w:val="21"/>
          <w:highlight w:val="none"/>
        </w:rPr>
        <w:t>安全性等多重因素，推荐最优方案。在其他因素条件相同的情况下，乙方应推荐成本相对较低的方案。</w:t>
      </w:r>
    </w:p>
    <w:p w14:paraId="2616CF51">
      <w:pPr>
        <w:tabs>
          <w:tab w:val="left" w:pos="142"/>
        </w:tabs>
        <w:spacing w:before="120" w:beforeLines="50" w:after="120" w:afterLines="50" w:line="360" w:lineRule="auto"/>
        <w:ind w:firstLine="424" w:firstLineChars="202"/>
        <w:rPr>
          <w:rFonts w:hint="eastAsia" w:ascii="宋体" w:hAnsi="宋体" w:cs="宋体"/>
          <w:szCs w:val="21"/>
          <w:highlight w:val="none"/>
        </w:rPr>
      </w:pPr>
      <w:r>
        <w:rPr>
          <w:rFonts w:hint="eastAsia" w:ascii="Times New Roman" w:hAnsi="Times New Roman" w:cs="Times New Roman"/>
          <w:szCs w:val="21"/>
          <w:highlight w:val="none"/>
        </w:rPr>
        <w:t>Après réception de la demande de réservation du Client, le Prestataire doit répondre sans délai et informer le Client de l’état de la réservation. Lorsqu’une réservation ne peut être confirmée immédiatement, le Prestataire doit tenir le Client informé de son avancement selon ses besoins. Après réception de la demande, le Prestataire propose une ou plusieurs solutions comprenant notamment la compagnie aérienne, la classe de voyage, le type d’appareil, les horaires de vol et de correspondance ainsi que les règles de modification et de remboursement. Il recommande la solution optimale au regard de l’itinéraire, du prix, de la flexibilité, de la sécurité et d’autres facteurs. À conditions équivalentes, il recommande la solution au coût relativement le plus faible.</w:t>
      </w:r>
    </w:p>
    <w:p w14:paraId="73594CBB">
      <w:pPr>
        <w:pStyle w:val="5"/>
        <w:spacing w:line="360" w:lineRule="auto"/>
        <w:rPr>
          <w:rFonts w:hint="eastAsia" w:ascii="宋体" w:hAnsi="宋体" w:cs="宋体"/>
          <w:b w:val="0"/>
          <w:bCs w:val="0"/>
          <w:sz w:val="21"/>
          <w:szCs w:val="21"/>
          <w:highlight w:val="none"/>
        </w:rPr>
      </w:pPr>
      <w:r>
        <w:rPr>
          <w:rFonts w:ascii="宋体" w:hAnsi="宋体" w:cs="宋体"/>
          <w:b w:val="0"/>
          <w:bCs w:val="0"/>
          <w:sz w:val="21"/>
          <w:szCs w:val="21"/>
          <w:highlight w:val="none"/>
        </w:rPr>
        <w:t>2.1.3预订确认</w:t>
      </w:r>
    </w:p>
    <w:p w14:paraId="52F1B076">
      <w:pPr>
        <w:spacing w:line="360" w:lineRule="auto"/>
        <w:rPr>
          <w:rFonts w:hint="eastAsia" w:ascii="宋体" w:hAnsi="宋体" w:cs="宋体"/>
          <w:b w:val="0"/>
          <w:bCs w:val="0"/>
          <w:sz w:val="21"/>
          <w:szCs w:val="21"/>
          <w:highlight w:val="none"/>
        </w:rPr>
      </w:pPr>
      <w:r>
        <w:rPr>
          <w:rFonts w:ascii="Times New Roman" w:hAnsi="Times New Roman" w:cs="Times New Roman"/>
          <w:b w:val="0"/>
          <w:bCs w:val="0"/>
          <w:sz w:val="21"/>
          <w:szCs w:val="21"/>
          <w:highlight w:val="none"/>
        </w:rPr>
        <w:t>2.1.3 Confirmation de la réservation</w:t>
      </w:r>
    </w:p>
    <w:p w14:paraId="71A8FFF8">
      <w:pPr>
        <w:tabs>
          <w:tab w:val="left" w:pos="142"/>
        </w:tabs>
        <w:spacing w:before="120" w:beforeLines="50" w:after="120" w:afterLines="50" w:line="360" w:lineRule="auto"/>
        <w:ind w:firstLine="424" w:firstLineChars="202"/>
        <w:rPr>
          <w:rFonts w:hint="eastAsia" w:ascii="宋体" w:hAnsi="宋体" w:cs="宋体"/>
          <w:szCs w:val="21"/>
          <w:highlight w:val="none"/>
        </w:rPr>
      </w:pPr>
      <w:r>
        <w:rPr>
          <w:rFonts w:hint="eastAsia" w:ascii="宋体" w:hAnsi="宋体" w:cs="宋体"/>
          <w:szCs w:val="21"/>
          <w:highlight w:val="none"/>
        </w:rPr>
        <w:t>在甲方预订方案确认后，乙方应根据甲方要求进行预订，预订完成后及时告知甲方预订的保留时限，以便甲方根据公务进展情况安排出票时间，同时乙方应积极配合延长预订保留的时限。</w:t>
      </w:r>
    </w:p>
    <w:p w14:paraId="6B23403B">
      <w:pPr>
        <w:tabs>
          <w:tab w:val="left" w:pos="142"/>
        </w:tabs>
        <w:spacing w:before="120" w:beforeLines="50" w:after="120" w:afterLines="50" w:line="360" w:lineRule="auto"/>
        <w:ind w:firstLine="424" w:firstLineChars="202"/>
        <w:rPr>
          <w:rFonts w:hint="eastAsia" w:ascii="宋体" w:hAnsi="宋体" w:cs="宋体"/>
          <w:szCs w:val="21"/>
          <w:highlight w:val="none"/>
        </w:rPr>
      </w:pPr>
      <w:r>
        <w:rPr>
          <w:rFonts w:hint="eastAsia" w:ascii="Times New Roman" w:hAnsi="Times New Roman" w:cs="Times New Roman"/>
          <w:szCs w:val="21"/>
          <w:highlight w:val="none"/>
        </w:rPr>
        <w:t>Après confirmation par le Client de la solution de voyage, le Prestataire effectue la réservation conformément à ses instructions et l’informe sans délai de la date limite de maintien de la réservation afin que le Client puisse organiser l’émission du billet selon l’avancement de la mission. Le Prestataire coopère activement pour prolonger, lorsque cela est possible, la durée de maintien de la réservation.</w:t>
      </w:r>
    </w:p>
    <w:p w14:paraId="0CE63AB6">
      <w:pPr>
        <w:pStyle w:val="5"/>
        <w:spacing w:line="360" w:lineRule="auto"/>
        <w:rPr>
          <w:rFonts w:hint="eastAsia" w:ascii="宋体" w:hAnsi="宋体" w:cs="宋体"/>
          <w:b w:val="0"/>
          <w:bCs w:val="0"/>
          <w:sz w:val="21"/>
          <w:szCs w:val="21"/>
          <w:highlight w:val="none"/>
        </w:rPr>
      </w:pPr>
      <w:r>
        <w:rPr>
          <w:rFonts w:ascii="宋体" w:hAnsi="宋体" w:cs="宋体"/>
          <w:b w:val="0"/>
          <w:bCs w:val="0"/>
          <w:sz w:val="21"/>
          <w:szCs w:val="21"/>
          <w:highlight w:val="none"/>
        </w:rPr>
        <w:t>2.1.4出票确认</w:t>
      </w:r>
    </w:p>
    <w:p w14:paraId="1A2EF2F9">
      <w:pPr>
        <w:spacing w:line="360" w:lineRule="auto"/>
        <w:rPr>
          <w:rFonts w:hint="eastAsia" w:ascii="宋体" w:hAnsi="宋体" w:cs="宋体"/>
          <w:b w:val="0"/>
          <w:bCs w:val="0"/>
          <w:sz w:val="21"/>
          <w:szCs w:val="21"/>
          <w:highlight w:val="none"/>
        </w:rPr>
      </w:pPr>
      <w:r>
        <w:rPr>
          <w:rFonts w:ascii="Times New Roman" w:hAnsi="Times New Roman" w:cs="Times New Roman"/>
          <w:b w:val="0"/>
          <w:bCs w:val="0"/>
          <w:sz w:val="21"/>
          <w:szCs w:val="21"/>
          <w:highlight w:val="none"/>
        </w:rPr>
        <w:t>2.1.4 Confirmation de l’émission</w:t>
      </w:r>
    </w:p>
    <w:p w14:paraId="5861E1EC">
      <w:pPr>
        <w:spacing w:line="360" w:lineRule="auto"/>
        <w:rPr>
          <w:rFonts w:hint="eastAsia" w:ascii="宋体" w:hAnsi="宋体" w:cs="宋体"/>
          <w:szCs w:val="21"/>
          <w:highlight w:val="none"/>
        </w:rPr>
      </w:pPr>
      <w:r>
        <w:rPr>
          <w:rFonts w:ascii="宋体" w:hAnsi="宋体" w:cs="宋体"/>
          <w:bCs/>
          <w:szCs w:val="21"/>
          <w:highlight w:val="none"/>
        </w:rPr>
        <w:t>1）乙方</w:t>
      </w:r>
      <w:r>
        <w:rPr>
          <w:rFonts w:hint="eastAsia" w:ascii="宋体" w:hAnsi="宋体" w:cs="宋体"/>
          <w:szCs w:val="21"/>
          <w:highlight w:val="none"/>
        </w:rPr>
        <w:t>应根据</w:t>
      </w:r>
      <w:r>
        <w:rPr>
          <w:rFonts w:hint="eastAsia" w:ascii="宋体" w:hAnsi="宋体" w:cs="宋体"/>
          <w:bCs/>
          <w:szCs w:val="21"/>
          <w:highlight w:val="none"/>
        </w:rPr>
        <w:t>甲方</w:t>
      </w:r>
      <w:r>
        <w:rPr>
          <w:rFonts w:hint="eastAsia" w:ascii="宋体" w:hAnsi="宋体" w:cs="宋体"/>
          <w:szCs w:val="21"/>
          <w:highlight w:val="none"/>
        </w:rPr>
        <w:t>的要求，及时、准确地为其填开有效的国外、国内各航空公司机票，并根据需要协助甲方购买各项相关服务。</w:t>
      </w:r>
    </w:p>
    <w:p w14:paraId="6B4CFACF">
      <w:pPr>
        <w:spacing w:line="360" w:lineRule="auto"/>
        <w:rPr>
          <w:rFonts w:hint="eastAsia" w:ascii="宋体" w:hAnsi="宋体" w:cs="宋体"/>
          <w:szCs w:val="21"/>
          <w:highlight w:val="none"/>
        </w:rPr>
      </w:pPr>
      <w:r>
        <w:rPr>
          <w:rFonts w:ascii="Times New Roman" w:hAnsi="Times New Roman" w:cs="Times New Roman"/>
          <w:bCs/>
          <w:szCs w:val="21"/>
          <w:highlight w:val="none"/>
        </w:rPr>
        <w:t>1) Le Prestataire doit, conformément aux instructions du Client, émettre en temps utile et avec exactitude des billets valides des compagnies aériennes nationales et étrangères et, si nécessaire, aider le Client à acheter les services connexes.</w:t>
      </w:r>
    </w:p>
    <w:p w14:paraId="78DFB6EC">
      <w:pPr>
        <w:spacing w:line="360" w:lineRule="auto"/>
        <w:rPr>
          <w:rFonts w:hint="eastAsia" w:ascii="宋体" w:hAnsi="宋体" w:cs="宋体"/>
          <w:bCs/>
          <w:szCs w:val="21"/>
          <w:highlight w:val="none"/>
        </w:rPr>
      </w:pPr>
      <w:r>
        <w:rPr>
          <w:rFonts w:ascii="宋体" w:hAnsi="宋体" w:cs="宋体"/>
          <w:bCs/>
          <w:szCs w:val="21"/>
          <w:highlight w:val="none"/>
        </w:rPr>
        <w:t>2）每次国际机票出票后，乙方应向甲方提供一份旅行记录单，其中包括：</w:t>
      </w:r>
    </w:p>
    <w:p w14:paraId="17412FEA">
      <w:pPr>
        <w:spacing w:line="360" w:lineRule="auto"/>
        <w:rPr>
          <w:rFonts w:hint="eastAsia" w:ascii="宋体" w:hAnsi="宋体" w:cs="宋体"/>
          <w:bCs/>
          <w:szCs w:val="21"/>
          <w:highlight w:val="none"/>
        </w:rPr>
      </w:pPr>
      <w:r>
        <w:rPr>
          <w:rFonts w:ascii="Times New Roman" w:hAnsi="Times New Roman" w:cs="Times New Roman"/>
          <w:bCs/>
          <w:szCs w:val="21"/>
          <w:highlight w:val="none"/>
        </w:rPr>
        <w:t>2) Après chaque émission d’un billet international, le Prestataire remet au Client un relevé de voyage comprenant notamment :</w:t>
      </w:r>
    </w:p>
    <w:p w14:paraId="4A7AC87F">
      <w:pPr>
        <w:pStyle w:val="18"/>
        <w:numPr>
          <w:ilvl w:val="0"/>
          <w:numId w:val="0"/>
        </w:numPr>
        <w:spacing w:line="360" w:lineRule="auto"/>
        <w:ind w:left="360" w:leftChars="0"/>
        <w:rPr>
          <w:rFonts w:hint="eastAsia" w:hAnsi="宋体" w:cs="宋体"/>
          <w:szCs w:val="21"/>
          <w:highlight w:val="none"/>
          <w:lang w:eastAsia="zh-CN"/>
        </w:rPr>
      </w:pPr>
      <w:r>
        <w:rPr>
          <w:rFonts w:hint="eastAsia" w:hAnsi="宋体" w:cs="宋体"/>
          <w:szCs w:val="21"/>
          <w:highlight w:val="none"/>
        </w:rPr>
        <w:t>旅客</w:t>
      </w:r>
      <w:r>
        <w:rPr>
          <w:rFonts w:hAnsi="宋体" w:cs="宋体"/>
          <w:szCs w:val="21"/>
          <w:highlight w:val="none"/>
        </w:rPr>
        <w:t>姓名、出入境证件信息</w:t>
      </w:r>
      <w:r>
        <w:rPr>
          <w:rFonts w:hint="eastAsia" w:hAnsi="宋体" w:cs="宋体"/>
          <w:szCs w:val="21"/>
          <w:highlight w:val="none"/>
          <w:lang w:eastAsia="zh-CN"/>
        </w:rPr>
        <w:t>；</w:t>
      </w:r>
    </w:p>
    <w:p w14:paraId="22949B20">
      <w:pPr>
        <w:spacing w:line="360" w:lineRule="auto"/>
        <w:ind w:left="360" w:leftChars="0"/>
        <w:rPr>
          <w:rFonts w:hint="eastAsia" w:hAnsi="宋体" w:cs="宋体"/>
          <w:szCs w:val="21"/>
          <w:highlight w:val="none"/>
          <w:lang w:eastAsia="zh-CN"/>
        </w:rPr>
      </w:pPr>
      <w:r>
        <w:rPr>
          <w:rFonts w:hint="eastAsia" w:ascii="Times New Roman" w:hAnsi="Times New Roman" w:cs="Times New Roman"/>
          <w:szCs w:val="21"/>
          <w:highlight w:val="none"/>
        </w:rPr>
        <w:t>Nom du voyageur et informations relatives aux documents d’entrée et de sortie du territoire ;</w:t>
      </w:r>
    </w:p>
    <w:p w14:paraId="05270DE0">
      <w:pPr>
        <w:pStyle w:val="18"/>
        <w:numPr>
          <w:ilvl w:val="0"/>
          <w:numId w:val="0"/>
        </w:numPr>
        <w:spacing w:line="360" w:lineRule="auto"/>
        <w:ind w:left="360" w:leftChars="0"/>
        <w:rPr>
          <w:rFonts w:hint="eastAsia" w:hAnsi="宋体" w:eastAsia="宋体" w:cs="宋体"/>
          <w:szCs w:val="21"/>
          <w:highlight w:val="none"/>
          <w:lang w:eastAsia="zh-CN"/>
        </w:rPr>
      </w:pPr>
      <w:r>
        <w:rPr>
          <w:rFonts w:hint="eastAsia" w:hAnsi="宋体" w:cs="宋体"/>
          <w:szCs w:val="21"/>
          <w:highlight w:val="none"/>
        </w:rPr>
        <w:t>航空公司名称、旅客订座记录编号、电子客票号码</w:t>
      </w:r>
      <w:r>
        <w:rPr>
          <w:rFonts w:hint="eastAsia" w:hAnsi="宋体" w:cs="宋体"/>
          <w:szCs w:val="21"/>
          <w:highlight w:val="none"/>
          <w:lang w:eastAsia="zh-CN"/>
        </w:rPr>
        <w:t>；</w:t>
      </w:r>
    </w:p>
    <w:p w14:paraId="019489B9">
      <w:pPr>
        <w:spacing w:line="360" w:lineRule="auto"/>
        <w:ind w:left="360" w:leftChars="0"/>
        <w:rPr>
          <w:rFonts w:hint="eastAsia" w:hAnsi="宋体" w:eastAsia="宋体" w:cs="宋体"/>
          <w:szCs w:val="21"/>
          <w:highlight w:val="none"/>
          <w:lang w:eastAsia="zh-CN"/>
        </w:rPr>
      </w:pPr>
      <w:r>
        <w:rPr>
          <w:rFonts w:hint="eastAsia" w:ascii="Times New Roman" w:hAnsi="Times New Roman" w:cs="Times New Roman"/>
          <w:szCs w:val="21"/>
          <w:highlight w:val="none"/>
        </w:rPr>
        <w:t>Nom de la compagnie aérienne, référence de réservation du passager et numéro du billet électronique ;</w:t>
      </w:r>
    </w:p>
    <w:p w14:paraId="12D76BD1">
      <w:pPr>
        <w:pStyle w:val="18"/>
        <w:numPr>
          <w:ilvl w:val="0"/>
          <w:numId w:val="0"/>
        </w:numPr>
        <w:spacing w:line="360" w:lineRule="auto"/>
        <w:ind w:left="780" w:leftChars="0" w:hanging="420" w:firstLineChars="0"/>
        <w:rPr>
          <w:rFonts w:hint="eastAsia" w:hAnsi="宋体" w:eastAsia="宋体" w:cs="宋体"/>
          <w:szCs w:val="21"/>
          <w:highlight w:val="none"/>
          <w:lang w:eastAsia="zh-CN"/>
        </w:rPr>
      </w:pPr>
      <w:r>
        <w:rPr>
          <w:rFonts w:hint="eastAsia" w:hAnsi="宋体" w:cs="宋体"/>
          <w:szCs w:val="21"/>
          <w:highlight w:val="none"/>
        </w:rPr>
        <w:t>时间、航班号和舱位等级</w:t>
      </w:r>
      <w:r>
        <w:rPr>
          <w:rFonts w:hint="eastAsia" w:hAnsi="宋体" w:cs="宋体"/>
          <w:szCs w:val="21"/>
          <w:highlight w:val="none"/>
          <w:lang w:eastAsia="zh-CN"/>
        </w:rPr>
        <w:t>；</w:t>
      </w:r>
    </w:p>
    <w:p w14:paraId="1A4F869D">
      <w:pPr>
        <w:spacing w:line="360" w:lineRule="auto"/>
        <w:ind w:left="780" w:leftChars="0" w:hanging="420" w:firstLineChars="0"/>
        <w:rPr>
          <w:rFonts w:hint="eastAsia" w:hAnsi="宋体" w:eastAsia="宋体" w:cs="宋体"/>
          <w:szCs w:val="21"/>
          <w:highlight w:val="none"/>
          <w:lang w:eastAsia="zh-CN"/>
        </w:rPr>
      </w:pPr>
      <w:r>
        <w:rPr>
          <w:rFonts w:hint="eastAsia" w:ascii="Times New Roman" w:hAnsi="Times New Roman" w:cs="Times New Roman"/>
          <w:szCs w:val="21"/>
          <w:highlight w:val="none"/>
        </w:rPr>
        <w:t>Horaire, numéro de vol et classe de voyage ;</w:t>
      </w:r>
    </w:p>
    <w:p w14:paraId="623CE920">
      <w:pPr>
        <w:pStyle w:val="18"/>
        <w:numPr>
          <w:ilvl w:val="0"/>
          <w:numId w:val="0"/>
        </w:numPr>
        <w:spacing w:line="360" w:lineRule="auto"/>
        <w:ind w:left="780" w:leftChars="0" w:hanging="420" w:firstLineChars="0"/>
        <w:rPr>
          <w:rFonts w:hint="eastAsia" w:hAnsi="宋体" w:eastAsia="宋体" w:cs="宋体"/>
          <w:szCs w:val="21"/>
          <w:highlight w:val="none"/>
          <w:lang w:eastAsia="zh-CN"/>
        </w:rPr>
      </w:pPr>
      <w:r>
        <w:rPr>
          <w:rFonts w:hint="eastAsia" w:hAnsi="宋体" w:cs="宋体"/>
          <w:szCs w:val="21"/>
          <w:highlight w:val="none"/>
        </w:rPr>
        <w:t>每个具体行程的出发、到达时间、</w:t>
      </w:r>
      <w:r>
        <w:rPr>
          <w:rFonts w:hAnsi="宋体" w:cs="宋体"/>
          <w:szCs w:val="21"/>
          <w:highlight w:val="none"/>
        </w:rPr>
        <w:t>城市、机场、航站楼</w:t>
      </w:r>
      <w:r>
        <w:rPr>
          <w:rFonts w:hint="eastAsia" w:hAnsi="宋体" w:cs="宋体"/>
          <w:szCs w:val="21"/>
          <w:highlight w:val="none"/>
          <w:lang w:eastAsia="zh-CN"/>
        </w:rPr>
        <w:t>；</w:t>
      </w:r>
    </w:p>
    <w:p w14:paraId="2A4AA146">
      <w:pPr>
        <w:spacing w:line="360" w:lineRule="auto"/>
        <w:ind w:left="780" w:leftChars="0" w:hanging="420" w:firstLineChars="0"/>
        <w:rPr>
          <w:rFonts w:hint="eastAsia" w:hAnsi="宋体" w:eastAsia="宋体" w:cs="宋体"/>
          <w:szCs w:val="21"/>
          <w:highlight w:val="none"/>
          <w:lang w:eastAsia="zh-CN"/>
        </w:rPr>
      </w:pPr>
      <w:r>
        <w:rPr>
          <w:rFonts w:hint="eastAsia" w:ascii="Times New Roman" w:hAnsi="Times New Roman" w:cs="Times New Roman"/>
          <w:szCs w:val="21"/>
          <w:highlight w:val="none"/>
        </w:rPr>
        <w:t>Pour chaque segment de voyage : heures de départ et d’arrivée, villes, aéroports et terminaux ;</w:t>
      </w:r>
    </w:p>
    <w:p w14:paraId="13899DD0">
      <w:pPr>
        <w:numPr>
          <w:ilvl w:val="0"/>
          <w:numId w:val="0"/>
        </w:numPr>
        <w:spacing w:line="360" w:lineRule="auto"/>
        <w:ind w:left="780" w:leftChars="0" w:hanging="420" w:firstLineChars="0"/>
        <w:rPr>
          <w:rFonts w:hint="eastAsia" w:ascii="宋体" w:hAnsi="宋体" w:eastAsia="宋体" w:cs="宋体"/>
          <w:szCs w:val="21"/>
          <w:highlight w:val="none"/>
          <w:lang w:eastAsia="zh-CN"/>
        </w:rPr>
      </w:pPr>
      <w:r>
        <w:rPr>
          <w:rFonts w:hint="eastAsia" w:ascii="宋体" w:hAnsi="宋体" w:cs="宋体"/>
          <w:szCs w:val="21"/>
          <w:highlight w:val="none"/>
        </w:rPr>
        <w:t>所能提供的其它服务内容</w:t>
      </w:r>
      <w:r>
        <w:rPr>
          <w:rFonts w:hint="eastAsia" w:ascii="宋体" w:hAnsi="宋体" w:cs="宋体"/>
          <w:szCs w:val="21"/>
          <w:highlight w:val="none"/>
          <w:lang w:eastAsia="zh-CN"/>
        </w:rPr>
        <w:t>。</w:t>
      </w:r>
    </w:p>
    <w:p w14:paraId="29748DE1">
      <w:pPr>
        <w:spacing w:line="360" w:lineRule="auto"/>
        <w:ind w:left="780" w:leftChars="0" w:hanging="420" w:firstLineChars="0"/>
        <w:rPr>
          <w:rFonts w:hint="eastAsia" w:ascii="宋体" w:hAnsi="宋体" w:eastAsia="宋体" w:cs="宋体"/>
          <w:szCs w:val="21"/>
          <w:highlight w:val="none"/>
          <w:lang w:eastAsia="zh-CN"/>
        </w:rPr>
      </w:pPr>
      <w:r>
        <w:rPr>
          <w:rFonts w:hint="eastAsia" w:ascii="Times New Roman" w:hAnsi="Times New Roman" w:cs="Times New Roman"/>
          <w:szCs w:val="21"/>
          <w:highlight w:val="none"/>
        </w:rPr>
        <w:t>Autres services pouvant être fournis.</w:t>
      </w:r>
    </w:p>
    <w:p w14:paraId="7FE805A4">
      <w:pPr>
        <w:tabs>
          <w:tab w:val="left" w:pos="142"/>
        </w:tabs>
        <w:spacing w:before="120" w:beforeLines="50" w:after="120" w:afterLines="50" w:line="360" w:lineRule="auto"/>
        <w:rPr>
          <w:rFonts w:hint="eastAsia" w:ascii="宋体" w:hAnsi="宋体" w:cs="宋体"/>
          <w:szCs w:val="21"/>
          <w:highlight w:val="none"/>
        </w:rPr>
      </w:pPr>
      <w:r>
        <w:rPr>
          <w:rFonts w:ascii="宋体" w:hAnsi="宋体" w:cs="宋体"/>
          <w:szCs w:val="21"/>
          <w:highlight w:val="none"/>
        </w:rPr>
        <w:t>3）在出票的同时，根据甲方提出的需求，乙方应在航空公司开放的权限内，协助甲方旅客选定符合乘客需求的机上座位。</w:t>
      </w:r>
    </w:p>
    <w:p w14:paraId="5E812CBE">
      <w:pPr>
        <w:tabs>
          <w:tab w:val="left" w:pos="142"/>
        </w:tabs>
        <w:spacing w:before="120" w:beforeLines="50" w:after="120" w:afterLines="50" w:line="360" w:lineRule="auto"/>
        <w:rPr>
          <w:rFonts w:hint="eastAsia" w:ascii="宋体" w:hAnsi="宋体" w:cs="宋体"/>
          <w:szCs w:val="21"/>
          <w:highlight w:val="none"/>
        </w:rPr>
      </w:pPr>
      <w:r>
        <w:rPr>
          <w:rFonts w:ascii="Times New Roman" w:hAnsi="Times New Roman" w:cs="Times New Roman"/>
          <w:szCs w:val="21"/>
          <w:highlight w:val="none"/>
        </w:rPr>
        <w:t>3) Lors de l’émission, et selon les besoins exprimés par le Client, le Prestataire aide le voyageur à sélectionner un siège correspondant à ses besoins, dans la limite des possibilités ouvertes par la compagnie aérienne.</w:t>
      </w:r>
    </w:p>
    <w:p w14:paraId="6645CD2D">
      <w:pPr>
        <w:pStyle w:val="5"/>
        <w:spacing w:line="360" w:lineRule="auto"/>
        <w:rPr>
          <w:rFonts w:hint="eastAsia" w:ascii="宋体" w:hAnsi="宋体" w:cs="宋体"/>
          <w:b w:val="0"/>
          <w:bCs w:val="0"/>
          <w:sz w:val="21"/>
          <w:szCs w:val="21"/>
          <w:highlight w:val="none"/>
        </w:rPr>
      </w:pPr>
      <w:r>
        <w:rPr>
          <w:rFonts w:ascii="宋体" w:hAnsi="宋体" w:cs="宋体"/>
          <w:b w:val="0"/>
          <w:bCs w:val="0"/>
          <w:sz w:val="21"/>
          <w:szCs w:val="21"/>
          <w:highlight w:val="none"/>
        </w:rPr>
        <w:t>2.1.5全程保障</w:t>
      </w:r>
    </w:p>
    <w:p w14:paraId="5E737320">
      <w:pPr>
        <w:spacing w:line="360" w:lineRule="auto"/>
        <w:rPr>
          <w:rFonts w:hint="eastAsia" w:ascii="宋体" w:hAnsi="宋体" w:cs="宋体"/>
          <w:b w:val="0"/>
          <w:bCs w:val="0"/>
          <w:sz w:val="21"/>
          <w:szCs w:val="21"/>
          <w:highlight w:val="none"/>
        </w:rPr>
      </w:pPr>
      <w:r>
        <w:rPr>
          <w:rFonts w:ascii="Times New Roman" w:hAnsi="Times New Roman" w:cs="Times New Roman"/>
          <w:b w:val="0"/>
          <w:bCs w:val="0"/>
          <w:sz w:val="21"/>
          <w:szCs w:val="21"/>
          <w:highlight w:val="none"/>
        </w:rPr>
        <w:t>2.1.5 Assistance pendant l’ensemble du déplacement</w:t>
      </w:r>
    </w:p>
    <w:p w14:paraId="3F372015">
      <w:pPr>
        <w:spacing w:line="360" w:lineRule="auto"/>
        <w:rPr>
          <w:rFonts w:hint="eastAsia" w:ascii="宋体" w:hAnsi="宋体" w:cs="宋体"/>
          <w:szCs w:val="21"/>
          <w:highlight w:val="none"/>
        </w:rPr>
      </w:pPr>
      <w:r>
        <w:rPr>
          <w:rFonts w:ascii="宋体" w:hAnsi="宋体" w:cs="宋体"/>
          <w:szCs w:val="21"/>
          <w:highlight w:val="none"/>
        </w:rPr>
        <w:t>1）旅行前：乙方的</w:t>
      </w:r>
      <w:r>
        <w:rPr>
          <w:rFonts w:hint="eastAsia" w:ascii="宋体" w:hAnsi="宋体" w:cs="宋体"/>
          <w:szCs w:val="21"/>
          <w:highlight w:val="none"/>
        </w:rPr>
        <w:t>主要工作是查询和预订。乙方服务专员应根据甲方旅客的计划和要求，提供方案并进行预订。乙方应充分理解甲方旅客的需求，结合甲方的国际差旅规定，为甲方旅客提供一</w:t>
      </w:r>
      <w:r>
        <w:rPr>
          <w:rFonts w:ascii="宋体" w:hAnsi="宋体" w:cs="宋体"/>
          <w:szCs w:val="21"/>
          <w:highlight w:val="none"/>
        </w:rPr>
        <w:t>至</w:t>
      </w:r>
      <w:r>
        <w:rPr>
          <w:rFonts w:hint="eastAsia" w:ascii="宋体" w:hAnsi="宋体" w:cs="宋体"/>
          <w:szCs w:val="21"/>
          <w:highlight w:val="none"/>
        </w:rPr>
        <w:t>多套出行方案提供选择。经甲方确认后，乙方应准确及时地为旅客完成预订。</w:t>
      </w:r>
      <w:r>
        <w:rPr>
          <w:rFonts w:ascii="宋体" w:hAnsi="宋体" w:cs="宋体"/>
          <w:szCs w:val="21"/>
          <w:highlight w:val="none"/>
        </w:rPr>
        <w:t xml:space="preserve"> </w:t>
      </w:r>
    </w:p>
    <w:p w14:paraId="4DDBC8B4">
      <w:pPr>
        <w:spacing w:line="360" w:lineRule="auto"/>
        <w:rPr>
          <w:rFonts w:hint="eastAsia" w:ascii="宋体" w:hAnsi="宋体" w:cs="宋体"/>
          <w:szCs w:val="21"/>
          <w:highlight w:val="none"/>
        </w:rPr>
      </w:pPr>
      <w:r>
        <w:rPr>
          <w:rFonts w:ascii="Times New Roman" w:hAnsi="Times New Roman" w:cs="Times New Roman"/>
          <w:szCs w:val="21"/>
          <w:highlight w:val="none"/>
        </w:rPr>
        <w:t>1) Avant le voyage : le Prestataire assure principalement la recherche et la réservation. L’agent de service propose des solutions et effectue les réservations en fonction du programme et des exigences du voyageur. Il doit comprendre pleinement les besoins du voyageur et, compte tenu des règles du Client relatives aux déplacements internationaux, proposer une ou plusieurs options. Après confirmation du Client, il effectue la réservation de manière exacte et en temps utile.</w:t>
      </w:r>
    </w:p>
    <w:p w14:paraId="54959969">
      <w:pPr>
        <w:spacing w:line="360" w:lineRule="auto"/>
        <w:rPr>
          <w:rFonts w:hint="eastAsia" w:ascii="宋体" w:hAnsi="宋体" w:cs="宋体"/>
          <w:szCs w:val="21"/>
          <w:highlight w:val="none"/>
        </w:rPr>
      </w:pPr>
      <w:r>
        <w:rPr>
          <w:rFonts w:ascii="宋体" w:hAnsi="宋体" w:cs="宋体"/>
          <w:szCs w:val="21"/>
          <w:highlight w:val="none"/>
        </w:rPr>
        <w:t xml:space="preserve">2）旅行中：乙方的主要工作是跟进。从出发开始一直到旅行结束，甲方旅客的差旅安全和旅行保障是乙方关注的重点。乙方服务专员应全程跟踪甲方旅客的旅行过程，对甲方旅客旅行中的临时行程变更，乙方应及时协助处理。旅行中若发生紧急事件，乙方应利用自身全球的网络渠道和资源为甲方旅客提供及时有效的帮助。 </w:t>
      </w:r>
    </w:p>
    <w:p w14:paraId="001D9485">
      <w:pPr>
        <w:spacing w:line="360" w:lineRule="auto"/>
        <w:rPr>
          <w:rFonts w:hint="eastAsia" w:ascii="宋体" w:hAnsi="宋体" w:cs="宋体"/>
          <w:szCs w:val="21"/>
          <w:highlight w:val="none"/>
        </w:rPr>
      </w:pPr>
      <w:r>
        <w:rPr>
          <w:rFonts w:ascii="Times New Roman" w:hAnsi="Times New Roman" w:cs="Times New Roman"/>
          <w:szCs w:val="21"/>
          <w:highlight w:val="none"/>
        </w:rPr>
        <w:t>2) Pendant le voyage : le Prestataire assure principalement le suivi. De la date de départ jusqu’à la fin du voyage, il accorde une attention particulière à la sécurité et à l’assistance du voyageur. L’agent de service suit l’ensemble du déplacement et aide sans délai à traiter toute modification temporaire d’itinéraire. En cas d’urgence, le Prestataire mobilise son réseau et ses ressources internationales afin d’apporter une assistance rapide et efficace.</w:t>
      </w:r>
    </w:p>
    <w:p w14:paraId="0122B929">
      <w:pPr>
        <w:spacing w:line="360" w:lineRule="auto"/>
        <w:rPr>
          <w:rFonts w:hint="eastAsia" w:ascii="宋体" w:hAnsi="宋体" w:cs="宋体"/>
          <w:szCs w:val="21"/>
          <w:highlight w:val="none"/>
        </w:rPr>
      </w:pPr>
      <w:r>
        <w:rPr>
          <w:rFonts w:ascii="宋体" w:hAnsi="宋体" w:cs="宋体"/>
          <w:szCs w:val="21"/>
          <w:highlight w:val="none"/>
        </w:rPr>
        <w:t>3）旅行后：乙方的主要工作是结算和分析。乙方应按照甲方的要求定制账单报表，并且针对甲方的差旅数据，定期提供差旅分析报告，帮助甲方分析差旅现状，通过分享乙方的差旅管理经验，帮助甲方在差旅合规和差旅成本节省方面进行合理的优化，从而在成本控制的前提下进一步提高差旅效率和旅客体验。</w:t>
      </w:r>
    </w:p>
    <w:p w14:paraId="5B98BE3E">
      <w:pPr>
        <w:spacing w:line="360" w:lineRule="auto"/>
        <w:rPr>
          <w:rFonts w:hint="eastAsia" w:ascii="宋体" w:hAnsi="宋体" w:cs="宋体"/>
          <w:szCs w:val="21"/>
          <w:highlight w:val="none"/>
        </w:rPr>
      </w:pPr>
      <w:r>
        <w:rPr>
          <w:rFonts w:ascii="Times New Roman" w:hAnsi="Times New Roman" w:cs="Times New Roman"/>
          <w:szCs w:val="21"/>
          <w:highlight w:val="none"/>
        </w:rPr>
        <w:t>3) Après le voyage : le Prestataire assure principalement le règlement et l’analyse. Il établit les relevés selon les exigences du Client et fournit périodiquement des rapports d’analyse des déplacements afin d’aider le Client à évaluer sa situation, à optimiser la conformité et les économies de coûts grâce à l’expérience du Prestataire en gestion des déplacements, et à améliorer l’efficacité des voyages et l’expérience des voyageurs tout en maîtrisant les coûts.</w:t>
      </w:r>
    </w:p>
    <w:p w14:paraId="7F941722">
      <w:pPr>
        <w:pStyle w:val="3"/>
        <w:spacing w:line="360" w:lineRule="auto"/>
        <w:rPr>
          <w:rFonts w:hint="eastAsia" w:ascii="宋体" w:hAnsi="宋体" w:eastAsia="宋体" w:cs="宋体"/>
          <w:b w:val="0"/>
          <w:bCs/>
          <w:sz w:val="21"/>
          <w:szCs w:val="21"/>
          <w:highlight w:val="none"/>
        </w:rPr>
      </w:pPr>
      <w:bookmarkStart w:id="39" w:name="_Toc15690"/>
      <w:r>
        <w:rPr>
          <w:rFonts w:ascii="宋体" w:hAnsi="宋体" w:eastAsia="宋体" w:cs="宋体"/>
          <w:b w:val="0"/>
          <w:bCs/>
          <w:sz w:val="21"/>
          <w:szCs w:val="21"/>
          <w:highlight w:val="none"/>
        </w:rPr>
        <w:t>2.2</w:t>
      </w:r>
      <w:r>
        <w:rPr>
          <w:rFonts w:hint="eastAsia" w:ascii="宋体" w:hAnsi="宋体" w:eastAsia="宋体" w:cs="宋体"/>
          <w:b w:val="0"/>
          <w:bCs/>
          <w:sz w:val="21"/>
          <w:szCs w:val="21"/>
          <w:highlight w:val="none"/>
        </w:rPr>
        <w:t>改退</w:t>
      </w:r>
      <w:bookmarkEnd w:id="39"/>
    </w:p>
    <w:p w14:paraId="09CE1747">
      <w:pPr>
        <w:spacing w:line="360" w:lineRule="auto"/>
        <w:rPr>
          <w:rFonts w:hint="eastAsia" w:ascii="宋体" w:hAnsi="宋体" w:eastAsia="宋体" w:cs="宋体"/>
          <w:b w:val="0"/>
          <w:bCs/>
          <w:sz w:val="21"/>
          <w:szCs w:val="21"/>
          <w:highlight w:val="none"/>
        </w:rPr>
      </w:pPr>
      <w:r>
        <w:rPr>
          <w:rFonts w:ascii="Times New Roman" w:hAnsi="Times New Roman" w:eastAsia="宋体" w:cs="Times New Roman"/>
          <w:b w:val="0"/>
          <w:bCs/>
          <w:sz w:val="21"/>
          <w:szCs w:val="21"/>
          <w:highlight w:val="none"/>
        </w:rPr>
        <w:t>2.2 Modifications et remboursements</w:t>
      </w:r>
    </w:p>
    <w:p w14:paraId="2CDB9D3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机票开出后进行更改，须按航空公司有关规定执行。折扣机票在更改时会有各种限制，乙方应在预订和出票时向甲方说明，并根据甲方的要求选择合理的票价，以避免给旅客造成不必要的损失。乙方服务专员在甲方相关人员预订时应告知退改签政策，并提供</w:t>
      </w:r>
      <w:r>
        <w:rPr>
          <w:rFonts w:ascii="宋体" w:hAnsi="宋体" w:cs="宋体"/>
          <w:szCs w:val="21"/>
          <w:highlight w:val="none"/>
        </w:rPr>
        <w:t xml:space="preserve"> 7×24小时退改签咨询服务，退改签政策按航空公司统一规定执行。</w:t>
      </w:r>
    </w:p>
    <w:p w14:paraId="51520279">
      <w:pPr>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Toute modification après émission du billet est effectuée conformément aux règles de la compagnie aérienne. Les billets à tarif réduit peuvent être soumis à diverses restrictions ; le Prestataire doit les expliquer au Client lors de la réservation et de l’émission et sélectionner, selon les besoins du Client, un tarif approprié afin d’éviter toute perte inutile au voyageur. Lors de la réservation, l’agent du Prestataire informe les personnes concernées des règles de modification et de remboursement et assure un service de conseil 24 h/24 et 7 j/7. Les règles de modification et de remboursement sont celles uniformément appliquées par la compagnie aérienne.</w:t>
      </w:r>
    </w:p>
    <w:p w14:paraId="79006FB5">
      <w:pPr>
        <w:pStyle w:val="5"/>
        <w:spacing w:line="360" w:lineRule="auto"/>
        <w:rPr>
          <w:rFonts w:hint="eastAsia" w:ascii="宋体" w:hAnsi="宋体" w:cs="宋体"/>
          <w:b w:val="0"/>
          <w:bCs w:val="0"/>
          <w:sz w:val="21"/>
          <w:szCs w:val="21"/>
          <w:highlight w:val="none"/>
        </w:rPr>
      </w:pPr>
      <w:r>
        <w:rPr>
          <w:rFonts w:ascii="宋体" w:hAnsi="宋体" w:cs="宋体"/>
          <w:b w:val="0"/>
          <w:bCs w:val="0"/>
          <w:sz w:val="21"/>
          <w:szCs w:val="21"/>
          <w:highlight w:val="none"/>
        </w:rPr>
        <w:t>2.2.1改签流程</w:t>
      </w:r>
    </w:p>
    <w:p w14:paraId="71B0219D">
      <w:pPr>
        <w:spacing w:line="360" w:lineRule="auto"/>
        <w:rPr>
          <w:rFonts w:hint="eastAsia" w:ascii="宋体" w:hAnsi="宋体" w:cs="宋体"/>
          <w:b w:val="0"/>
          <w:bCs w:val="0"/>
          <w:sz w:val="21"/>
          <w:szCs w:val="21"/>
          <w:highlight w:val="none"/>
        </w:rPr>
      </w:pPr>
      <w:r>
        <w:rPr>
          <w:rFonts w:ascii="Times New Roman" w:hAnsi="Times New Roman" w:cs="Times New Roman"/>
          <w:b w:val="0"/>
          <w:bCs w:val="0"/>
          <w:sz w:val="21"/>
          <w:szCs w:val="21"/>
          <w:highlight w:val="none"/>
        </w:rPr>
        <w:t>2.2.1 Procédure de modification</w:t>
      </w:r>
    </w:p>
    <w:p w14:paraId="7C019845">
      <w:pPr>
        <w:pStyle w:val="159"/>
        <w:numPr>
          <w:ilvl w:val="2"/>
          <w:numId w:val="4"/>
        </w:numPr>
        <w:spacing w:before="120" w:beforeLines="50" w:after="120" w:afterLines="50" w:line="360" w:lineRule="auto"/>
        <w:ind w:left="0" w:right="315" w:firstLine="0" w:firstLineChars="0"/>
        <w:jc w:val="left"/>
        <w:rPr>
          <w:rFonts w:hint="eastAsia" w:ascii="宋体" w:hAnsi="宋体" w:cs="宋体"/>
          <w:szCs w:val="21"/>
          <w:highlight w:val="none"/>
        </w:rPr>
      </w:pPr>
      <w:r>
        <w:rPr>
          <w:rFonts w:hint="eastAsia" w:ascii="宋体" w:hAnsi="宋体" w:cs="宋体"/>
          <w:szCs w:val="21"/>
          <w:highlight w:val="none"/>
        </w:rPr>
        <w:t>甲方订票人通过电话、邮件、短信或其他经双方认可的即时通讯方式联系乙方服务专员提出改签需求。</w:t>
      </w:r>
    </w:p>
    <w:p w14:paraId="619C4259">
      <w:pPr>
        <w:spacing w:before="120" w:beforeLines="50" w:after="120" w:afterLines="50" w:line="360" w:lineRule="auto"/>
        <w:ind w:left="0" w:right="315" w:firstLine="0" w:firstLineChars="0"/>
        <w:jc w:val="left"/>
        <w:rPr>
          <w:rFonts w:hint="eastAsia" w:ascii="宋体" w:hAnsi="宋体" w:cs="宋体"/>
          <w:szCs w:val="21"/>
          <w:highlight w:val="none"/>
        </w:rPr>
      </w:pPr>
      <w:r>
        <w:rPr>
          <w:rFonts w:hint="eastAsia" w:ascii="Times New Roman" w:hAnsi="Times New Roman" w:cs="Times New Roman"/>
          <w:szCs w:val="21"/>
          <w:highlight w:val="none"/>
        </w:rPr>
        <w:t>La personne chargée des réservations pour le Client contacte l’agent du Prestataire par téléphone, courrier électronique, SMS ou tout autre moyen de messagerie instantanée reconnu par les deux parties afin de demander une modification.</w:t>
      </w:r>
    </w:p>
    <w:p w14:paraId="63EB8FE5">
      <w:pPr>
        <w:pStyle w:val="159"/>
        <w:numPr>
          <w:ilvl w:val="2"/>
          <w:numId w:val="4"/>
        </w:numPr>
        <w:spacing w:before="120" w:beforeLines="50" w:after="120" w:afterLines="50" w:line="360" w:lineRule="auto"/>
        <w:ind w:left="0" w:right="315" w:firstLine="0" w:firstLineChars="0"/>
        <w:jc w:val="left"/>
        <w:rPr>
          <w:rFonts w:hint="eastAsia" w:ascii="宋体" w:hAnsi="宋体" w:cs="宋体"/>
          <w:szCs w:val="21"/>
          <w:highlight w:val="none"/>
        </w:rPr>
      </w:pPr>
      <w:r>
        <w:rPr>
          <w:rFonts w:hint="eastAsia" w:ascii="宋体" w:hAnsi="宋体" w:cs="宋体"/>
          <w:szCs w:val="21"/>
          <w:highlight w:val="none"/>
        </w:rPr>
        <w:t>乙方服务专员应根据航空公司对应票价的相关改签规定，告知甲方订票人是否可以办理改签及所需费用，并在订票系统中进行更改。对于无法更改的机票，乙方应提出合理建议。</w:t>
      </w:r>
    </w:p>
    <w:p w14:paraId="5EE821E3">
      <w:pPr>
        <w:spacing w:before="120" w:beforeLines="50" w:after="120" w:afterLines="50" w:line="360" w:lineRule="auto"/>
        <w:ind w:left="0" w:right="315" w:firstLine="0" w:firstLineChars="0"/>
        <w:jc w:val="left"/>
        <w:rPr>
          <w:rFonts w:hint="eastAsia" w:ascii="宋体" w:hAnsi="宋体" w:cs="宋体"/>
          <w:szCs w:val="21"/>
          <w:highlight w:val="none"/>
        </w:rPr>
      </w:pPr>
      <w:r>
        <w:rPr>
          <w:rFonts w:hint="eastAsia" w:ascii="Times New Roman" w:hAnsi="Times New Roman" w:cs="Times New Roman"/>
          <w:szCs w:val="21"/>
          <w:highlight w:val="none"/>
        </w:rPr>
        <w:t>L’agent du Prestataire informe la personne chargée des réservations de la possibilité de modifier le billet et des frais correspondants conformément aux règles de modification applicables au tarif de la compagnie aérienne, puis effectue la modification dans le système de réservation. Pour les billets non modifiables, il propose une solution raisonnable.</w:t>
      </w:r>
    </w:p>
    <w:p w14:paraId="7713443E">
      <w:pPr>
        <w:pStyle w:val="159"/>
        <w:numPr>
          <w:ilvl w:val="0"/>
          <w:numId w:val="5"/>
        </w:numPr>
        <w:spacing w:before="120" w:beforeLines="50" w:after="120" w:afterLines="50" w:line="360" w:lineRule="auto"/>
        <w:ind w:right="315" w:firstLineChars="0"/>
        <w:jc w:val="left"/>
        <w:rPr>
          <w:rFonts w:hint="eastAsia" w:ascii="宋体" w:hAnsi="宋体" w:cs="宋体"/>
          <w:szCs w:val="21"/>
          <w:highlight w:val="none"/>
        </w:rPr>
      </w:pPr>
      <w:r>
        <w:rPr>
          <w:rFonts w:hint="eastAsia" w:ascii="宋体" w:hAnsi="宋体" w:cs="宋体"/>
          <w:szCs w:val="21"/>
          <w:highlight w:val="none"/>
        </w:rPr>
        <w:t>甲方订票人确认改签后，乙方服务专员应按航空</w:t>
      </w:r>
      <w:r>
        <w:rPr>
          <w:rFonts w:ascii="宋体" w:hAnsi="宋体" w:cs="宋体"/>
          <w:szCs w:val="21"/>
          <w:highlight w:val="none"/>
        </w:rPr>
        <w:t>公</w:t>
      </w:r>
      <w:r>
        <w:rPr>
          <w:rFonts w:hint="eastAsia" w:ascii="宋体" w:hAnsi="宋体" w:cs="宋体"/>
          <w:szCs w:val="21"/>
          <w:highlight w:val="none"/>
        </w:rPr>
        <w:t>司规定办理改签手续。</w:t>
      </w:r>
    </w:p>
    <w:p w14:paraId="62D0D04D">
      <w:pPr>
        <w:spacing w:before="120" w:beforeLines="50" w:after="120" w:afterLines="50" w:line="360" w:lineRule="auto"/>
        <w:ind w:right="315" w:firstLineChars="0"/>
        <w:jc w:val="left"/>
        <w:rPr>
          <w:rFonts w:hint="eastAsia" w:ascii="宋体" w:hAnsi="宋体" w:cs="宋体"/>
          <w:szCs w:val="21"/>
          <w:highlight w:val="none"/>
        </w:rPr>
      </w:pPr>
      <w:r>
        <w:rPr>
          <w:rFonts w:hint="eastAsia" w:ascii="Times New Roman" w:hAnsi="Times New Roman" w:cs="Times New Roman"/>
          <w:szCs w:val="21"/>
          <w:highlight w:val="none"/>
        </w:rPr>
        <w:t>Après confirmation de la modification par la personne chargée des réservations, l’agent du Prestataire effectue les formalités conformément aux règles de la compagnie aérienne.</w:t>
      </w:r>
    </w:p>
    <w:p w14:paraId="548D0B33">
      <w:pPr>
        <w:pStyle w:val="159"/>
        <w:numPr>
          <w:ilvl w:val="0"/>
          <w:numId w:val="5"/>
        </w:numPr>
        <w:spacing w:before="120" w:beforeLines="50" w:after="120" w:afterLines="50" w:line="360" w:lineRule="auto"/>
        <w:ind w:right="315" w:firstLineChars="0"/>
        <w:jc w:val="left"/>
        <w:rPr>
          <w:rFonts w:hint="eastAsia" w:ascii="宋体" w:hAnsi="宋体" w:cs="宋体"/>
          <w:szCs w:val="21"/>
          <w:highlight w:val="none"/>
        </w:rPr>
      </w:pPr>
      <w:r>
        <w:rPr>
          <w:rFonts w:hint="eastAsia" w:ascii="宋体" w:hAnsi="宋体" w:cs="宋体"/>
          <w:szCs w:val="21"/>
          <w:highlight w:val="none"/>
        </w:rPr>
        <w:t>乙方服务专员确认改期成功后，以邮件或短信等方式将新行程发至甲方订票人，如有相关费用应一并告知。</w:t>
      </w:r>
    </w:p>
    <w:p w14:paraId="0130D70D">
      <w:pPr>
        <w:spacing w:before="120" w:beforeLines="50" w:after="120" w:afterLines="50" w:line="360" w:lineRule="auto"/>
        <w:ind w:right="315" w:firstLineChars="0"/>
        <w:jc w:val="left"/>
        <w:rPr>
          <w:rFonts w:hint="eastAsia" w:ascii="宋体" w:hAnsi="宋体" w:cs="宋体"/>
          <w:szCs w:val="21"/>
          <w:highlight w:val="none"/>
        </w:rPr>
      </w:pPr>
      <w:r>
        <w:rPr>
          <w:rFonts w:hint="eastAsia" w:ascii="Times New Roman" w:hAnsi="Times New Roman" w:cs="Times New Roman"/>
          <w:szCs w:val="21"/>
          <w:highlight w:val="none"/>
        </w:rPr>
        <w:t>Après confirmation de la modification, l’agent du Prestataire transmet le nouvel itinéraire par courrier électronique, SMS ou tout autre moyen approprié et indique simultanément les frais éventuels.</w:t>
      </w:r>
    </w:p>
    <w:p w14:paraId="33680043">
      <w:pPr>
        <w:pStyle w:val="159"/>
        <w:numPr>
          <w:ilvl w:val="0"/>
          <w:numId w:val="5"/>
        </w:numPr>
        <w:spacing w:before="120" w:beforeLines="50" w:after="120" w:afterLines="50" w:line="360" w:lineRule="auto"/>
        <w:ind w:right="315" w:firstLineChars="0"/>
        <w:jc w:val="left"/>
        <w:rPr>
          <w:rFonts w:hint="eastAsia" w:ascii="宋体" w:hAnsi="宋体" w:cs="宋体"/>
          <w:szCs w:val="21"/>
          <w:highlight w:val="none"/>
        </w:rPr>
      </w:pPr>
      <w:r>
        <w:rPr>
          <w:rFonts w:hint="eastAsia" w:ascii="宋体" w:hAnsi="宋体" w:cs="宋体"/>
          <w:szCs w:val="21"/>
          <w:highlight w:val="none"/>
        </w:rPr>
        <w:t>甲方改签产生的费用与机票款一并结算，乙方应按照本协议第4.1.1款提供相应的航空运输电子客票行程单及合法有效发票。</w:t>
      </w:r>
    </w:p>
    <w:p w14:paraId="2A8012B4">
      <w:pPr>
        <w:spacing w:before="120" w:beforeLines="50" w:after="120" w:afterLines="50" w:line="360" w:lineRule="auto"/>
        <w:ind w:right="315" w:firstLineChars="0"/>
        <w:jc w:val="left"/>
        <w:rPr>
          <w:rFonts w:hint="eastAsia" w:ascii="宋体" w:hAnsi="宋体" w:cs="宋体"/>
          <w:szCs w:val="21"/>
          <w:highlight w:val="none"/>
        </w:rPr>
      </w:pPr>
      <w:r>
        <w:rPr>
          <w:rFonts w:hint="eastAsia" w:ascii="Times New Roman" w:hAnsi="Times New Roman" w:cs="Times New Roman"/>
          <w:szCs w:val="21"/>
          <w:highlight w:val="none"/>
        </w:rPr>
        <w:t>Les frais résultant d’une modification sont réglés avec le prix du billet. Le Prestataire fournit, conformément à l’article 4.1.1 de la présente convention, le reçu-itinéraire du billet électronique de transport aérien correspondant ainsi qu’une facture régulière et valable.</w:t>
      </w:r>
    </w:p>
    <w:p w14:paraId="1BF29D30">
      <w:pPr>
        <w:pStyle w:val="5"/>
        <w:spacing w:line="360" w:lineRule="auto"/>
        <w:rPr>
          <w:rFonts w:hint="eastAsia" w:ascii="宋体" w:hAnsi="宋体" w:cs="宋体"/>
          <w:b w:val="0"/>
          <w:bCs w:val="0"/>
          <w:sz w:val="21"/>
          <w:szCs w:val="21"/>
          <w:highlight w:val="none"/>
        </w:rPr>
      </w:pPr>
      <w:r>
        <w:rPr>
          <w:rFonts w:ascii="宋体" w:hAnsi="宋体" w:cs="宋体"/>
          <w:b w:val="0"/>
          <w:bCs w:val="0"/>
          <w:sz w:val="21"/>
          <w:szCs w:val="21"/>
          <w:highlight w:val="none"/>
        </w:rPr>
        <w:t>2.2.2退票流程</w:t>
      </w:r>
    </w:p>
    <w:p w14:paraId="4D56B12D">
      <w:pPr>
        <w:spacing w:line="360" w:lineRule="auto"/>
        <w:rPr>
          <w:rFonts w:hint="eastAsia" w:ascii="宋体" w:hAnsi="宋体" w:cs="宋体"/>
          <w:b w:val="0"/>
          <w:bCs w:val="0"/>
          <w:sz w:val="21"/>
          <w:szCs w:val="21"/>
          <w:highlight w:val="none"/>
        </w:rPr>
      </w:pPr>
      <w:r>
        <w:rPr>
          <w:rFonts w:ascii="Times New Roman" w:hAnsi="Times New Roman" w:cs="Times New Roman"/>
          <w:b w:val="0"/>
          <w:bCs w:val="0"/>
          <w:sz w:val="21"/>
          <w:szCs w:val="21"/>
          <w:highlight w:val="none"/>
        </w:rPr>
        <w:t>2.2.2 Procédure de remboursement</w:t>
      </w:r>
    </w:p>
    <w:p w14:paraId="6B1350C9">
      <w:pPr>
        <w:pStyle w:val="159"/>
        <w:numPr>
          <w:ilvl w:val="0"/>
          <w:numId w:val="6"/>
        </w:numPr>
        <w:spacing w:before="120" w:beforeLines="50" w:after="120" w:afterLines="50" w:line="360" w:lineRule="auto"/>
        <w:ind w:right="315" w:firstLineChars="0"/>
        <w:jc w:val="left"/>
        <w:rPr>
          <w:rFonts w:hint="eastAsia" w:ascii="宋体" w:hAnsi="宋体" w:cs="宋体"/>
          <w:szCs w:val="21"/>
          <w:highlight w:val="none"/>
        </w:rPr>
      </w:pPr>
      <w:r>
        <w:rPr>
          <w:rFonts w:hint="eastAsia" w:ascii="宋体" w:hAnsi="宋体" w:cs="宋体"/>
          <w:szCs w:val="21"/>
          <w:highlight w:val="none"/>
        </w:rPr>
        <w:t>甲方订票人通过电话、邮件、短信或其他经双方认可的即时通讯方式联系乙方服务专员，提出退票需求。</w:t>
      </w:r>
    </w:p>
    <w:p w14:paraId="43E9DC21">
      <w:pPr>
        <w:spacing w:before="120" w:beforeLines="50" w:after="120" w:afterLines="50" w:line="360" w:lineRule="auto"/>
        <w:ind w:right="315" w:firstLineChars="0"/>
        <w:jc w:val="left"/>
        <w:rPr>
          <w:rFonts w:hint="eastAsia" w:ascii="宋体" w:hAnsi="宋体" w:cs="宋体"/>
          <w:szCs w:val="21"/>
          <w:highlight w:val="none"/>
        </w:rPr>
      </w:pPr>
      <w:r>
        <w:rPr>
          <w:rFonts w:hint="eastAsia" w:ascii="Times New Roman" w:hAnsi="Times New Roman" w:cs="Times New Roman"/>
          <w:szCs w:val="21"/>
          <w:highlight w:val="none"/>
        </w:rPr>
        <w:t>La personne chargée des réservations pour le Client contacte l’agent du Prestataire par téléphone, courrier électronique, SMS ou tout autre moyen de messagerie instantanée reconnu par les deux parties afin de demander le remboursement du billet.</w:t>
      </w:r>
    </w:p>
    <w:p w14:paraId="6795D750">
      <w:pPr>
        <w:pStyle w:val="159"/>
        <w:numPr>
          <w:ilvl w:val="0"/>
          <w:numId w:val="6"/>
        </w:numPr>
        <w:spacing w:before="120" w:beforeLines="50" w:after="120" w:afterLines="50" w:line="360" w:lineRule="auto"/>
        <w:ind w:right="315" w:firstLineChars="0"/>
        <w:jc w:val="left"/>
        <w:rPr>
          <w:rFonts w:hint="eastAsia" w:ascii="宋体" w:hAnsi="宋体" w:cs="宋体"/>
          <w:szCs w:val="21"/>
          <w:highlight w:val="none"/>
        </w:rPr>
      </w:pPr>
      <w:r>
        <w:rPr>
          <w:rFonts w:hint="eastAsia" w:ascii="宋体" w:hAnsi="宋体" w:cs="宋体"/>
          <w:szCs w:val="21"/>
          <w:highlight w:val="none"/>
        </w:rPr>
        <w:t>乙方服务专员根据航空公司对应票价的相关退票规定，告知甲方订票人是否可以办理退票及所需费用。</w:t>
      </w:r>
    </w:p>
    <w:p w14:paraId="62725911">
      <w:pPr>
        <w:spacing w:before="120" w:beforeLines="50" w:after="120" w:afterLines="50" w:line="360" w:lineRule="auto"/>
        <w:ind w:right="315" w:firstLineChars="0"/>
        <w:jc w:val="left"/>
        <w:rPr>
          <w:rFonts w:hint="eastAsia" w:ascii="宋体" w:hAnsi="宋体" w:cs="宋体"/>
          <w:szCs w:val="21"/>
          <w:highlight w:val="none"/>
        </w:rPr>
      </w:pPr>
      <w:r>
        <w:rPr>
          <w:rFonts w:hint="eastAsia" w:ascii="Times New Roman" w:hAnsi="Times New Roman" w:cs="Times New Roman"/>
          <w:szCs w:val="21"/>
          <w:highlight w:val="none"/>
        </w:rPr>
        <w:t>L’agent du Prestataire informe la personne chargée des réservations, conformément aux règles de remboursement applicables au tarif de la compagnie aérienne, de la possibilité de procéder au remboursement et des frais correspondants.</w:t>
      </w:r>
    </w:p>
    <w:p w14:paraId="5D864E48">
      <w:pPr>
        <w:pStyle w:val="159"/>
        <w:numPr>
          <w:ilvl w:val="0"/>
          <w:numId w:val="6"/>
        </w:numPr>
        <w:spacing w:before="120" w:beforeLines="50" w:after="120" w:afterLines="50" w:line="360" w:lineRule="auto"/>
        <w:ind w:right="315" w:firstLineChars="0"/>
        <w:jc w:val="left"/>
        <w:rPr>
          <w:rFonts w:hint="eastAsia" w:ascii="宋体" w:hAnsi="宋体" w:cs="宋体"/>
          <w:szCs w:val="21"/>
          <w:highlight w:val="none"/>
        </w:rPr>
      </w:pPr>
      <w:r>
        <w:rPr>
          <w:rFonts w:hint="eastAsia" w:ascii="宋体" w:hAnsi="宋体" w:cs="宋体"/>
          <w:szCs w:val="21"/>
          <w:highlight w:val="none"/>
        </w:rPr>
        <w:t>甲方订票人确认退票后，乙方服务专员应按航空</w:t>
      </w:r>
      <w:r>
        <w:rPr>
          <w:rFonts w:ascii="宋体" w:hAnsi="宋体" w:cs="宋体"/>
          <w:szCs w:val="21"/>
          <w:highlight w:val="none"/>
        </w:rPr>
        <w:t>公</w:t>
      </w:r>
      <w:r>
        <w:rPr>
          <w:rFonts w:hint="eastAsia" w:ascii="宋体" w:hAnsi="宋体" w:cs="宋体"/>
          <w:szCs w:val="21"/>
          <w:highlight w:val="none"/>
        </w:rPr>
        <w:t>司规定办理退票手续。</w:t>
      </w:r>
    </w:p>
    <w:p w14:paraId="211EC575">
      <w:pPr>
        <w:spacing w:before="120" w:beforeLines="50" w:after="120" w:afterLines="50" w:line="360" w:lineRule="auto"/>
        <w:ind w:right="315" w:firstLineChars="0"/>
        <w:jc w:val="left"/>
        <w:rPr>
          <w:rFonts w:hint="eastAsia" w:ascii="宋体" w:hAnsi="宋体" w:cs="宋体"/>
          <w:szCs w:val="21"/>
          <w:highlight w:val="none"/>
        </w:rPr>
      </w:pPr>
      <w:r>
        <w:rPr>
          <w:rFonts w:hint="eastAsia" w:ascii="Times New Roman" w:hAnsi="Times New Roman" w:cs="Times New Roman"/>
          <w:szCs w:val="21"/>
          <w:highlight w:val="none"/>
        </w:rPr>
        <w:t>Après confirmation du remboursement par la personne chargée des réservations, l’agent du Prestataire effectue les formalités de remboursement conformément aux règles de la compagnie aérienne.</w:t>
      </w:r>
    </w:p>
    <w:p w14:paraId="265B93C4">
      <w:pPr>
        <w:pStyle w:val="159"/>
        <w:numPr>
          <w:ilvl w:val="0"/>
          <w:numId w:val="6"/>
        </w:numPr>
        <w:spacing w:before="120" w:beforeLines="50" w:after="120" w:afterLines="50" w:line="360" w:lineRule="auto"/>
        <w:ind w:right="315" w:firstLineChars="0"/>
        <w:jc w:val="left"/>
        <w:rPr>
          <w:rFonts w:hint="eastAsia" w:ascii="宋体" w:hAnsi="宋体" w:cs="宋体"/>
          <w:szCs w:val="21"/>
          <w:highlight w:val="none"/>
        </w:rPr>
      </w:pPr>
      <w:r>
        <w:rPr>
          <w:rFonts w:hint="eastAsia" w:ascii="宋体" w:hAnsi="宋体" w:cs="宋体"/>
          <w:szCs w:val="21"/>
          <w:highlight w:val="none"/>
        </w:rPr>
        <w:t>线上成功办理退票后，乙方服务专员应以邮件或短信方式告知甲方订票人。</w:t>
      </w:r>
    </w:p>
    <w:p w14:paraId="2BD41FC1">
      <w:pPr>
        <w:spacing w:before="120" w:beforeLines="50" w:after="120" w:afterLines="50" w:line="360" w:lineRule="auto"/>
        <w:ind w:right="315" w:firstLineChars="0"/>
        <w:jc w:val="left"/>
        <w:rPr>
          <w:rFonts w:hint="eastAsia" w:ascii="宋体" w:hAnsi="宋体" w:cs="宋体"/>
          <w:szCs w:val="21"/>
          <w:highlight w:val="none"/>
        </w:rPr>
      </w:pPr>
      <w:r>
        <w:rPr>
          <w:rFonts w:hint="eastAsia" w:ascii="Times New Roman" w:hAnsi="Times New Roman" w:cs="Times New Roman"/>
          <w:szCs w:val="21"/>
          <w:highlight w:val="none"/>
        </w:rPr>
        <w:t>Après traitement réussi du remboursement en ligne, l’agent du Prestataire en informe la personne chargée des réservations par courrier électronique ou SMS.</w:t>
      </w:r>
    </w:p>
    <w:p w14:paraId="1346E30A">
      <w:pPr>
        <w:pStyle w:val="159"/>
        <w:widowControl/>
        <w:numPr>
          <w:ilvl w:val="0"/>
          <w:numId w:val="6"/>
        </w:numPr>
        <w:spacing w:before="120" w:beforeLines="50" w:after="120" w:afterLines="50" w:line="360" w:lineRule="auto"/>
        <w:ind w:right="315" w:firstLineChars="0"/>
        <w:jc w:val="left"/>
        <w:rPr>
          <w:rFonts w:hint="eastAsia" w:ascii="宋体" w:hAnsi="宋体" w:cs="宋体"/>
          <w:szCs w:val="21"/>
          <w:highlight w:val="none"/>
        </w:rPr>
      </w:pPr>
      <w:r>
        <w:rPr>
          <w:rFonts w:hint="eastAsia" w:ascii="宋体" w:hAnsi="宋体" w:cs="宋体"/>
          <w:szCs w:val="21"/>
          <w:highlight w:val="none"/>
        </w:rPr>
        <w:t>甲方退票产生的费用可与票款一并结算，乙方应按照本协议第4.1.1款提供相应的报销凭据。</w:t>
      </w:r>
    </w:p>
    <w:p w14:paraId="71F9D3F2">
      <w:pPr>
        <w:widowControl/>
        <w:spacing w:before="120" w:beforeLines="50" w:after="120" w:afterLines="50" w:line="360" w:lineRule="auto"/>
        <w:ind w:right="315" w:firstLineChars="0"/>
        <w:jc w:val="left"/>
        <w:rPr>
          <w:rFonts w:hint="eastAsia" w:ascii="宋体" w:hAnsi="宋体" w:cs="宋体"/>
          <w:szCs w:val="21"/>
          <w:highlight w:val="none"/>
        </w:rPr>
      </w:pPr>
      <w:r>
        <w:rPr>
          <w:rFonts w:hint="eastAsia" w:ascii="Times New Roman" w:hAnsi="Times New Roman" w:cs="Times New Roman"/>
          <w:szCs w:val="21"/>
          <w:highlight w:val="none"/>
        </w:rPr>
        <w:t>Les frais résultant du remboursement peuvent être réglés avec le prix du billet. Le Prestataire fournit les justificatifs correspondants conformément à l’article 4.1.1 de la présente convention.</w:t>
      </w:r>
    </w:p>
    <w:p w14:paraId="0B50F4D9">
      <w:pPr>
        <w:pStyle w:val="3"/>
        <w:spacing w:line="360" w:lineRule="auto"/>
        <w:rPr>
          <w:rFonts w:hint="eastAsia" w:ascii="宋体" w:hAnsi="宋体" w:eastAsia="宋体" w:cs="宋体"/>
          <w:b w:val="0"/>
          <w:bCs/>
          <w:sz w:val="21"/>
          <w:szCs w:val="21"/>
          <w:highlight w:val="none"/>
        </w:rPr>
      </w:pPr>
      <w:bookmarkStart w:id="40" w:name="_Toc28683"/>
      <w:r>
        <w:rPr>
          <w:rFonts w:ascii="宋体" w:hAnsi="宋体" w:eastAsia="宋体" w:cs="宋体"/>
          <w:b w:val="0"/>
          <w:bCs/>
          <w:sz w:val="21"/>
          <w:szCs w:val="21"/>
          <w:highlight w:val="none"/>
        </w:rPr>
        <w:t>2.3.</w:t>
      </w:r>
      <w:r>
        <w:rPr>
          <w:rFonts w:hint="eastAsia" w:ascii="宋体" w:hAnsi="宋体" w:eastAsia="宋体" w:cs="宋体"/>
          <w:b w:val="0"/>
          <w:bCs/>
          <w:sz w:val="21"/>
          <w:szCs w:val="21"/>
          <w:highlight w:val="none"/>
        </w:rPr>
        <w:t>服务说明</w:t>
      </w:r>
      <w:bookmarkEnd w:id="40"/>
    </w:p>
    <w:p w14:paraId="0A771F98">
      <w:pPr>
        <w:spacing w:line="360" w:lineRule="auto"/>
        <w:rPr>
          <w:rFonts w:hint="eastAsia" w:ascii="宋体" w:hAnsi="宋体" w:eastAsia="宋体" w:cs="宋体"/>
          <w:b w:val="0"/>
          <w:bCs/>
          <w:sz w:val="21"/>
          <w:szCs w:val="21"/>
          <w:highlight w:val="none"/>
        </w:rPr>
      </w:pPr>
      <w:r>
        <w:rPr>
          <w:rFonts w:ascii="Times New Roman" w:hAnsi="Times New Roman" w:eastAsia="宋体" w:cs="Times New Roman"/>
          <w:b w:val="0"/>
          <w:bCs/>
          <w:sz w:val="21"/>
          <w:szCs w:val="21"/>
          <w:highlight w:val="none"/>
        </w:rPr>
        <w:t>2.3 Dispositions relatives au service</w:t>
      </w:r>
    </w:p>
    <w:p w14:paraId="11C64527">
      <w:pPr>
        <w:spacing w:line="360" w:lineRule="auto"/>
        <w:rPr>
          <w:rFonts w:hint="eastAsia" w:ascii="宋体" w:hAnsi="宋体" w:cs="宋体"/>
          <w:szCs w:val="21"/>
          <w:highlight w:val="none"/>
        </w:rPr>
      </w:pPr>
      <w:r>
        <w:rPr>
          <w:rFonts w:ascii="宋体" w:hAnsi="宋体" w:cs="宋体"/>
          <w:bCs/>
          <w:szCs w:val="21"/>
          <w:highlight w:val="none"/>
        </w:rPr>
        <w:t>2.3.1乙方</w:t>
      </w:r>
      <w:r>
        <w:rPr>
          <w:rFonts w:hint="eastAsia" w:ascii="宋体" w:hAnsi="宋体" w:cs="宋体"/>
          <w:szCs w:val="21"/>
          <w:highlight w:val="none"/>
        </w:rPr>
        <w:t>应指派专属服务团队负责</w:t>
      </w:r>
      <w:r>
        <w:rPr>
          <w:rFonts w:hint="eastAsia" w:ascii="宋体" w:hAnsi="宋体" w:cs="宋体"/>
          <w:bCs/>
          <w:szCs w:val="21"/>
          <w:highlight w:val="none"/>
        </w:rPr>
        <w:t>甲方</w:t>
      </w:r>
      <w:r>
        <w:rPr>
          <w:rFonts w:hint="eastAsia" w:ascii="宋体" w:hAnsi="宋体" w:cs="宋体"/>
          <w:szCs w:val="21"/>
          <w:highlight w:val="none"/>
        </w:rPr>
        <w:t>的业务</w:t>
      </w:r>
      <w:r>
        <w:rPr>
          <w:rFonts w:ascii="宋体" w:hAnsi="宋体" w:cs="宋体"/>
          <w:szCs w:val="21"/>
          <w:highlight w:val="none"/>
        </w:rPr>
        <w:t xml:space="preserve">, </w:t>
      </w:r>
      <w:r>
        <w:rPr>
          <w:rFonts w:hint="eastAsia" w:ascii="宋体" w:hAnsi="宋体" w:cs="宋体"/>
          <w:szCs w:val="21"/>
          <w:highlight w:val="none"/>
        </w:rPr>
        <w:t>如果遇到该团队中业务员休假、生病或其它原因缺勤，</w:t>
      </w:r>
      <w:r>
        <w:rPr>
          <w:rFonts w:hint="eastAsia" w:ascii="宋体" w:hAnsi="宋体" w:cs="宋体"/>
          <w:bCs/>
          <w:szCs w:val="21"/>
          <w:highlight w:val="none"/>
        </w:rPr>
        <w:t>乙方应</w:t>
      </w:r>
      <w:r>
        <w:rPr>
          <w:rFonts w:hint="eastAsia" w:ascii="宋体" w:hAnsi="宋体" w:cs="宋体"/>
          <w:szCs w:val="21"/>
          <w:highlight w:val="none"/>
        </w:rPr>
        <w:t>安排同级或更高级业务人员接替其工作，确保服务的不间断性，并保证</w:t>
      </w:r>
      <w:r>
        <w:rPr>
          <w:rFonts w:hint="eastAsia" w:ascii="宋体" w:hAnsi="宋体" w:cs="宋体"/>
          <w:bCs/>
          <w:szCs w:val="21"/>
          <w:highlight w:val="none"/>
        </w:rPr>
        <w:t>甲方</w:t>
      </w:r>
      <w:r>
        <w:rPr>
          <w:rFonts w:hint="eastAsia" w:ascii="宋体" w:hAnsi="宋体" w:cs="宋体"/>
          <w:szCs w:val="21"/>
          <w:highlight w:val="none"/>
        </w:rPr>
        <w:t>差旅计划不受影响。乙方</w:t>
      </w:r>
      <w:r>
        <w:rPr>
          <w:rFonts w:ascii="宋体" w:hAnsi="宋体" w:cs="宋体"/>
          <w:szCs w:val="21"/>
          <w:highlight w:val="none"/>
        </w:rPr>
        <w:t>应事先将接替人员的简历和资质证明发甲方审核，经甲方同意后方可</w:t>
      </w:r>
      <w:r>
        <w:rPr>
          <w:rFonts w:hint="eastAsia" w:ascii="宋体" w:hAnsi="宋体" w:cs="宋体"/>
          <w:szCs w:val="21"/>
          <w:highlight w:val="none"/>
        </w:rPr>
        <w:t>提供</w:t>
      </w:r>
      <w:r>
        <w:rPr>
          <w:rFonts w:ascii="宋体" w:hAnsi="宋体" w:cs="宋体"/>
          <w:szCs w:val="21"/>
          <w:highlight w:val="none"/>
        </w:rPr>
        <w:t>服务。</w:t>
      </w:r>
    </w:p>
    <w:p w14:paraId="1058DBC7">
      <w:pPr>
        <w:spacing w:line="360" w:lineRule="auto"/>
        <w:rPr>
          <w:rFonts w:hint="eastAsia" w:ascii="宋体" w:hAnsi="宋体" w:cs="宋体"/>
          <w:szCs w:val="21"/>
          <w:highlight w:val="none"/>
        </w:rPr>
      </w:pPr>
      <w:r>
        <w:rPr>
          <w:rFonts w:ascii="Times New Roman" w:hAnsi="Times New Roman" w:cs="Times New Roman"/>
          <w:bCs/>
          <w:szCs w:val="21"/>
          <w:highlight w:val="none"/>
        </w:rPr>
        <w:t>2.3.1 Le Prestataire désigne une équipe dédiée pour les activités du Client. En cas de congé, maladie ou autre absence d’un membre de cette équipe, il désigne un agent de niveau équivalent ou supérieur afin d’assurer la continuité du service et de ne pas affecter les plans de déplacement du Client. Le Prestataire transmet au préalable au Client le curriculum vitae et les justificatifs de qualification du remplaçant pour examen ; celui-ci ne peut intervenir qu’après accord du Client.</w:t>
      </w:r>
    </w:p>
    <w:p w14:paraId="69263DF5">
      <w:pPr>
        <w:spacing w:line="360" w:lineRule="auto"/>
        <w:rPr>
          <w:rFonts w:hint="eastAsia" w:ascii="宋体" w:hAnsi="宋体" w:cs="宋体"/>
          <w:bCs/>
          <w:szCs w:val="21"/>
          <w:highlight w:val="none"/>
        </w:rPr>
      </w:pPr>
      <w:r>
        <w:rPr>
          <w:rFonts w:ascii="宋体" w:hAnsi="宋体" w:cs="宋体"/>
          <w:szCs w:val="21"/>
          <w:highlight w:val="none"/>
        </w:rPr>
        <w:t>2.3.2甲方应在本协议签订后</w:t>
      </w:r>
      <w:r>
        <w:rPr>
          <w:rFonts w:hint="eastAsia" w:ascii="宋体" w:hAnsi="宋体" w:cs="宋体"/>
          <w:szCs w:val="21"/>
          <w:highlight w:val="none"/>
        </w:rPr>
        <w:t>向乙方</w:t>
      </w:r>
      <w:r>
        <w:rPr>
          <w:rFonts w:ascii="宋体" w:hAnsi="宋体" w:cs="宋体"/>
          <w:szCs w:val="21"/>
          <w:highlight w:val="none"/>
        </w:rPr>
        <w:t>提供</w:t>
      </w:r>
      <w:r>
        <w:rPr>
          <w:rFonts w:hint="eastAsia" w:ascii="宋体" w:hAnsi="宋体" w:cs="宋体"/>
          <w:szCs w:val="21"/>
          <w:highlight w:val="none"/>
        </w:rPr>
        <w:t>甲方员工名录，</w:t>
      </w:r>
      <w:r>
        <w:rPr>
          <w:rFonts w:ascii="宋体" w:hAnsi="宋体" w:cs="宋体"/>
          <w:szCs w:val="21"/>
          <w:highlight w:val="none"/>
        </w:rPr>
        <w:t>包括但不限于员工姓名、</w:t>
      </w:r>
      <w:r>
        <w:rPr>
          <w:rFonts w:hint="eastAsia" w:ascii="宋体" w:hAnsi="宋体" w:cs="宋体"/>
          <w:szCs w:val="21"/>
          <w:highlight w:val="none"/>
        </w:rPr>
        <w:t>职务</w:t>
      </w:r>
      <w:r>
        <w:rPr>
          <w:rFonts w:ascii="宋体" w:hAnsi="宋体" w:cs="宋体"/>
          <w:szCs w:val="21"/>
          <w:highlight w:val="none"/>
        </w:rPr>
        <w:t>、</w:t>
      </w:r>
      <w:r>
        <w:rPr>
          <w:rFonts w:hint="eastAsia" w:ascii="宋体" w:hAnsi="宋体" w:cs="宋体"/>
          <w:szCs w:val="21"/>
          <w:highlight w:val="none"/>
        </w:rPr>
        <w:t>舱位规定</w:t>
      </w:r>
      <w:r>
        <w:rPr>
          <w:rFonts w:ascii="宋体" w:hAnsi="宋体" w:cs="宋体"/>
          <w:szCs w:val="21"/>
          <w:highlight w:val="none"/>
        </w:rPr>
        <w:t>、出入</w:t>
      </w:r>
      <w:r>
        <w:rPr>
          <w:rFonts w:hint="eastAsia" w:ascii="宋体" w:hAnsi="宋体" w:cs="宋体"/>
          <w:szCs w:val="21"/>
          <w:highlight w:val="none"/>
        </w:rPr>
        <w:t>境</w:t>
      </w:r>
      <w:r>
        <w:rPr>
          <w:rFonts w:ascii="宋体" w:hAnsi="宋体" w:cs="宋体"/>
          <w:szCs w:val="21"/>
          <w:highlight w:val="none"/>
        </w:rPr>
        <w:t>证件</w:t>
      </w:r>
      <w:r>
        <w:rPr>
          <w:rFonts w:hint="eastAsia" w:ascii="宋体" w:hAnsi="宋体" w:cs="宋体"/>
          <w:szCs w:val="21"/>
          <w:highlight w:val="none"/>
        </w:rPr>
        <w:t>号、</w:t>
      </w:r>
      <w:r>
        <w:rPr>
          <w:rFonts w:ascii="宋体" w:hAnsi="宋体" w:cs="宋体"/>
          <w:szCs w:val="21"/>
          <w:highlight w:val="none"/>
        </w:rPr>
        <w:t>手机号</w:t>
      </w:r>
      <w:r>
        <w:rPr>
          <w:rFonts w:hint="eastAsia" w:ascii="宋体" w:hAnsi="宋体" w:cs="宋体"/>
          <w:szCs w:val="21"/>
          <w:highlight w:val="none"/>
        </w:rPr>
        <w:t>、</w:t>
      </w:r>
      <w:r>
        <w:rPr>
          <w:rFonts w:ascii="宋体" w:hAnsi="宋体" w:cs="宋体"/>
          <w:szCs w:val="21"/>
          <w:highlight w:val="none"/>
        </w:rPr>
        <w:t>常旅客</w:t>
      </w:r>
      <w:r>
        <w:rPr>
          <w:rFonts w:hint="eastAsia" w:ascii="宋体" w:hAnsi="宋体" w:cs="宋体"/>
          <w:szCs w:val="21"/>
          <w:highlight w:val="none"/>
        </w:rPr>
        <w:t>卡</w:t>
      </w:r>
      <w:r>
        <w:rPr>
          <w:rFonts w:ascii="宋体" w:hAnsi="宋体" w:cs="宋体"/>
          <w:szCs w:val="21"/>
          <w:highlight w:val="none"/>
        </w:rPr>
        <w:t>信息。</w:t>
      </w:r>
      <w:r>
        <w:rPr>
          <w:rFonts w:hint="eastAsia" w:ascii="宋体" w:hAnsi="宋体" w:cs="宋体"/>
          <w:szCs w:val="21"/>
          <w:highlight w:val="none"/>
        </w:rPr>
        <w:t>甲方员工名录</w:t>
      </w:r>
      <w:r>
        <w:rPr>
          <w:rFonts w:ascii="宋体" w:hAnsi="宋体" w:cs="宋体"/>
          <w:szCs w:val="21"/>
          <w:highlight w:val="none"/>
        </w:rPr>
        <w:t>信息</w:t>
      </w:r>
      <w:r>
        <w:rPr>
          <w:rFonts w:hint="eastAsia" w:ascii="宋体" w:hAnsi="宋体" w:cs="宋体"/>
          <w:szCs w:val="21"/>
          <w:highlight w:val="none"/>
        </w:rPr>
        <w:t>如发生变化，应及时向乙方提供最新信息。</w:t>
      </w:r>
    </w:p>
    <w:p w14:paraId="73068573">
      <w:pPr>
        <w:spacing w:line="360" w:lineRule="auto"/>
        <w:rPr>
          <w:rFonts w:hint="eastAsia" w:ascii="宋体" w:hAnsi="宋体" w:cs="宋体"/>
          <w:bCs/>
          <w:szCs w:val="21"/>
          <w:highlight w:val="none"/>
        </w:rPr>
      </w:pPr>
      <w:r>
        <w:rPr>
          <w:rFonts w:ascii="Times New Roman" w:hAnsi="Times New Roman" w:cs="Times New Roman"/>
          <w:szCs w:val="21"/>
          <w:highlight w:val="none"/>
        </w:rPr>
        <w:t>2.3.2 Après signature de la présente convention, le Client communique au Prestataire la liste de ses salariés, comprenant notamment le nom, la fonction, les règles de classe de voyage, le numéro du document d’entrée et de sortie du territoire, le numéro de téléphone et les informations relatives aux cartes de fidélité. En cas de modification de cette liste, le Client communique sans délai les informations mises à jour.</w:t>
      </w:r>
    </w:p>
    <w:p w14:paraId="140359A1">
      <w:pPr>
        <w:pStyle w:val="2"/>
        <w:keepLines w:val="0"/>
        <w:tabs>
          <w:tab w:val="left" w:pos="720"/>
        </w:tabs>
        <w:spacing w:before="0" w:after="0" w:line="360" w:lineRule="auto"/>
        <w:rPr>
          <w:rFonts w:hint="eastAsia" w:ascii="宋体" w:hAnsi="宋体" w:cs="宋体"/>
          <w:sz w:val="21"/>
          <w:szCs w:val="21"/>
          <w:highlight w:val="none"/>
        </w:rPr>
      </w:pPr>
      <w:bookmarkStart w:id="41" w:name="_Toc20411"/>
      <w:r>
        <w:rPr>
          <w:rFonts w:hint="eastAsia" w:ascii="宋体" w:hAnsi="宋体" w:cs="宋体"/>
          <w:sz w:val="21"/>
          <w:szCs w:val="21"/>
          <w:highlight w:val="none"/>
        </w:rPr>
        <w:t>三、代理服务费用</w:t>
      </w:r>
      <w:bookmarkEnd w:id="41"/>
    </w:p>
    <w:p w14:paraId="05F23333">
      <w:pPr>
        <w:keepLines w:val="0"/>
        <w:tabs>
          <w:tab w:val="left" w:pos="720"/>
        </w:tabs>
        <w:spacing w:before="0" w:after="0" w:line="360" w:lineRule="auto"/>
        <w:rPr>
          <w:rFonts w:hint="eastAsia" w:ascii="宋体" w:hAnsi="宋体" w:cs="宋体"/>
          <w:sz w:val="21"/>
          <w:szCs w:val="21"/>
          <w:highlight w:val="none"/>
        </w:rPr>
      </w:pPr>
      <w:r>
        <w:rPr>
          <w:rFonts w:hint="eastAsia" w:ascii="Times New Roman" w:hAnsi="Times New Roman" w:cs="Times New Roman"/>
          <w:sz w:val="21"/>
          <w:szCs w:val="21"/>
          <w:highlight w:val="none"/>
        </w:rPr>
        <w:t>III. Frais de service d’agence</w:t>
      </w:r>
    </w:p>
    <w:p w14:paraId="7A7A7AE0">
      <w:pPr>
        <w:pStyle w:val="21"/>
        <w:spacing w:line="360" w:lineRule="auto"/>
        <w:rPr>
          <w:rFonts w:hint="eastAsia" w:ascii="宋体" w:hAnsi="宋体" w:cs="宋体"/>
          <w:szCs w:val="21"/>
          <w:highlight w:val="none"/>
        </w:rPr>
      </w:pPr>
      <w:r>
        <w:rPr>
          <w:rFonts w:ascii="宋体" w:hAnsi="宋体" w:cs="宋体"/>
          <w:szCs w:val="21"/>
          <w:highlight w:val="none"/>
        </w:rPr>
        <w:t>3.1乙方应保证每一项预订和出票都严格遵守甲方的国际差旅政策，并保证在满足甲方差旅计划要求的基础上，为甲方旅客选择适用的舱位。</w:t>
      </w:r>
    </w:p>
    <w:p w14:paraId="2089F833">
      <w:pPr>
        <w:spacing w:line="360" w:lineRule="auto"/>
        <w:rPr>
          <w:rFonts w:hint="eastAsia" w:ascii="宋体" w:hAnsi="宋体" w:cs="宋体"/>
          <w:szCs w:val="21"/>
          <w:highlight w:val="none"/>
        </w:rPr>
      </w:pPr>
      <w:r>
        <w:rPr>
          <w:rFonts w:ascii="Times New Roman" w:hAnsi="Times New Roman" w:cs="Times New Roman"/>
          <w:szCs w:val="21"/>
          <w:highlight w:val="none"/>
        </w:rPr>
        <w:t>3.1 Le Prestataire garantit que chaque réservation et chaque émission respecte strictement la politique du Client relative aux déplacements internationaux et qu’il sélectionne, sur la base des besoins du programme de voyage du Client, la classe de voyage appropriée.</w:t>
      </w:r>
    </w:p>
    <w:p w14:paraId="0AFA55FD">
      <w:pPr>
        <w:pStyle w:val="21"/>
        <w:spacing w:line="360" w:lineRule="auto"/>
        <w:rPr>
          <w:rFonts w:hint="eastAsia" w:ascii="宋体" w:hAnsi="宋体" w:cs="宋体"/>
          <w:szCs w:val="21"/>
          <w:highlight w:val="none"/>
        </w:rPr>
      </w:pPr>
      <w:r>
        <w:rPr>
          <w:rFonts w:ascii="宋体" w:hAnsi="宋体" w:cs="宋体"/>
          <w:szCs w:val="21"/>
          <w:highlight w:val="none"/>
        </w:rPr>
        <w:t>3.2国际机票</w:t>
      </w:r>
      <w:r>
        <w:rPr>
          <w:rFonts w:hint="eastAsia" w:ascii="宋体" w:hAnsi="宋体" w:cs="宋体"/>
          <w:szCs w:val="21"/>
          <w:highlight w:val="none"/>
        </w:rPr>
        <w:t>代理服务</w:t>
      </w:r>
      <w:r>
        <w:rPr>
          <w:rFonts w:ascii="宋体" w:hAnsi="宋体" w:cs="宋体"/>
          <w:szCs w:val="21"/>
          <w:highlight w:val="none"/>
        </w:rPr>
        <w:t>费率</w:t>
      </w:r>
    </w:p>
    <w:p w14:paraId="5BCE4470">
      <w:pPr>
        <w:spacing w:line="360" w:lineRule="auto"/>
        <w:rPr>
          <w:rFonts w:hint="eastAsia" w:ascii="宋体" w:hAnsi="宋体" w:cs="宋体"/>
          <w:szCs w:val="21"/>
          <w:highlight w:val="none"/>
        </w:rPr>
      </w:pPr>
      <w:r>
        <w:rPr>
          <w:rFonts w:ascii="Times New Roman" w:hAnsi="Times New Roman" w:cs="Times New Roman"/>
          <w:szCs w:val="21"/>
          <w:highlight w:val="none"/>
        </w:rPr>
        <w:t>3.2 Taux des frais de service d’agence pour billets d’avion internationaux</w:t>
      </w:r>
    </w:p>
    <w:p w14:paraId="303EAE26">
      <w:pPr>
        <w:pStyle w:val="21"/>
        <w:spacing w:line="360" w:lineRule="auto"/>
        <w:rPr>
          <w:rFonts w:hint="eastAsia" w:ascii="宋体" w:hAnsi="宋体" w:cs="宋体"/>
          <w:szCs w:val="21"/>
          <w:highlight w:val="none"/>
        </w:rPr>
      </w:pPr>
      <w:r>
        <w:rPr>
          <w:rFonts w:hint="eastAsia" w:ascii="宋体" w:hAnsi="宋体" w:cs="宋体"/>
          <w:szCs w:val="21"/>
          <w:highlight w:val="none"/>
        </w:rPr>
        <w:t>乙方为甲方提供本协议约定</w:t>
      </w:r>
      <w:r>
        <w:rPr>
          <w:rFonts w:ascii="宋体" w:hAnsi="宋体" w:cs="宋体"/>
          <w:szCs w:val="21"/>
          <w:highlight w:val="none"/>
        </w:rPr>
        <w:t>的</w:t>
      </w:r>
      <w:r>
        <w:rPr>
          <w:rFonts w:hint="eastAsia" w:ascii="宋体" w:hAnsi="宋体" w:cs="宋体"/>
          <w:szCs w:val="21"/>
          <w:highlight w:val="none"/>
        </w:rPr>
        <w:t>服务，向</w:t>
      </w:r>
      <w:r>
        <w:rPr>
          <w:rFonts w:ascii="宋体" w:hAnsi="宋体" w:cs="宋体"/>
          <w:szCs w:val="21"/>
          <w:highlight w:val="none"/>
        </w:rPr>
        <w:t>甲方</w:t>
      </w:r>
      <w:r>
        <w:rPr>
          <w:rFonts w:hint="eastAsia" w:ascii="宋体" w:hAnsi="宋体" w:cs="宋体"/>
          <w:szCs w:val="21"/>
          <w:highlight w:val="none"/>
        </w:rPr>
        <w:t>收取</w:t>
      </w:r>
      <w:r>
        <w:rPr>
          <w:rFonts w:ascii="宋体" w:hAnsi="宋体" w:cs="宋体"/>
          <w:szCs w:val="21"/>
          <w:highlight w:val="none"/>
        </w:rPr>
        <w:t>机票费</w:t>
      </w:r>
      <w:r>
        <w:rPr>
          <w:rFonts w:hint="eastAsia" w:ascii="宋体" w:hAnsi="宋体" w:cs="宋体"/>
          <w:szCs w:val="21"/>
          <w:highlight w:val="none"/>
        </w:rPr>
        <w:t>、</w:t>
      </w:r>
      <w:r>
        <w:rPr>
          <w:rFonts w:ascii="宋体" w:hAnsi="宋体" w:cs="宋体"/>
          <w:szCs w:val="21"/>
          <w:highlight w:val="none"/>
        </w:rPr>
        <w:t>机票退改签费</w:t>
      </w:r>
      <w:r>
        <w:rPr>
          <w:rFonts w:hint="eastAsia" w:ascii="宋体" w:hAnsi="宋体" w:cs="宋体"/>
          <w:szCs w:val="21"/>
          <w:highlight w:val="none"/>
        </w:rPr>
        <w:t>、代理服务费、机场延伸服务及要客服务费</w:t>
      </w:r>
      <w:r>
        <w:rPr>
          <w:rFonts w:ascii="宋体" w:hAnsi="宋体" w:cs="宋体"/>
          <w:szCs w:val="21"/>
          <w:highlight w:val="none"/>
        </w:rPr>
        <w:t>。</w:t>
      </w:r>
      <w:r>
        <w:rPr>
          <w:rFonts w:hint="eastAsia" w:ascii="宋体" w:hAnsi="宋体" w:cs="宋体"/>
          <w:szCs w:val="21"/>
          <w:highlight w:val="none"/>
        </w:rPr>
        <w:t>其中：</w:t>
      </w:r>
    </w:p>
    <w:p w14:paraId="2A702AF7">
      <w:pPr>
        <w:spacing w:line="360" w:lineRule="auto"/>
        <w:rPr>
          <w:rFonts w:hint="eastAsia" w:ascii="宋体" w:hAnsi="宋体" w:cs="宋体"/>
          <w:szCs w:val="21"/>
          <w:highlight w:val="none"/>
        </w:rPr>
      </w:pPr>
      <w:r>
        <w:rPr>
          <w:rFonts w:hint="eastAsia" w:ascii="Times New Roman" w:hAnsi="Times New Roman" w:cs="Times New Roman"/>
          <w:szCs w:val="21"/>
          <w:highlight w:val="none"/>
        </w:rPr>
        <w:t>Pour les services fournis au titre de la présente convention, le Prestataire facture au Client le prix des billets, les frais de modification ou de remboursement, les frais de service d’agence ainsi que les services aéroportuaires complémentaires et VIP. Les modalités sont les suivantes :</w:t>
      </w:r>
    </w:p>
    <w:p w14:paraId="0665C182">
      <w:pPr>
        <w:pStyle w:val="21"/>
        <w:numPr>
          <w:ilvl w:val="0"/>
          <w:numId w:val="0"/>
        </w:numPr>
        <w:spacing w:line="360" w:lineRule="auto"/>
        <w:ind w:left="860" w:leftChars="0" w:hanging="440" w:firstLineChars="0"/>
        <w:rPr>
          <w:rFonts w:hint="eastAsia" w:ascii="宋体" w:hAnsi="宋体" w:cs="宋体"/>
          <w:szCs w:val="21"/>
          <w:highlight w:val="none"/>
        </w:rPr>
      </w:pPr>
      <w:r>
        <w:rPr>
          <w:rFonts w:hint="eastAsia" w:ascii="宋体" w:hAnsi="宋体" w:cs="宋体"/>
          <w:b/>
          <w:bCs/>
          <w:szCs w:val="21"/>
          <w:highlight w:val="none"/>
        </w:rPr>
        <w:t>机票费按照实际出票系统显示的客票金额收取；</w:t>
      </w:r>
    </w:p>
    <w:p w14:paraId="6BA219AE">
      <w:pPr>
        <w:spacing w:line="360" w:lineRule="auto"/>
        <w:ind w:left="860" w:leftChars="0" w:hanging="440" w:firstLineChars="0"/>
        <w:rPr>
          <w:rFonts w:hint="eastAsia" w:ascii="宋体" w:hAnsi="宋体" w:cs="宋体"/>
          <w:szCs w:val="21"/>
          <w:highlight w:val="none"/>
        </w:rPr>
      </w:pPr>
      <w:r>
        <w:rPr>
          <w:rFonts w:hint="eastAsia" w:ascii="Times New Roman" w:hAnsi="Times New Roman" w:cs="Times New Roman"/>
          <w:b/>
          <w:bCs/>
          <w:szCs w:val="21"/>
          <w:highlight w:val="none"/>
        </w:rPr>
        <w:t>Le prix du billet est facturé sur la base du montant affiché dans le système de billetterie au moment de l’émission ;</w:t>
      </w:r>
    </w:p>
    <w:p w14:paraId="5232849E">
      <w:pPr>
        <w:pStyle w:val="21"/>
        <w:numPr>
          <w:ilvl w:val="0"/>
          <w:numId w:val="0"/>
        </w:numPr>
        <w:spacing w:line="360" w:lineRule="auto"/>
        <w:ind w:left="860" w:leftChars="0" w:hanging="440" w:firstLineChars="0"/>
        <w:rPr>
          <w:rFonts w:hint="eastAsia" w:ascii="宋体" w:hAnsi="宋体" w:cs="宋体"/>
          <w:szCs w:val="21"/>
          <w:highlight w:val="none"/>
        </w:rPr>
      </w:pPr>
      <w:r>
        <w:rPr>
          <w:rFonts w:hint="eastAsia" w:ascii="宋体" w:hAnsi="宋体" w:cs="宋体"/>
          <w:b/>
          <w:bCs/>
          <w:szCs w:val="21"/>
          <w:highlight w:val="none"/>
        </w:rPr>
        <w:t>机票退改签费</w:t>
      </w:r>
      <w:r>
        <w:rPr>
          <w:rFonts w:hint="eastAsia" w:ascii="宋体" w:hAnsi="宋体" w:cs="宋体"/>
          <w:szCs w:val="21"/>
          <w:highlight w:val="none"/>
        </w:rPr>
        <w:t>按照</w:t>
      </w:r>
      <w:r>
        <w:rPr>
          <w:rFonts w:ascii="宋体" w:hAnsi="宋体" w:cs="宋体"/>
          <w:szCs w:val="21"/>
          <w:highlight w:val="none"/>
        </w:rPr>
        <w:t>航空公司规定收取</w:t>
      </w:r>
      <w:r>
        <w:rPr>
          <w:rFonts w:hint="eastAsia" w:ascii="宋体" w:hAnsi="宋体" w:cs="宋体"/>
          <w:szCs w:val="21"/>
          <w:highlight w:val="none"/>
        </w:rPr>
        <w:t>；</w:t>
      </w:r>
    </w:p>
    <w:p w14:paraId="0188CD98">
      <w:pPr>
        <w:spacing w:line="360" w:lineRule="auto"/>
        <w:ind w:left="860" w:leftChars="0" w:hanging="440" w:firstLineChars="0"/>
        <w:rPr>
          <w:rFonts w:hint="eastAsia" w:ascii="宋体" w:hAnsi="宋体" w:cs="宋体"/>
          <w:szCs w:val="21"/>
          <w:highlight w:val="none"/>
        </w:rPr>
      </w:pPr>
      <w:r>
        <w:rPr>
          <w:rFonts w:hint="eastAsia" w:ascii="Times New Roman" w:hAnsi="Times New Roman" w:cs="Times New Roman"/>
          <w:b/>
          <w:bCs/>
          <w:szCs w:val="21"/>
          <w:highlight w:val="none"/>
        </w:rPr>
        <w:t>Les frais de modification et de remboursement sont facturés conformément aux règles de la compagnie aérienne ;</w:t>
      </w:r>
    </w:p>
    <w:p w14:paraId="45E6F526">
      <w:pPr>
        <w:pStyle w:val="21"/>
        <w:numPr>
          <w:ilvl w:val="0"/>
          <w:numId w:val="0"/>
        </w:numPr>
        <w:spacing w:line="360" w:lineRule="auto"/>
        <w:ind w:left="860" w:leftChars="0" w:hanging="440" w:firstLineChars="0"/>
        <w:rPr>
          <w:rFonts w:hint="eastAsia" w:ascii="宋体" w:hAnsi="宋体" w:cs="宋体"/>
          <w:szCs w:val="21"/>
          <w:highlight w:val="yellow"/>
        </w:rPr>
      </w:pPr>
      <w:r>
        <w:rPr>
          <w:rFonts w:hint="eastAsia" w:ascii="宋体" w:hAnsi="宋体" w:cs="宋体"/>
          <w:b/>
          <w:bCs/>
          <w:szCs w:val="21"/>
          <w:highlight w:val="none"/>
        </w:rPr>
        <w:t>代理服务费（含税）按照实际出票系统显示的客票金额×代理服务费率收取（代码共享航班以实际承运航空公司为准）。具体成交代理服务费率以乙方最终报价及双方书面确认的费率表为准，该费率表作为本协议组成部分；</w:t>
      </w:r>
    </w:p>
    <w:p w14:paraId="65DE8D7D">
      <w:pPr>
        <w:spacing w:line="360" w:lineRule="auto"/>
        <w:ind w:left="860" w:leftChars="0" w:hanging="440" w:firstLineChars="0"/>
        <w:rPr>
          <w:rFonts w:hint="eastAsia" w:ascii="宋体" w:hAnsi="宋体" w:cs="宋体"/>
          <w:szCs w:val="21"/>
          <w:highlight w:val="yellow"/>
        </w:rPr>
      </w:pPr>
      <w:r>
        <w:rPr>
          <w:rFonts w:hint="eastAsia" w:ascii="Times New Roman" w:hAnsi="Times New Roman" w:cs="Times New Roman"/>
          <w:b/>
          <w:bCs/>
          <w:szCs w:val="21"/>
          <w:highlight w:val="none"/>
        </w:rPr>
        <w:t>Les frais de service d’agence (taxes comprises) sont calculés sur la base du montant du billet affiché dans le système de billetterie au moment de l’émission, multiplié par le taux des frais de service d’agence (pour les vols en partage de code, la compagnie aérienne effectivement opératrice fait foi). Les taux définitifs sont ceux de l’offre finale du Prestataire et du barème confirmé par écrit par les deux parties, lequel fait partie intégrante de la présente convention ;</w:t>
      </w:r>
    </w:p>
    <w:p w14:paraId="3D2C79D4">
      <w:pPr>
        <w:pStyle w:val="21"/>
        <w:numPr>
          <w:ilvl w:val="0"/>
          <w:numId w:val="0"/>
        </w:numPr>
        <w:spacing w:line="360" w:lineRule="auto"/>
        <w:ind w:left="860" w:leftChars="0" w:hanging="440" w:firstLineChars="0"/>
        <w:rPr>
          <w:rFonts w:hint="eastAsia" w:ascii="宋体" w:hAnsi="宋体" w:cs="宋体"/>
          <w:szCs w:val="21"/>
          <w:highlight w:val="none"/>
        </w:rPr>
      </w:pPr>
      <w:r>
        <w:rPr>
          <w:rFonts w:hint="eastAsia" w:ascii="宋体" w:hAnsi="宋体" w:cs="宋体"/>
          <w:b/>
          <w:bCs/>
          <w:szCs w:val="21"/>
          <w:highlight w:val="none"/>
        </w:rPr>
        <w:t>机场延伸服务及要客服务费（含税）</w:t>
      </w:r>
      <w:r>
        <w:rPr>
          <w:rFonts w:hint="eastAsia" w:ascii="宋体" w:hAnsi="宋体" w:cs="宋体"/>
          <w:szCs w:val="21"/>
          <w:highlight w:val="none"/>
        </w:rPr>
        <w:t>按照机场规定收取。</w:t>
      </w:r>
    </w:p>
    <w:p w14:paraId="64FD9DDA">
      <w:pPr>
        <w:spacing w:line="360" w:lineRule="auto"/>
        <w:ind w:left="860" w:leftChars="0" w:hanging="440" w:firstLineChars="0"/>
        <w:rPr>
          <w:rFonts w:hint="eastAsia" w:ascii="宋体" w:hAnsi="宋体" w:cs="宋体"/>
          <w:szCs w:val="21"/>
          <w:highlight w:val="none"/>
        </w:rPr>
      </w:pPr>
      <w:r>
        <w:rPr>
          <w:rFonts w:hint="eastAsia" w:ascii="Times New Roman" w:hAnsi="Times New Roman" w:cs="Times New Roman"/>
          <w:b/>
          <w:bCs/>
          <w:szCs w:val="21"/>
          <w:highlight w:val="none"/>
        </w:rPr>
        <w:t>Les services aéroportuaires complémentaires et VIP (taxes comprises) sont facturés conformément aux tarifs de l’aéroport.</w:t>
      </w:r>
    </w:p>
    <w:p w14:paraId="36BDF2EA">
      <w:pPr>
        <w:pStyle w:val="21"/>
      </w:pPr>
      <w:r>
        <w:t>3.3 票价及代理服务费核验</w:t>
      </w:r>
    </w:p>
    <w:p w14:paraId="318B45DA">
      <w:r>
        <w:rPr>
          <w:rFonts w:ascii="Times New Roman" w:hAnsi="Times New Roman" w:cs="Times New Roman"/>
        </w:rPr>
        <w:t>3.3 Vérification des tarifs et des frais de service d’agence</w:t>
      </w:r>
    </w:p>
    <w:p w14:paraId="22C1FE03">
      <w:pPr>
        <w:pStyle w:val="21"/>
      </w:pPr>
      <w:r>
        <w:t>甲方有权通过合法、可靠的第三方渠道，对乙方提供的机票价格及代理服务费收取情况进行不定期核验。若甲方核验票价与乙方实际出票系统显示的客票金额不一致，乙方应提供实际出票系统出票记录或对账凭证、航空公司签收凭据或其他能够证明实际客票价格的有效凭证，经甲方核验后据实确定客票价格及代理服务费计算基数。</w:t>
      </w:r>
    </w:p>
    <w:p w14:paraId="2A918027">
      <w:r>
        <w:rPr>
          <w:rFonts w:ascii="Times New Roman" w:hAnsi="Times New Roman" w:cs="Times New Roman"/>
        </w:rPr>
        <w:t>Le Client est en droit de vérifier périodiquement, par des canaux tiers légaux et fiables, les prix des billets et les frais de service d’agence facturés par le Prestataire. Si le prix vérifié par le Client diffère du montant du billet affiché dans le système de billetterie du Prestataire au moment de l’émission, ce dernier fournit le relevé d’émission ou le justificatif de rapprochement issu dudit système, un justificatif de la compagnie aérienne ou tout autre document valable permettant d’établir le prix réel du billet. Après vérification par le Client, le prix du billet et l’assiette de calcul des frais de service d’agence sont déterminés sur la base des justificatifs ainsi confirmés.</w:t>
      </w:r>
    </w:p>
    <w:p w14:paraId="33A912DC">
      <w:pPr>
        <w:pStyle w:val="21"/>
      </w:pPr>
      <w:r>
        <w:t>若经核验发现乙方实际收取的代理服务费率与本协议约定费率相差超过10%，计为1次异常。连续出现超过3次异常的，甲方有权要求乙方赔偿因此造成的损失；本协议履行期间累计出现超过5次异常的，甲方有权单方解除本协议，并追究乙方相应违约责任。</w:t>
      </w:r>
    </w:p>
    <w:p w14:paraId="5D46BC42">
      <w:r>
        <w:rPr>
          <w:rFonts w:ascii="Times New Roman" w:hAnsi="Times New Roman" w:cs="Times New Roman"/>
        </w:rPr>
        <w:t>Si la vérification révèle que le taux de frais de service effectivement facturé par le Prestataire diffère de plus de 10 % du taux prévu par la présente convention, cela constitue une anomalie. En cas de plus de trois anomalies consécutives, le Client peut exiger du Prestataire l’indemnisation du préjudice qui en résulte ; si plus de cinq anomalies sont constatées au total pendant l’exécution de la présente convention, le Client peut résilier unilatéralement la convention et engager la responsabilité contractuelle correspondante du Prestataire.</w:t>
      </w:r>
    </w:p>
    <w:p w14:paraId="236FE912">
      <w:pPr>
        <w:pStyle w:val="2"/>
        <w:tabs>
          <w:tab w:val="left" w:pos="720"/>
        </w:tabs>
        <w:spacing w:line="360" w:lineRule="auto"/>
        <w:rPr>
          <w:rFonts w:hint="eastAsia" w:ascii="宋体" w:hAnsi="宋体" w:cs="宋体"/>
          <w:sz w:val="21"/>
          <w:szCs w:val="21"/>
          <w:highlight w:val="none"/>
        </w:rPr>
      </w:pPr>
      <w:bookmarkStart w:id="42" w:name="_Toc4295"/>
      <w:r>
        <w:rPr>
          <w:rFonts w:hint="eastAsia" w:ascii="宋体" w:hAnsi="宋体" w:cs="宋体"/>
          <w:sz w:val="21"/>
          <w:szCs w:val="21"/>
          <w:highlight w:val="none"/>
        </w:rPr>
        <w:t>四、票款结算</w:t>
      </w:r>
      <w:bookmarkEnd w:id="42"/>
    </w:p>
    <w:p w14:paraId="42E52697">
      <w:pPr>
        <w:tabs>
          <w:tab w:val="left" w:pos="720"/>
        </w:tabs>
        <w:spacing w:line="360" w:lineRule="auto"/>
        <w:rPr>
          <w:rFonts w:hint="eastAsia" w:ascii="宋体" w:hAnsi="宋体" w:cs="宋体"/>
          <w:sz w:val="21"/>
          <w:szCs w:val="21"/>
          <w:highlight w:val="none"/>
        </w:rPr>
      </w:pPr>
      <w:r>
        <w:rPr>
          <w:rFonts w:hint="eastAsia" w:ascii="Times New Roman" w:hAnsi="Times New Roman" w:cs="Times New Roman"/>
          <w:sz w:val="21"/>
          <w:szCs w:val="21"/>
          <w:highlight w:val="none"/>
        </w:rPr>
        <w:t>IV. Règlement des billets et frais connexes</w:t>
      </w:r>
    </w:p>
    <w:p w14:paraId="7875998D">
      <w:pPr>
        <w:pStyle w:val="3"/>
        <w:spacing w:line="360" w:lineRule="auto"/>
        <w:rPr>
          <w:rFonts w:hint="eastAsia" w:ascii="宋体" w:hAnsi="宋体" w:eastAsia="宋体" w:cs="宋体"/>
          <w:b w:val="0"/>
          <w:bCs/>
          <w:sz w:val="21"/>
          <w:szCs w:val="21"/>
          <w:highlight w:val="none"/>
        </w:rPr>
      </w:pPr>
      <w:bookmarkStart w:id="43" w:name="_Toc5500"/>
      <w:r>
        <w:rPr>
          <w:rFonts w:ascii="宋体" w:hAnsi="宋体" w:eastAsia="宋体" w:cs="宋体"/>
          <w:b w:val="0"/>
          <w:bCs/>
          <w:sz w:val="21"/>
          <w:szCs w:val="21"/>
          <w:highlight w:val="none"/>
        </w:rPr>
        <w:t>4.1</w:t>
      </w:r>
      <w:r>
        <w:rPr>
          <w:rFonts w:hint="eastAsia" w:ascii="宋体" w:hAnsi="宋体" w:eastAsia="宋体" w:cs="宋体"/>
          <w:b w:val="0"/>
          <w:bCs/>
          <w:sz w:val="21"/>
          <w:szCs w:val="21"/>
          <w:highlight w:val="none"/>
        </w:rPr>
        <w:t>结算方式</w:t>
      </w:r>
      <w:bookmarkEnd w:id="43"/>
    </w:p>
    <w:p w14:paraId="595873E9">
      <w:pPr>
        <w:spacing w:line="360" w:lineRule="auto"/>
        <w:rPr>
          <w:rFonts w:hint="eastAsia" w:ascii="宋体" w:hAnsi="宋体" w:eastAsia="宋体" w:cs="宋体"/>
          <w:b w:val="0"/>
          <w:bCs/>
          <w:sz w:val="21"/>
          <w:szCs w:val="21"/>
          <w:highlight w:val="none"/>
        </w:rPr>
      </w:pPr>
      <w:r>
        <w:rPr>
          <w:rFonts w:ascii="Times New Roman" w:hAnsi="Times New Roman" w:eastAsia="宋体" w:cs="Times New Roman"/>
          <w:b w:val="0"/>
          <w:bCs/>
          <w:sz w:val="21"/>
          <w:szCs w:val="21"/>
          <w:highlight w:val="none"/>
        </w:rPr>
        <w:t>4.1 Modalités de règlement</w:t>
      </w:r>
    </w:p>
    <w:p w14:paraId="5C6992E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本协议</w:t>
      </w:r>
      <w:r>
        <w:rPr>
          <w:rFonts w:ascii="宋体" w:hAnsi="宋体" w:cs="宋体"/>
          <w:szCs w:val="21"/>
          <w:highlight w:val="none"/>
        </w:rPr>
        <w:t>约定的相关</w:t>
      </w:r>
      <w:r>
        <w:rPr>
          <w:rFonts w:hint="eastAsia" w:ascii="宋体" w:hAnsi="宋体" w:cs="宋体"/>
          <w:szCs w:val="21"/>
          <w:highlight w:val="none"/>
        </w:rPr>
        <w:t>服务所涉及的费用应按照以下方式结算：</w:t>
      </w:r>
    </w:p>
    <w:p w14:paraId="74DB396B">
      <w:pPr>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Les frais liés aux services prévus par la présente convention sont réglés selon les modalités suivantes :</w:t>
      </w:r>
    </w:p>
    <w:p w14:paraId="75147349">
      <w:pPr>
        <w:pStyle w:val="21"/>
        <w:spacing w:line="360" w:lineRule="auto"/>
        <w:rPr>
          <w:rFonts w:hint="eastAsia" w:ascii="宋体" w:hAnsi="宋体" w:cs="宋体"/>
          <w:szCs w:val="21"/>
          <w:highlight w:val="none"/>
        </w:rPr>
      </w:pPr>
      <w:r>
        <w:rPr>
          <w:rFonts w:ascii="宋体" w:hAnsi="宋体" w:cs="宋体"/>
          <w:szCs w:val="21"/>
          <w:highlight w:val="none"/>
        </w:rPr>
        <w:t xml:space="preserve">4.1.1 </w:t>
      </w:r>
      <w:r>
        <w:rPr>
          <w:rFonts w:hint="eastAsia" w:ascii="宋体" w:hAnsi="宋体" w:cs="宋体"/>
          <w:szCs w:val="21"/>
          <w:highlight w:val="none"/>
        </w:rPr>
        <w:t>机票及相关费用</w:t>
      </w:r>
      <w:r>
        <w:rPr>
          <w:rFonts w:ascii="宋体" w:hAnsi="宋体" w:cs="宋体"/>
          <w:szCs w:val="21"/>
          <w:highlight w:val="none"/>
        </w:rPr>
        <w:t>的结算方式</w:t>
      </w:r>
    </w:p>
    <w:p w14:paraId="034D25BB">
      <w:pPr>
        <w:spacing w:line="360" w:lineRule="auto"/>
        <w:rPr>
          <w:rFonts w:hint="eastAsia" w:ascii="宋体" w:hAnsi="宋体" w:cs="宋体"/>
          <w:szCs w:val="21"/>
          <w:highlight w:val="none"/>
        </w:rPr>
      </w:pPr>
      <w:r>
        <w:rPr>
          <w:rFonts w:ascii="Times New Roman" w:hAnsi="Times New Roman" w:cs="Times New Roman"/>
          <w:szCs w:val="21"/>
          <w:highlight w:val="none"/>
        </w:rPr>
        <w:t>4.1.1 Modalités de règlement des billets et frais connexes</w:t>
      </w:r>
    </w:p>
    <w:p w14:paraId="41087F9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本协议项下机票费、机票退改签费、代理服务费、机场延伸服务及要客服务费等相关费用均以几内亚法郎（GNF）进行结算和支付。甲方采用按月结算的方式向乙方结算机票及相关费用，即次月结算上月实际发生的费用。</w:t>
      </w:r>
    </w:p>
    <w:p w14:paraId="4115673A">
      <w:pPr>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Le prix des billets, les frais de modification ou de remboursement, les frais de service d’agence, les services aéroportuaires complémentaires et VIP ainsi que les autres frais relevant de la présente convention sont tous réglés et payés en francs guinéens (GNF). Le Client procède à un règlement mensuel des billets et frais connexes : les dépenses effectivement engagées au cours d’un mois sont réglées le mois suivant.</w:t>
      </w:r>
    </w:p>
    <w:p w14:paraId="2D29B64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乙方应于每月月末根据当月实际发生的机票及相关费用，向甲方提供《国际机票费用明细账单》。甲方收到明细账单后应及时进行核对，如有异议，应及时向乙方提出并协商解决；经双方核对确认无误后，甲方于次月以几内亚法郎（GNF）向乙方支付上月应结算的机票及相关费用。</w:t>
      </w:r>
    </w:p>
    <w:p w14:paraId="5D58190C">
      <w:pPr>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À la fin de chaque mois, le Prestataire remet au Client, sur la base des billets et frais connexes effectivement engagés durant le mois, un « Relevé détaillé des frais de billets d’avion internationaux ». Le Client vérifie ce relevé sans délai et, en cas de contestation, en informe rapidement le Prestataire afin de rechercher une solution par concertation. Après vérification et confirmation par les deux parties, le Client paie au mois suivant, en francs guinéens (GNF), les billets et frais connexes dus au titre du mois précédent.</w:t>
      </w:r>
    </w:p>
    <w:p w14:paraId="576D74D8">
      <w:pPr>
        <w:pStyle w:val="11"/>
        <w:ind w:firstLine="420" w:firstLineChars="200"/>
        <w:rPr>
          <w:rFonts w:hint="eastAsia"/>
        </w:rPr>
      </w:pPr>
      <w:r>
        <w:rPr>
          <w:rFonts w:hint="eastAsia"/>
        </w:rPr>
        <w:t>乙方应按照甲方要求提供相应金额的航空运输电子客票行程单及符合甲方抬头要求、符合几内亚当地税务规定的合法有效发票。</w:t>
      </w:r>
    </w:p>
    <w:p w14:paraId="2DC9D46B">
      <w:pPr>
        <w:ind w:firstLine="420" w:firstLineChars="200"/>
        <w:rPr>
          <w:rFonts w:hint="eastAsia"/>
        </w:rPr>
      </w:pPr>
      <w:r>
        <w:rPr>
          <w:rFonts w:hint="eastAsia" w:ascii="Times New Roman" w:hAnsi="Times New Roman" w:cs="Times New Roman"/>
        </w:rPr>
        <w:t>Le Prestataire fournit, conformément aux exigences du Client, les reçus-itinéraires des billets électroniques de transport aérien correspondant aux montants concernés ainsi que des factures régulières et valables, établies au nom demandé par le Client et conformes aux exigences fiscales en vigueur en Guinée.</w:t>
      </w:r>
    </w:p>
    <w:p w14:paraId="240BDF8A">
      <w:pPr>
        <w:pStyle w:val="21"/>
        <w:spacing w:line="360" w:lineRule="auto"/>
        <w:rPr>
          <w:rFonts w:hint="eastAsia" w:ascii="宋体" w:hAnsi="宋体" w:cs="宋体"/>
          <w:szCs w:val="21"/>
          <w:highlight w:val="none"/>
        </w:rPr>
      </w:pPr>
      <w:r>
        <w:rPr>
          <w:rFonts w:ascii="宋体" w:hAnsi="宋体" w:cs="宋体"/>
          <w:szCs w:val="21"/>
          <w:highlight w:val="none"/>
        </w:rPr>
        <w:t>4.1.</w:t>
      </w:r>
      <w:r>
        <w:rPr>
          <w:rFonts w:hint="eastAsia" w:ascii="宋体" w:hAnsi="宋体" w:cs="宋体"/>
          <w:szCs w:val="21"/>
          <w:highlight w:val="none"/>
          <w:lang w:val="en-US" w:eastAsia="zh-CN"/>
        </w:rPr>
        <w:t>2</w:t>
      </w:r>
      <w:r>
        <w:rPr>
          <w:rFonts w:hint="eastAsia" w:ascii="宋体" w:hAnsi="宋体" w:cs="宋体"/>
          <w:szCs w:val="21"/>
          <w:highlight w:val="none"/>
        </w:rPr>
        <w:t>甲方人员因私预订国际机票时，应当明确告知乙方经办人员。因私国际机票可选择现金、刷卡、扫码方式支付相关费用，且需要甲方因私旅客与乙方进行实时结算。</w:t>
      </w:r>
    </w:p>
    <w:p w14:paraId="1FA16F00">
      <w:pPr>
        <w:spacing w:line="360" w:lineRule="auto"/>
        <w:rPr>
          <w:rFonts w:hint="eastAsia" w:ascii="宋体" w:hAnsi="宋体" w:cs="宋体"/>
          <w:szCs w:val="21"/>
          <w:highlight w:val="none"/>
        </w:rPr>
      </w:pPr>
      <w:r>
        <w:rPr>
          <w:rFonts w:ascii="Times New Roman" w:hAnsi="Times New Roman" w:cs="Times New Roman"/>
          <w:szCs w:val="21"/>
          <w:highlight w:val="none"/>
        </w:rPr>
        <w:t>4.1.2 Lorsqu’un salarié du Client réserve à titre privé un billet international, il doit l’indiquer clairement à l’agent du Prestataire. Le billet privé peut être payé en espèces, par carte bancaire ou par paiement par code QR, et le voyageur concerné doit régler directement et immédiatement avec le Prestataire.</w:t>
      </w:r>
    </w:p>
    <w:p w14:paraId="0DD82FE1">
      <w:pPr>
        <w:pStyle w:val="21"/>
        <w:spacing w:line="360" w:lineRule="auto"/>
        <w:rPr>
          <w:rFonts w:hint="eastAsia" w:ascii="宋体" w:hAnsi="宋体" w:cs="宋体"/>
          <w:szCs w:val="21"/>
          <w:highlight w:val="none"/>
        </w:rPr>
      </w:pPr>
      <w:r>
        <w:rPr>
          <w:rFonts w:ascii="宋体" w:hAnsi="宋体" w:cs="宋体"/>
          <w:szCs w:val="21"/>
          <w:highlight w:val="none"/>
        </w:rPr>
        <w:t>4.1.</w:t>
      </w:r>
      <w:r>
        <w:rPr>
          <w:rFonts w:hint="eastAsia" w:ascii="宋体" w:hAnsi="宋体" w:cs="宋体"/>
          <w:szCs w:val="21"/>
          <w:highlight w:val="none"/>
          <w:lang w:val="en-US" w:eastAsia="zh-CN"/>
        </w:rPr>
        <w:t>3</w:t>
      </w:r>
      <w:r>
        <w:rPr>
          <w:rFonts w:hint="eastAsia" w:ascii="宋体" w:hAnsi="宋体" w:cs="宋体"/>
          <w:szCs w:val="21"/>
          <w:highlight w:val="none"/>
        </w:rPr>
        <w:t>甲方</w:t>
      </w:r>
      <w:r>
        <w:rPr>
          <w:rFonts w:hint="eastAsia" w:ascii="宋体" w:hAnsi="宋体" w:cs="宋体"/>
          <w:szCs w:val="21"/>
          <w:highlight w:val="none"/>
          <w:lang w:val="en-US" w:eastAsia="zh-CN"/>
        </w:rPr>
        <w:t>指定</w:t>
      </w:r>
      <w:r>
        <w:rPr>
          <w:rFonts w:ascii="宋体" w:hAnsi="宋体" w:cs="宋体"/>
          <w:szCs w:val="21"/>
          <w:highlight w:val="none"/>
        </w:rPr>
        <w:t>人员均为</w:t>
      </w:r>
      <w:r>
        <w:rPr>
          <w:rFonts w:hint="eastAsia" w:ascii="宋体" w:hAnsi="宋体" w:cs="宋体"/>
          <w:szCs w:val="21"/>
          <w:highlight w:val="none"/>
        </w:rPr>
        <w:t>授权订票人。如需额外指定</w:t>
      </w:r>
      <w:r>
        <w:rPr>
          <w:rFonts w:ascii="宋体" w:hAnsi="宋体" w:cs="宋体"/>
          <w:szCs w:val="21"/>
          <w:highlight w:val="none"/>
        </w:rPr>
        <w:t>订购授权人</w:t>
      </w:r>
      <w:r>
        <w:rPr>
          <w:rFonts w:hint="eastAsia" w:ascii="宋体" w:hAnsi="宋体" w:cs="宋体"/>
          <w:szCs w:val="21"/>
          <w:highlight w:val="none"/>
        </w:rPr>
        <w:t>，甲方应以书面方式通知乙方，并提供必要</w:t>
      </w:r>
      <w:r>
        <w:rPr>
          <w:rFonts w:ascii="宋体" w:hAnsi="宋体" w:cs="宋体"/>
          <w:szCs w:val="21"/>
          <w:highlight w:val="none"/>
        </w:rPr>
        <w:t>的</w:t>
      </w:r>
      <w:r>
        <w:rPr>
          <w:rFonts w:hint="eastAsia" w:ascii="宋体" w:hAnsi="宋体" w:cs="宋体"/>
          <w:szCs w:val="21"/>
          <w:highlight w:val="none"/>
        </w:rPr>
        <w:t>授权订票人</w:t>
      </w:r>
      <w:r>
        <w:rPr>
          <w:rFonts w:ascii="宋体" w:hAnsi="宋体" w:cs="宋体"/>
          <w:szCs w:val="21"/>
          <w:highlight w:val="none"/>
        </w:rPr>
        <w:t>信息</w:t>
      </w:r>
      <w:r>
        <w:rPr>
          <w:rFonts w:hint="eastAsia" w:ascii="宋体" w:hAnsi="宋体" w:cs="宋体"/>
          <w:szCs w:val="21"/>
          <w:highlight w:val="none"/>
        </w:rPr>
        <w:t>。</w:t>
      </w:r>
    </w:p>
    <w:p w14:paraId="48ADD962">
      <w:pPr>
        <w:spacing w:line="360" w:lineRule="auto"/>
        <w:rPr>
          <w:rFonts w:hint="eastAsia" w:ascii="宋体" w:hAnsi="宋体" w:cs="宋体"/>
          <w:szCs w:val="21"/>
          <w:highlight w:val="none"/>
        </w:rPr>
      </w:pPr>
      <w:r>
        <w:rPr>
          <w:rFonts w:ascii="Times New Roman" w:hAnsi="Times New Roman" w:cs="Times New Roman"/>
          <w:szCs w:val="21"/>
          <w:highlight w:val="none"/>
        </w:rPr>
        <w:t>4.1.3 Les personnes désignées par le Client sont des personnes autorisées à réserver. Si le Client souhaite en désigner d’autres, il en informe le Prestataire par écrit et lui transmet les informations nécessaires concernant ces personnes autorisées.</w:t>
      </w:r>
    </w:p>
    <w:p w14:paraId="69EE5E00">
      <w:pPr>
        <w:pStyle w:val="3"/>
        <w:spacing w:line="360" w:lineRule="auto"/>
        <w:rPr>
          <w:rFonts w:hint="eastAsia" w:ascii="宋体" w:hAnsi="宋体" w:eastAsia="宋体" w:cs="宋体"/>
          <w:b w:val="0"/>
          <w:bCs/>
          <w:sz w:val="21"/>
          <w:szCs w:val="21"/>
          <w:highlight w:val="none"/>
        </w:rPr>
      </w:pPr>
      <w:bookmarkStart w:id="44" w:name="_Toc14140"/>
      <w:r>
        <w:rPr>
          <w:rFonts w:ascii="宋体" w:hAnsi="宋体" w:eastAsia="宋体" w:cs="宋体"/>
          <w:b w:val="0"/>
          <w:bCs/>
          <w:sz w:val="21"/>
          <w:szCs w:val="21"/>
          <w:highlight w:val="none"/>
        </w:rPr>
        <w:t>4.2</w:t>
      </w:r>
      <w:r>
        <w:rPr>
          <w:rFonts w:hint="eastAsia" w:ascii="宋体" w:hAnsi="宋体" w:eastAsia="宋体" w:cs="宋体"/>
          <w:b w:val="0"/>
          <w:bCs/>
          <w:sz w:val="21"/>
          <w:szCs w:val="21"/>
          <w:highlight w:val="none"/>
        </w:rPr>
        <w:t>付款</w:t>
      </w:r>
      <w:bookmarkEnd w:id="44"/>
    </w:p>
    <w:p w14:paraId="5A00D343">
      <w:pPr>
        <w:spacing w:line="360" w:lineRule="auto"/>
        <w:rPr>
          <w:rFonts w:hint="eastAsia" w:ascii="宋体" w:hAnsi="宋体" w:eastAsia="宋体" w:cs="宋体"/>
          <w:b w:val="0"/>
          <w:bCs/>
          <w:sz w:val="21"/>
          <w:szCs w:val="21"/>
          <w:highlight w:val="none"/>
        </w:rPr>
      </w:pPr>
      <w:r>
        <w:rPr>
          <w:rFonts w:ascii="Times New Roman" w:hAnsi="Times New Roman" w:eastAsia="宋体" w:cs="Times New Roman"/>
          <w:b w:val="0"/>
          <w:bCs/>
          <w:sz w:val="21"/>
          <w:szCs w:val="21"/>
          <w:highlight w:val="none"/>
        </w:rPr>
        <w:t>4.2 Paiement</w:t>
      </w:r>
    </w:p>
    <w:p w14:paraId="0A2E5A3C">
      <w:pPr>
        <w:pStyle w:val="21"/>
        <w:spacing w:line="360" w:lineRule="auto"/>
        <w:rPr>
          <w:rFonts w:hint="eastAsia" w:ascii="宋体" w:hAnsi="宋体" w:cs="宋体"/>
          <w:szCs w:val="21"/>
          <w:highlight w:val="none"/>
        </w:rPr>
      </w:pPr>
      <w:r>
        <w:rPr>
          <w:rFonts w:ascii="宋体" w:hAnsi="宋体" w:cs="宋体"/>
          <w:szCs w:val="21"/>
          <w:highlight w:val="none"/>
        </w:rPr>
        <w:t>4.2.1甲乙双方应按本协议第4.1条约定的期限和方式结算相关款项。如甲方未按约支付，乙方应先向甲方发出书面催告；逾期付款责任按照几内亚共和国适用法律及双方书面约定执行。</w:t>
      </w:r>
    </w:p>
    <w:p w14:paraId="4667D69D">
      <w:pPr>
        <w:spacing w:line="360" w:lineRule="auto"/>
        <w:rPr>
          <w:rFonts w:hint="eastAsia" w:ascii="宋体" w:hAnsi="宋体" w:cs="宋体"/>
          <w:szCs w:val="21"/>
          <w:highlight w:val="none"/>
        </w:rPr>
      </w:pPr>
      <w:r>
        <w:rPr>
          <w:rFonts w:ascii="Times New Roman" w:hAnsi="Times New Roman" w:cs="Times New Roman"/>
          <w:szCs w:val="21"/>
          <w:highlight w:val="none"/>
        </w:rPr>
        <w:t>4.2.1 Les parties règlent les sommes concernées dans les délais et selon les modalités prévus à l’article 4.1 de la présente convention. Si le Client ne paie pas conformément aux stipulations, le Prestataire lui adresse d’abord une mise en demeure écrite ; la responsabilité liée au retard de paiement est déterminée conformément au droit applicable de la République de Guinée et aux accords écrits des parties.</w:t>
      </w:r>
    </w:p>
    <w:p w14:paraId="39A2943D">
      <w:pPr>
        <w:pStyle w:val="21"/>
        <w:spacing w:line="360" w:lineRule="auto"/>
        <w:rPr>
          <w:rFonts w:hint="eastAsia" w:ascii="宋体" w:hAnsi="宋体" w:cs="宋体"/>
          <w:szCs w:val="21"/>
          <w:highlight w:val="none"/>
        </w:rPr>
      </w:pPr>
      <w:r>
        <w:rPr>
          <w:rFonts w:ascii="宋体" w:hAnsi="宋体"/>
        </w:rPr>
        <w:t>4.2.2 本协议项下费用以几内亚法郎（GNF）计价、结算和支付。甲方原则上通过公对公银行转账方式支付相关服务费用；特殊情形下，经甲方书面同意，可采用支票、刷卡、扫码等双方认可的备用方式结算。</w:t>
      </w:r>
    </w:p>
    <w:p w14:paraId="343B00AE">
      <w:pPr>
        <w:spacing w:line="360" w:lineRule="auto"/>
        <w:rPr>
          <w:rFonts w:hint="eastAsia" w:ascii="宋体" w:hAnsi="宋体" w:cs="宋体"/>
          <w:szCs w:val="21"/>
          <w:highlight w:val="none"/>
        </w:rPr>
      </w:pPr>
      <w:r>
        <w:rPr>
          <w:rFonts w:ascii="Times New Roman" w:hAnsi="Times New Roman" w:cs="Times New Roman"/>
        </w:rPr>
        <w:t>4.2.2 Les frais au titre de la présente convention sont libellés, réglés et payés en francs guinéens (GNF). En principe, le Client règle les frais de service par virement bancaire entre comptes d’entreprise ; dans des circonstances particulières et avec l’accord écrit du Client, le règlement peut être effectué par chèque, carte bancaire, paiement par code QR ou tout autre mode de paiement alternatif reconnu par les deux parties.</w:t>
      </w:r>
    </w:p>
    <w:p w14:paraId="65341295">
      <w:pPr>
        <w:pStyle w:val="21"/>
        <w:spacing w:line="360" w:lineRule="auto"/>
        <w:rPr>
          <w:rFonts w:hint="eastAsia" w:ascii="宋体" w:hAnsi="宋体" w:cs="宋体"/>
          <w:szCs w:val="21"/>
          <w:highlight w:val="none"/>
        </w:rPr>
      </w:pPr>
      <w:r>
        <w:rPr>
          <w:rFonts w:ascii="宋体" w:hAnsi="宋体" w:cs="宋体"/>
          <w:szCs w:val="21"/>
          <w:highlight w:val="none"/>
        </w:rPr>
        <w:t>4.2.3乙方账户信息：</w:t>
      </w:r>
    </w:p>
    <w:p w14:paraId="0C779D73">
      <w:pPr>
        <w:spacing w:line="360" w:lineRule="auto"/>
        <w:rPr>
          <w:rFonts w:hint="eastAsia" w:ascii="宋体" w:hAnsi="宋体" w:cs="宋体"/>
          <w:szCs w:val="21"/>
          <w:highlight w:val="none"/>
        </w:rPr>
      </w:pPr>
      <w:r>
        <w:rPr>
          <w:rFonts w:ascii="Times New Roman" w:hAnsi="Times New Roman" w:cs="Times New Roman"/>
          <w:szCs w:val="21"/>
          <w:highlight w:val="none"/>
        </w:rPr>
        <w:t>4.2.3 Coordonnées bancaires du Prestataire :</w:t>
      </w:r>
    </w:p>
    <w:p w14:paraId="5594B75D">
      <w:pPr>
        <w:pStyle w:val="21"/>
        <w:spacing w:line="360" w:lineRule="auto"/>
        <w:ind w:firstLine="210" w:firstLineChars="100"/>
        <w:rPr>
          <w:rFonts w:hint="eastAsia" w:ascii="宋体" w:hAnsi="宋体" w:cs="宋体"/>
          <w:szCs w:val="21"/>
          <w:highlight w:val="none"/>
        </w:rPr>
      </w:pPr>
      <w:r>
        <w:rPr>
          <w:rFonts w:hint="eastAsia" w:ascii="宋体" w:hAnsi="宋体" w:cs="宋体"/>
          <w:szCs w:val="21"/>
          <w:highlight w:val="none"/>
        </w:rPr>
        <w:t>账户名称：</w:t>
      </w:r>
    </w:p>
    <w:p w14:paraId="10293835">
      <w:pPr>
        <w:spacing w:line="360" w:lineRule="auto"/>
        <w:ind w:firstLine="210" w:firstLineChars="100"/>
        <w:rPr>
          <w:rFonts w:hint="eastAsia" w:ascii="宋体" w:hAnsi="宋体" w:cs="宋体"/>
          <w:szCs w:val="21"/>
          <w:highlight w:val="none"/>
        </w:rPr>
      </w:pPr>
      <w:r>
        <w:rPr>
          <w:rFonts w:hint="eastAsia" w:ascii="Times New Roman" w:hAnsi="Times New Roman" w:cs="Times New Roman"/>
          <w:szCs w:val="21"/>
          <w:highlight w:val="none"/>
        </w:rPr>
        <w:t>Titulaire du compte :</w:t>
      </w:r>
    </w:p>
    <w:p w14:paraId="30D16BD7">
      <w:pPr>
        <w:pStyle w:val="21"/>
        <w:spacing w:line="360" w:lineRule="auto"/>
        <w:ind w:firstLine="210" w:firstLineChars="100"/>
        <w:rPr>
          <w:rFonts w:hint="eastAsia" w:ascii="宋体" w:hAnsi="宋体" w:cs="宋体"/>
          <w:szCs w:val="21"/>
          <w:highlight w:val="none"/>
        </w:rPr>
      </w:pPr>
      <w:r>
        <w:rPr>
          <w:rFonts w:hint="eastAsia" w:ascii="宋体" w:hAnsi="宋体" w:cs="宋体"/>
          <w:szCs w:val="21"/>
          <w:highlight w:val="none"/>
        </w:rPr>
        <w:t>账</w:t>
      </w:r>
      <w:r>
        <w:rPr>
          <w:rFonts w:ascii="宋体" w:hAnsi="宋体" w:cs="宋体"/>
          <w:szCs w:val="21"/>
          <w:highlight w:val="none"/>
        </w:rPr>
        <w:t xml:space="preserve">    </w:t>
      </w:r>
      <w:r>
        <w:rPr>
          <w:rFonts w:hint="eastAsia" w:ascii="宋体" w:hAnsi="宋体" w:cs="宋体"/>
          <w:szCs w:val="21"/>
          <w:highlight w:val="none"/>
        </w:rPr>
        <w:t>号：</w:t>
      </w:r>
    </w:p>
    <w:p w14:paraId="275629CE">
      <w:pPr>
        <w:spacing w:line="360" w:lineRule="auto"/>
        <w:ind w:firstLine="210" w:firstLineChars="100"/>
        <w:rPr>
          <w:rFonts w:hint="eastAsia" w:ascii="宋体" w:hAnsi="宋体" w:cs="宋体"/>
          <w:szCs w:val="21"/>
          <w:highlight w:val="none"/>
        </w:rPr>
      </w:pPr>
      <w:r>
        <w:rPr>
          <w:rFonts w:hint="eastAsia" w:ascii="Times New Roman" w:hAnsi="Times New Roman" w:cs="Times New Roman"/>
          <w:szCs w:val="21"/>
          <w:highlight w:val="none"/>
        </w:rPr>
        <w:t>Numéro de compte :</w:t>
      </w:r>
    </w:p>
    <w:p w14:paraId="6A7FA2F1">
      <w:pPr>
        <w:pStyle w:val="21"/>
        <w:spacing w:line="360" w:lineRule="auto"/>
        <w:ind w:firstLine="210" w:firstLineChars="100"/>
        <w:rPr>
          <w:rFonts w:hint="eastAsia" w:ascii="宋体" w:hAnsi="宋体" w:cs="宋体"/>
          <w:szCs w:val="21"/>
          <w:highlight w:val="none"/>
        </w:rPr>
      </w:pPr>
      <w:r>
        <w:rPr>
          <w:rFonts w:hint="eastAsia" w:ascii="宋体" w:hAnsi="宋体" w:cs="宋体"/>
          <w:szCs w:val="21"/>
          <w:highlight w:val="none"/>
        </w:rPr>
        <w:t>开户银行：</w:t>
      </w:r>
    </w:p>
    <w:p w14:paraId="1ABBAB0B">
      <w:pPr>
        <w:spacing w:line="360" w:lineRule="auto"/>
        <w:ind w:firstLine="210" w:firstLineChars="100"/>
        <w:rPr>
          <w:rFonts w:hint="eastAsia" w:ascii="宋体" w:hAnsi="宋体" w:cs="宋体"/>
          <w:szCs w:val="21"/>
          <w:highlight w:val="none"/>
        </w:rPr>
      </w:pPr>
      <w:r>
        <w:rPr>
          <w:rFonts w:hint="eastAsia" w:ascii="Times New Roman" w:hAnsi="Times New Roman" w:cs="Times New Roman"/>
          <w:szCs w:val="21"/>
          <w:highlight w:val="none"/>
        </w:rPr>
        <w:t>Banque :</w:t>
      </w:r>
    </w:p>
    <w:p w14:paraId="6DAEEFA2">
      <w:pPr>
        <w:pStyle w:val="21"/>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除另有约定外，甲方根据本协议应向乙方支付的款项均支付至上述指定账户。</w:t>
      </w:r>
    </w:p>
    <w:p w14:paraId="6BACD5E6">
      <w:pPr>
        <w:spacing w:line="360" w:lineRule="auto"/>
        <w:rPr>
          <w:rFonts w:hint="eastAsia" w:ascii="宋体" w:hAnsi="宋体" w:cs="宋体"/>
          <w:color w:val="000000"/>
          <w:szCs w:val="21"/>
          <w:highlight w:val="none"/>
        </w:rPr>
      </w:pPr>
      <w:r>
        <w:rPr>
          <w:rFonts w:hint="eastAsia" w:ascii="Times New Roman" w:hAnsi="Times New Roman" w:cs="Times New Roman"/>
          <w:color w:val="000000"/>
          <w:szCs w:val="21"/>
          <w:highlight w:val="none"/>
        </w:rPr>
        <w:t>Sauf convention contraire, toutes les sommes dues par le Client au Prestataire au titre de la présente convention sont versées sur le compte désigné ci-dessus.</w:t>
      </w:r>
    </w:p>
    <w:p w14:paraId="502567EF">
      <w:pPr>
        <w:pStyle w:val="21"/>
        <w:spacing w:line="360" w:lineRule="auto"/>
        <w:ind w:firstLine="70"/>
        <w:rPr>
          <w:rFonts w:hint="eastAsia" w:ascii="宋体" w:hAnsi="宋体" w:cs="宋体"/>
          <w:color w:val="000000"/>
          <w:szCs w:val="21"/>
          <w:highlight w:val="none"/>
        </w:rPr>
      </w:pPr>
    </w:p>
    <w:p w14:paraId="3F3568F8">
      <w:pPr>
        <w:pStyle w:val="2"/>
        <w:tabs>
          <w:tab w:val="left" w:pos="720"/>
        </w:tabs>
        <w:spacing w:line="360" w:lineRule="auto"/>
        <w:rPr>
          <w:rFonts w:hint="eastAsia" w:ascii="宋体" w:hAnsi="宋体" w:cs="宋体"/>
          <w:sz w:val="21"/>
          <w:szCs w:val="21"/>
          <w:highlight w:val="none"/>
        </w:rPr>
      </w:pPr>
      <w:bookmarkStart w:id="45" w:name="_Toc27666"/>
      <w:r>
        <w:rPr>
          <w:rFonts w:hint="eastAsia" w:ascii="宋体" w:hAnsi="宋体" w:cs="宋体"/>
          <w:sz w:val="21"/>
          <w:szCs w:val="21"/>
          <w:highlight w:val="none"/>
        </w:rPr>
        <w:t>五、不可抗力</w:t>
      </w:r>
      <w:bookmarkEnd w:id="45"/>
    </w:p>
    <w:p w14:paraId="52311DDF">
      <w:pPr>
        <w:tabs>
          <w:tab w:val="left" w:pos="720"/>
        </w:tabs>
        <w:spacing w:line="360" w:lineRule="auto"/>
        <w:rPr>
          <w:rFonts w:hint="eastAsia" w:ascii="宋体" w:hAnsi="宋体" w:cs="宋体"/>
          <w:sz w:val="21"/>
          <w:szCs w:val="21"/>
          <w:highlight w:val="none"/>
        </w:rPr>
      </w:pPr>
      <w:r>
        <w:rPr>
          <w:rFonts w:hint="eastAsia" w:ascii="Times New Roman" w:hAnsi="Times New Roman" w:cs="Times New Roman"/>
          <w:sz w:val="21"/>
          <w:szCs w:val="21"/>
          <w:highlight w:val="none"/>
        </w:rPr>
        <w:t>V. Force majeure</w:t>
      </w:r>
    </w:p>
    <w:p w14:paraId="38EE037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由于战争、地震、雷击、水灾、火灾、政府行为、黑客攻击、电信部门技术管制等不可抗力原因，致使协议一方或双方不能按协议约定履行部分或全部义务的，免除遭遇不可抗力的一方或双方履行协议部分义务或全部义务的责任，并且不承担违约责任。</w:t>
      </w:r>
    </w:p>
    <w:p w14:paraId="534104D6">
      <w:pPr>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Lorsqu’en raison d’un cas de force majeure tel que guerre, tremblement de terre, foudre, inondation, incendie, acte gouvernemental, cyberattaque ou restriction technique imposée par un opérateur de télécommunications, l’une ou les deux parties ne peuvent exécuter tout ou partie de leurs obligations contractuelles, la partie ou les parties affectées sont exonérées de l’exécution des obligations concernées et ne supportent pas de responsabilité contractuelle à ce titre.</w:t>
      </w:r>
    </w:p>
    <w:p w14:paraId="7962A71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发生不可抗力的一方或双方应当在不可抗力发生后尽快以书面形式通知对方，并以最快方式向对方提供一切相关材料。</w:t>
      </w:r>
    </w:p>
    <w:p w14:paraId="58DF7B87">
      <w:pPr>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La partie ou les parties affectées par un cas de force majeure doivent en informer l’autre partie par écrit dès que possible après sa survenance et lui communiquer, par le moyen le plus rapide, tous les documents pertinents.</w:t>
      </w:r>
    </w:p>
    <w:p w14:paraId="372649F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发生不可抗力的一方或双方应当积极采取一切补救措施，使损失减少到最低限度。因一方不履行积极的通知义务，而给对方造成损失的，应当承担赔偿责任。</w:t>
      </w:r>
    </w:p>
    <w:p w14:paraId="688BE151">
      <w:pPr>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La partie ou les parties affectées doivent prendre activement toutes les mesures correctives nécessaires afin de réduire au minimum les pertes. Toute partie qui omet de satisfaire à son obligation de notification et cause de ce fait un préjudice à l’autre partie doit l’indemniser.</w:t>
      </w:r>
    </w:p>
    <w:p w14:paraId="43A4B20F">
      <w:pPr>
        <w:spacing w:line="360" w:lineRule="auto"/>
        <w:ind w:left="420"/>
        <w:rPr>
          <w:rFonts w:hint="eastAsia" w:ascii="宋体" w:hAnsi="宋体" w:cs="宋体"/>
          <w:bCs/>
          <w:szCs w:val="21"/>
          <w:highlight w:val="none"/>
          <w:u w:val="single"/>
        </w:rPr>
      </w:pPr>
    </w:p>
    <w:p w14:paraId="75DA133E">
      <w:pPr>
        <w:pStyle w:val="2"/>
        <w:tabs>
          <w:tab w:val="left" w:pos="720"/>
        </w:tabs>
        <w:spacing w:line="360" w:lineRule="auto"/>
        <w:rPr>
          <w:rFonts w:hint="eastAsia" w:ascii="宋体" w:hAnsi="宋体" w:cs="宋体"/>
          <w:sz w:val="21"/>
          <w:szCs w:val="21"/>
          <w:highlight w:val="none"/>
        </w:rPr>
      </w:pPr>
      <w:bookmarkStart w:id="46" w:name="_Toc16962"/>
      <w:r>
        <w:rPr>
          <w:rFonts w:hint="eastAsia" w:ascii="宋体" w:hAnsi="宋体" w:cs="宋体"/>
          <w:sz w:val="21"/>
          <w:szCs w:val="21"/>
          <w:highlight w:val="none"/>
        </w:rPr>
        <w:t>六、保密条款</w:t>
      </w:r>
      <w:bookmarkEnd w:id="46"/>
    </w:p>
    <w:p w14:paraId="1F2D1AD0">
      <w:pPr>
        <w:tabs>
          <w:tab w:val="left" w:pos="720"/>
        </w:tabs>
        <w:spacing w:line="360" w:lineRule="auto"/>
        <w:rPr>
          <w:rFonts w:hint="eastAsia" w:ascii="宋体" w:hAnsi="宋体" w:cs="宋体"/>
          <w:sz w:val="21"/>
          <w:szCs w:val="21"/>
          <w:highlight w:val="none"/>
        </w:rPr>
      </w:pPr>
      <w:r>
        <w:rPr>
          <w:rFonts w:hint="eastAsia" w:ascii="Times New Roman" w:hAnsi="Times New Roman" w:cs="Times New Roman"/>
          <w:sz w:val="21"/>
          <w:szCs w:val="21"/>
          <w:highlight w:val="none"/>
        </w:rPr>
        <w:t>VI. Confidentialité</w:t>
      </w:r>
    </w:p>
    <w:p w14:paraId="4D3583B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乙方向</w:t>
      </w:r>
      <w:r>
        <w:rPr>
          <w:rFonts w:ascii="宋体" w:hAnsi="宋体" w:cs="宋体"/>
          <w:szCs w:val="21"/>
          <w:highlight w:val="none"/>
        </w:rPr>
        <w:t>甲方提供</w:t>
      </w:r>
      <w:r>
        <w:rPr>
          <w:rFonts w:hint="eastAsia" w:ascii="宋体" w:hAnsi="宋体" w:cs="宋体"/>
          <w:szCs w:val="21"/>
          <w:highlight w:val="none"/>
        </w:rPr>
        <w:t>协议</w:t>
      </w:r>
      <w:r>
        <w:rPr>
          <w:rFonts w:ascii="宋体" w:hAnsi="宋体" w:cs="宋体"/>
          <w:szCs w:val="21"/>
          <w:highlight w:val="none"/>
        </w:rPr>
        <w:t>约定的服务，</w:t>
      </w:r>
      <w:r>
        <w:rPr>
          <w:rFonts w:hint="eastAsia" w:ascii="宋体" w:hAnsi="宋体" w:cs="宋体"/>
          <w:szCs w:val="21"/>
          <w:highlight w:val="none"/>
        </w:rPr>
        <w:t>需要取得甲方员工的个人信息（包含姓名、出入境证件号和手机号码，以下简称“员工名录”）和</w:t>
      </w:r>
      <w:r>
        <w:rPr>
          <w:rFonts w:ascii="宋体" w:hAnsi="宋体" w:cs="宋体"/>
          <w:szCs w:val="21"/>
          <w:highlight w:val="none"/>
        </w:rPr>
        <w:t>国际差旅行程信息</w:t>
      </w:r>
      <w:r>
        <w:rPr>
          <w:rFonts w:hint="eastAsia" w:ascii="宋体" w:hAnsi="宋体" w:cs="宋体"/>
          <w:szCs w:val="21"/>
          <w:highlight w:val="none"/>
        </w:rPr>
        <w:t>，为此，甲乙双方本着互惠互利、共同发展的原则，经友好协商约定本条款。</w:t>
      </w:r>
    </w:p>
    <w:p w14:paraId="61B3A863">
      <w:pPr>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Pour fournir les services prévus par la présente convention, le Prestataire doit obtenir certaines données personnelles des salariés du Client (notamment le nom, le numéro du document d’entrée et de sortie du territoire et le numéro de téléphone, ci-après la « liste des salariés ») ainsi que des informations relatives aux itinéraires internationaux. Les parties conviennent donc, dans un esprit de coopération mutuellement avantageuse et de développement commun, des dispositions suivantes après concertation amiable.</w:t>
      </w:r>
    </w:p>
    <w:p w14:paraId="096FEB9C">
      <w:pPr>
        <w:spacing w:line="360" w:lineRule="auto"/>
        <w:rPr>
          <w:rFonts w:hint="eastAsia" w:ascii="宋体" w:hAnsi="宋体" w:cs="宋体"/>
          <w:szCs w:val="21"/>
          <w:highlight w:val="none"/>
        </w:rPr>
      </w:pPr>
      <w:r>
        <w:rPr>
          <w:rFonts w:ascii="宋体" w:hAnsi="宋体" w:cs="宋体"/>
          <w:szCs w:val="21"/>
          <w:highlight w:val="none"/>
        </w:rPr>
        <w:t>6.1乙方为员工名录和行程</w:t>
      </w:r>
      <w:r>
        <w:rPr>
          <w:rFonts w:hint="eastAsia" w:ascii="宋体" w:hAnsi="宋体" w:cs="宋体"/>
          <w:szCs w:val="21"/>
          <w:highlight w:val="none"/>
        </w:rPr>
        <w:t>信息的接受方，负有保密义务，承担保密责任。</w:t>
      </w:r>
    </w:p>
    <w:p w14:paraId="3A894C7B">
      <w:pPr>
        <w:spacing w:line="360" w:lineRule="auto"/>
        <w:rPr>
          <w:rFonts w:hint="eastAsia" w:ascii="宋体" w:hAnsi="宋体" w:cs="宋体"/>
          <w:szCs w:val="21"/>
          <w:highlight w:val="none"/>
        </w:rPr>
      </w:pPr>
      <w:r>
        <w:rPr>
          <w:rFonts w:ascii="Times New Roman" w:hAnsi="Times New Roman" w:cs="Times New Roman"/>
          <w:szCs w:val="21"/>
          <w:highlight w:val="none"/>
        </w:rPr>
        <w:t>6.1 Le Prestataire est le destinataire de la liste des salariés et des informations d’itinéraire ; il est tenu à une obligation de confidentialité et en assume la responsabilité.</w:t>
      </w:r>
    </w:p>
    <w:p w14:paraId="49224E08">
      <w:pPr>
        <w:spacing w:line="360" w:lineRule="auto"/>
        <w:rPr>
          <w:rFonts w:hint="eastAsia" w:ascii="宋体" w:hAnsi="宋体" w:cs="宋体"/>
          <w:szCs w:val="21"/>
          <w:highlight w:val="none"/>
        </w:rPr>
      </w:pPr>
      <w:r>
        <w:rPr>
          <w:rFonts w:ascii="宋体" w:hAnsi="宋体" w:cs="宋体"/>
          <w:szCs w:val="21"/>
          <w:highlight w:val="none"/>
        </w:rPr>
        <w:t>6.2除为履行本协议确有必要向航空公司、全球分销系统（GDS）等服务机构提供相关信息，或根据几内亚共和国有权机关依法提出的要求提供相关信息外，乙方未经甲方事先书面同意，不得以任何方式故意或过失地向其他第三方公开、展示、出卖、披露、复制或超出本协议目的使用员工名录和行程信息。乙方应确保其代表及工作人员遵守同等保密义务。</w:t>
      </w:r>
    </w:p>
    <w:p w14:paraId="6E862D0F">
      <w:pPr>
        <w:spacing w:line="360" w:lineRule="auto"/>
        <w:rPr>
          <w:rFonts w:hint="eastAsia" w:ascii="宋体" w:hAnsi="宋体" w:cs="宋体"/>
          <w:szCs w:val="21"/>
          <w:highlight w:val="none"/>
        </w:rPr>
      </w:pPr>
      <w:r>
        <w:rPr>
          <w:rFonts w:ascii="Times New Roman" w:hAnsi="Times New Roman" w:cs="Times New Roman"/>
          <w:szCs w:val="21"/>
          <w:highlight w:val="none"/>
        </w:rPr>
        <w:t>6.2 Sauf lorsqu’il est strictement nécessaire, pour l’exécution de la présente convention, de communiquer les informations concernées aux compagnies aériennes, aux systèmes mondiaux de distribution (GDS) ou à d’autres organismes de service, ou lorsque ces informations sont légalement demandées par une autorité compétente de la République de Guinée, le Prestataire ne peut, sans l’accord écrit préalable du Client, rendre publiques, présenter, vendre, divulguer, reproduire ou utiliser au-delà des finalités de la présente convention, de manière intentionnelle ou par négligence, la liste des salariés et les informations d’itinéraire au profit ou à destination de tout autre tiers. Le Prestataire veille à ce que ses représentants et son personnel soient soumis aux mêmes obligations de confidentialité.</w:t>
      </w:r>
    </w:p>
    <w:p w14:paraId="2C4D5AA7">
      <w:pPr>
        <w:spacing w:line="360" w:lineRule="auto"/>
        <w:rPr>
          <w:rFonts w:hint="eastAsia" w:ascii="宋体" w:hAnsi="宋体" w:cs="宋体"/>
          <w:szCs w:val="21"/>
          <w:highlight w:val="none"/>
        </w:rPr>
      </w:pPr>
      <w:r>
        <w:rPr>
          <w:rFonts w:ascii="宋体" w:hAnsi="宋体" w:cs="宋体"/>
          <w:szCs w:val="21"/>
          <w:highlight w:val="none"/>
        </w:rPr>
        <w:t>6.3乙方应将员工名录</w:t>
      </w:r>
      <w:r>
        <w:rPr>
          <w:rFonts w:hint="eastAsia" w:ascii="宋体" w:hAnsi="宋体" w:cs="宋体"/>
          <w:szCs w:val="21"/>
          <w:highlight w:val="none"/>
        </w:rPr>
        <w:t>和</w:t>
      </w:r>
      <w:r>
        <w:rPr>
          <w:rFonts w:ascii="宋体" w:hAnsi="宋体" w:cs="宋体"/>
          <w:szCs w:val="21"/>
          <w:highlight w:val="none"/>
        </w:rPr>
        <w:t>行程</w:t>
      </w:r>
      <w:r>
        <w:rPr>
          <w:rFonts w:hint="eastAsia" w:ascii="宋体" w:hAnsi="宋体" w:cs="宋体"/>
          <w:szCs w:val="21"/>
          <w:highlight w:val="none"/>
        </w:rPr>
        <w:t>信息的接触范围严格限制在因本协议规定目的（即乙方向甲方提供国际机票</w:t>
      </w:r>
      <w:r>
        <w:rPr>
          <w:rFonts w:ascii="宋体" w:hAnsi="宋体" w:cs="宋体"/>
          <w:szCs w:val="21"/>
          <w:highlight w:val="none"/>
        </w:rPr>
        <w:t>代理</w:t>
      </w:r>
      <w:r>
        <w:rPr>
          <w:rFonts w:hint="eastAsia" w:ascii="宋体" w:hAnsi="宋体" w:cs="宋体"/>
          <w:szCs w:val="21"/>
          <w:highlight w:val="none"/>
        </w:rPr>
        <w:t>服务）而需接触员工名录和</w:t>
      </w:r>
      <w:r>
        <w:rPr>
          <w:rFonts w:ascii="宋体" w:hAnsi="宋体" w:cs="宋体"/>
          <w:szCs w:val="21"/>
          <w:highlight w:val="none"/>
        </w:rPr>
        <w:t>行程</w:t>
      </w:r>
      <w:r>
        <w:rPr>
          <w:rFonts w:hint="eastAsia" w:ascii="宋体" w:hAnsi="宋体" w:cs="宋体"/>
          <w:szCs w:val="21"/>
          <w:highlight w:val="none"/>
        </w:rPr>
        <w:t>信息的乙方代表及工作人员，并且应确保该等代表和人员亦严格履行本协议项下保密义务。</w:t>
      </w:r>
    </w:p>
    <w:p w14:paraId="31180E4E">
      <w:pPr>
        <w:spacing w:line="360" w:lineRule="auto"/>
        <w:rPr>
          <w:rFonts w:hint="eastAsia" w:ascii="宋体" w:hAnsi="宋体" w:cs="宋体"/>
          <w:szCs w:val="21"/>
          <w:highlight w:val="none"/>
        </w:rPr>
      </w:pPr>
      <w:r>
        <w:rPr>
          <w:rFonts w:ascii="Times New Roman" w:hAnsi="Times New Roman" w:cs="Times New Roman"/>
          <w:szCs w:val="21"/>
          <w:highlight w:val="none"/>
        </w:rPr>
        <w:t>6.3 Le Prestataire limite strictement l’accès à la liste des salariés et aux informations d’itinéraire aux seuls représentants et membres de son personnel qui en ont besoin pour la finalité prévue par la présente convention, à savoir la fourniture au Client des services d’agence pour billets d’avion internationaux, et veille à ce que ces personnes respectent strictement les obligations de confidentialité prévues par la présente convention.</w:t>
      </w:r>
    </w:p>
    <w:p w14:paraId="12CD8AC6">
      <w:pPr>
        <w:spacing w:line="360" w:lineRule="auto"/>
        <w:rPr>
          <w:rFonts w:hint="eastAsia" w:ascii="宋体" w:hAnsi="宋体" w:cs="宋体"/>
          <w:szCs w:val="21"/>
          <w:highlight w:val="none"/>
        </w:rPr>
      </w:pPr>
      <w:r>
        <w:rPr>
          <w:rFonts w:ascii="宋体" w:hAnsi="宋体" w:cs="宋体"/>
          <w:szCs w:val="21"/>
          <w:highlight w:val="none"/>
        </w:rPr>
        <w:t>6.4</w:t>
      </w:r>
      <w:r>
        <w:rPr>
          <w:rFonts w:hint="eastAsia" w:ascii="宋体" w:hAnsi="宋体" w:cs="宋体"/>
          <w:szCs w:val="21"/>
          <w:highlight w:val="none"/>
        </w:rPr>
        <w:t>如果因任何原因乙方不再向甲方提供国际机票代理服务，乙方应促使其代表及工作人员在五（</w:t>
      </w:r>
      <w:r>
        <w:rPr>
          <w:rFonts w:ascii="宋体" w:hAnsi="宋体" w:cs="宋体"/>
          <w:szCs w:val="21"/>
          <w:highlight w:val="none"/>
        </w:rPr>
        <w:t>5）个工作日内销毁或向甲方返还</w:t>
      </w:r>
      <w:r>
        <w:rPr>
          <w:rFonts w:hint="eastAsia" w:ascii="宋体" w:hAnsi="宋体" w:cs="宋体"/>
          <w:szCs w:val="21"/>
          <w:highlight w:val="none"/>
        </w:rPr>
        <w:t>任何形式的甲方员工名录</w:t>
      </w:r>
      <w:r>
        <w:rPr>
          <w:rFonts w:ascii="宋体" w:hAnsi="宋体" w:cs="宋体"/>
          <w:szCs w:val="21"/>
          <w:highlight w:val="none"/>
        </w:rPr>
        <w:t>和行程</w:t>
      </w:r>
      <w:r>
        <w:rPr>
          <w:rFonts w:hint="eastAsia" w:ascii="宋体" w:hAnsi="宋体" w:cs="宋体"/>
          <w:szCs w:val="21"/>
          <w:highlight w:val="none"/>
        </w:rPr>
        <w:t>信息。</w:t>
      </w:r>
    </w:p>
    <w:p w14:paraId="72CC59D6">
      <w:pPr>
        <w:spacing w:line="360" w:lineRule="auto"/>
        <w:rPr>
          <w:rFonts w:hint="eastAsia" w:ascii="宋体" w:hAnsi="宋体" w:cs="宋体"/>
          <w:szCs w:val="21"/>
          <w:highlight w:val="none"/>
        </w:rPr>
      </w:pPr>
      <w:r>
        <w:rPr>
          <w:rFonts w:ascii="Times New Roman" w:hAnsi="Times New Roman" w:cs="Times New Roman"/>
          <w:szCs w:val="21"/>
          <w:highlight w:val="none"/>
        </w:rPr>
        <w:t>6.4 Si, pour quelque raison que ce soit, le Prestataire cesse de fournir au Client les services d’agence pour billets d’avion internationaux, il veille à ce que ses représentants et son personnel détruisent ou restituent au Client, dans un délai de cinq (5) jours ouvrables, toute forme de liste des salariés et d’informations d’itinéraire du Client.</w:t>
      </w:r>
    </w:p>
    <w:p w14:paraId="1370B359">
      <w:pPr>
        <w:spacing w:line="360" w:lineRule="auto"/>
        <w:rPr>
          <w:rFonts w:hint="eastAsia" w:ascii="宋体" w:hAnsi="宋体" w:cs="宋体"/>
          <w:szCs w:val="21"/>
          <w:highlight w:val="none"/>
        </w:rPr>
      </w:pPr>
      <w:r>
        <w:rPr>
          <w:rFonts w:ascii="宋体" w:hAnsi="宋体" w:cs="宋体"/>
          <w:szCs w:val="21"/>
          <w:highlight w:val="none"/>
        </w:rPr>
        <w:t>6.5</w:t>
      </w:r>
      <w:r>
        <w:rPr>
          <w:rFonts w:hint="eastAsia" w:ascii="宋体" w:hAnsi="宋体" w:cs="宋体"/>
          <w:szCs w:val="21"/>
          <w:highlight w:val="none"/>
        </w:rPr>
        <w:t>本条款永久有效，不受本协议有效期届满限制。</w:t>
      </w:r>
    </w:p>
    <w:p w14:paraId="7C5928A2">
      <w:pPr>
        <w:spacing w:line="360" w:lineRule="auto"/>
        <w:rPr>
          <w:rFonts w:hint="eastAsia" w:ascii="宋体" w:hAnsi="宋体" w:cs="宋体"/>
          <w:szCs w:val="21"/>
          <w:highlight w:val="none"/>
        </w:rPr>
      </w:pPr>
      <w:r>
        <w:rPr>
          <w:rFonts w:ascii="Times New Roman" w:hAnsi="Times New Roman" w:cs="Times New Roman"/>
          <w:szCs w:val="21"/>
          <w:highlight w:val="none"/>
        </w:rPr>
        <w:t>6.5 Les dispositions du présent article restent applicables sans limitation de durée et ne prennent pas fin à l’expiration de la présente convention.</w:t>
      </w:r>
    </w:p>
    <w:p w14:paraId="5B544A91">
      <w:pPr>
        <w:adjustRightInd w:val="0"/>
        <w:snapToGrid w:val="0"/>
        <w:spacing w:line="360" w:lineRule="auto"/>
        <w:rPr>
          <w:rFonts w:hint="eastAsia" w:ascii="宋体" w:hAnsi="宋体" w:cs="宋体"/>
          <w:bCs/>
          <w:szCs w:val="21"/>
          <w:highlight w:val="none"/>
          <w:u w:val="single"/>
        </w:rPr>
      </w:pPr>
    </w:p>
    <w:p w14:paraId="4E1DF132">
      <w:pPr>
        <w:pStyle w:val="2"/>
        <w:keepLines w:val="0"/>
        <w:numPr>
          <w:ilvl w:val="0"/>
          <w:numId w:val="7"/>
        </w:numPr>
        <w:tabs>
          <w:tab w:val="left" w:pos="720"/>
        </w:tabs>
        <w:spacing w:before="0" w:after="0" w:line="360" w:lineRule="auto"/>
        <w:ind w:left="720" w:hanging="720"/>
        <w:rPr>
          <w:rFonts w:hint="eastAsia" w:ascii="宋体" w:hAnsi="宋体" w:cs="宋体"/>
          <w:sz w:val="21"/>
          <w:szCs w:val="21"/>
          <w:highlight w:val="none"/>
        </w:rPr>
      </w:pPr>
      <w:bookmarkStart w:id="47" w:name="_Toc22726"/>
      <w:r>
        <w:rPr>
          <w:rFonts w:hint="eastAsia" w:ascii="宋体" w:hAnsi="宋体" w:cs="宋体"/>
          <w:sz w:val="21"/>
          <w:szCs w:val="21"/>
          <w:highlight w:val="none"/>
        </w:rPr>
        <w:t>七、违约责任</w:t>
      </w:r>
      <w:bookmarkEnd w:id="47"/>
    </w:p>
    <w:p w14:paraId="7760D919">
      <w:pPr>
        <w:keepLines w:val="0"/>
        <w:tabs>
          <w:tab w:val="left" w:pos="720"/>
        </w:tabs>
        <w:spacing w:before="0" w:after="0" w:line="360" w:lineRule="auto"/>
        <w:ind w:left="720" w:hanging="720"/>
        <w:rPr>
          <w:rFonts w:hint="eastAsia" w:ascii="宋体" w:hAnsi="宋体" w:cs="宋体"/>
          <w:sz w:val="21"/>
          <w:szCs w:val="21"/>
          <w:highlight w:val="none"/>
        </w:rPr>
      </w:pPr>
      <w:r>
        <w:rPr>
          <w:rFonts w:hint="eastAsia" w:ascii="Times New Roman" w:hAnsi="Times New Roman" w:cs="Times New Roman"/>
          <w:sz w:val="21"/>
          <w:szCs w:val="21"/>
          <w:highlight w:val="none"/>
        </w:rPr>
        <w:t>VII. Responsabilité en cas de manquement</w:t>
      </w:r>
    </w:p>
    <w:p w14:paraId="27C60245">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乙方应按照甲方的要求提供本协议</w:t>
      </w:r>
      <w:r>
        <w:rPr>
          <w:rFonts w:ascii="宋体" w:hAnsi="宋体" w:cs="宋体"/>
          <w:szCs w:val="21"/>
          <w:highlight w:val="none"/>
        </w:rPr>
        <w:t>约定的</w:t>
      </w:r>
      <w:r>
        <w:rPr>
          <w:rFonts w:hint="eastAsia" w:ascii="宋体" w:hAnsi="宋体" w:cs="宋体"/>
          <w:szCs w:val="21"/>
          <w:highlight w:val="none"/>
        </w:rPr>
        <w:t>服务，未经甲方电话</w:t>
      </w:r>
      <w:r>
        <w:rPr>
          <w:rFonts w:ascii="宋体" w:hAnsi="宋体" w:cs="宋体"/>
          <w:szCs w:val="21"/>
          <w:highlight w:val="none"/>
        </w:rPr>
        <w:t>、</w:t>
      </w:r>
      <w:r>
        <w:rPr>
          <w:rFonts w:hint="eastAsia" w:ascii="宋体" w:hAnsi="宋体" w:cs="宋体"/>
          <w:szCs w:val="21"/>
          <w:highlight w:val="none"/>
        </w:rPr>
        <w:t>邮件、传真、</w:t>
      </w:r>
      <w:r>
        <w:rPr>
          <w:rFonts w:ascii="宋体" w:hAnsi="宋体" w:cs="宋体"/>
          <w:szCs w:val="21"/>
          <w:highlight w:val="none"/>
        </w:rPr>
        <w:t>QQ</w:t>
      </w:r>
      <w:r>
        <w:rPr>
          <w:rFonts w:hint="eastAsia" w:ascii="宋体" w:hAnsi="宋体" w:cs="宋体"/>
          <w:szCs w:val="21"/>
          <w:highlight w:val="none"/>
        </w:rPr>
        <w:t>、微信等书面方式同意，乙方不得擅自对服务内容做出变更，否则，由于乙方擅自</w:t>
      </w:r>
      <w:r>
        <w:rPr>
          <w:rFonts w:ascii="宋体" w:hAnsi="宋体" w:cs="宋体"/>
          <w:szCs w:val="21"/>
          <w:highlight w:val="none"/>
        </w:rPr>
        <w:t>对</w:t>
      </w:r>
      <w:r>
        <w:rPr>
          <w:rFonts w:hint="eastAsia" w:ascii="宋体" w:hAnsi="宋体" w:cs="宋体"/>
          <w:szCs w:val="21"/>
          <w:highlight w:val="none"/>
        </w:rPr>
        <w:t>服务做出的变更造成甲方的差旅费用损失（包括但不限于额外支出的机票费、</w:t>
      </w:r>
      <w:r>
        <w:rPr>
          <w:rFonts w:ascii="宋体" w:hAnsi="宋体" w:cs="宋体"/>
          <w:szCs w:val="21"/>
          <w:highlight w:val="none"/>
        </w:rPr>
        <w:t>机票退改签费</w:t>
      </w:r>
      <w:r>
        <w:rPr>
          <w:rFonts w:hint="eastAsia" w:ascii="宋体" w:hAnsi="宋体" w:cs="宋体"/>
          <w:szCs w:val="21"/>
          <w:highlight w:val="none"/>
        </w:rPr>
        <w:t>等），乙方应承担全部责任，并赔偿甲方全部差旅费用损失。</w:t>
      </w:r>
    </w:p>
    <w:p w14:paraId="5B244CA4">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Le Prestataire doit fournir les services prévus par la présente convention conformément aux exigences du Client. Sans l’accord du Client exprimé par téléphone, courrier électronique, télécopie, QQ, WeChat ou tout autre moyen convenu entre les parties, le Prestataire ne peut modifier unilatéralement le contenu des services. Toute perte de frais de déplacement subie par le Client du fait d’une modification non autorisée par le Prestataire, y compris notamment les frais supplémentaires de billet, de modification ou de remboursement, est intégralement supportée et indemnisée par le Prestataire.</w:t>
      </w:r>
    </w:p>
    <w:p w14:paraId="270B40B3">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甲方和乙方应严格遵守几内亚共和国现行有效的法律法规、民航主管部门及其他有权监管机构的相关规定，并遵守适用的国际航空运输规则以及各航空公司发布的运输总条件，确保合同依法、合规履行，不得实施任何违法违规行为。</w:t>
      </w:r>
    </w:p>
    <w:p w14:paraId="030A02D5">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Le Client et le Prestataire doivent respecter strictement les lois et règlements en vigueur en République de Guinée, les dispositions des autorités de l’aviation civile et des autres autorités de contrôle compétentes, ainsi que les règles internationales applicables au transport aérien et les conditions générales de transport publiées par les compagnies aériennes, afin d’assurer une exécution légale et conforme du contrat. Aucun acte illégal ou irrégulier ne peut être commis.</w:t>
      </w:r>
    </w:p>
    <w:p w14:paraId="337F09CA">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任何一方未按照上述法律法规、监管规定、国际航空运输规则或航空公司运输条件执行，由此产生的法律责任由违约方自行承担；如因此导致另一方受到航空公司、几内亚有关政府部门或其他监管机构处罚，或造成其他经济损失的，违约方应承担相应责任，并赔偿由此给另一方造成的全部损失。因一方违法违规行为造成不良影响的，由该方负责妥善处理并消除影响。</w:t>
      </w:r>
    </w:p>
    <w:p w14:paraId="0D74D2B9">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Toute partie qui ne respecte pas les lois, règlements, prescriptions de contrôle, règles internationales du transport aérien ou conditions de transport des compagnies aériennes susmentionnés assume elle-même la responsabilité juridique qui en découle. Si ce manquement entraîne une sanction de l’autre partie par une compagnie aérienne, une autorité publique guinéenne ou un autre organisme de contrôle, ou lui cause toute autre perte économique, la partie défaillante en assume la responsabilité et indemnise intégralement l’autre partie du préjudice subi. Si le comportement illégal ou irrégulier d’une partie entraîne des effets défavorables, cette partie prend à ses frais les mesures nécessaires pour y remédier et en éliminer les conséquences.</w:t>
      </w:r>
    </w:p>
    <w:p w14:paraId="26152C44">
      <w:pPr>
        <w:adjustRightInd w:val="0"/>
        <w:snapToGrid w:val="0"/>
        <w:spacing w:line="360" w:lineRule="auto"/>
        <w:ind w:firstLine="420" w:firstLineChars="200"/>
        <w:rPr>
          <w:rFonts w:hint="eastAsia" w:ascii="宋体" w:hAnsi="宋体"/>
          <w:szCs w:val="21"/>
          <w:highlight w:val="none"/>
        </w:rPr>
      </w:pPr>
      <w:r>
        <w:rPr>
          <w:rFonts w:hint="eastAsia" w:ascii="宋体" w:hAnsi="宋体" w:cs="宋体"/>
          <w:szCs w:val="21"/>
          <w:highlight w:val="none"/>
        </w:rPr>
        <w:t>本协议其他条款对违约责任有规定的，按具体条款规定处理。</w:t>
      </w:r>
    </w:p>
    <w:p w14:paraId="0FD4EE35">
      <w:pPr>
        <w:adjustRightInd w:val="0"/>
        <w:snapToGrid w:val="0"/>
        <w:spacing w:line="360" w:lineRule="auto"/>
        <w:ind w:firstLine="420" w:firstLineChars="200"/>
        <w:rPr>
          <w:rFonts w:hint="eastAsia" w:ascii="宋体" w:hAnsi="宋体"/>
          <w:szCs w:val="21"/>
          <w:highlight w:val="none"/>
        </w:rPr>
      </w:pPr>
      <w:r>
        <w:rPr>
          <w:rFonts w:hint="eastAsia" w:ascii="Times New Roman" w:hAnsi="Times New Roman" w:cs="Times New Roman"/>
          <w:szCs w:val="21"/>
          <w:highlight w:val="none"/>
        </w:rPr>
        <w:t>Lorsque d’autres dispositions de la présente convention prévoient une responsabilité particulière en cas de manquement, ces dispositions particulières s’appliquent.</w:t>
      </w:r>
    </w:p>
    <w:p w14:paraId="516654E4">
      <w:pPr>
        <w:pStyle w:val="4"/>
        <w:spacing w:line="360" w:lineRule="auto"/>
        <w:ind w:firstLine="0" w:firstLineChars="0"/>
        <w:jc w:val="left"/>
        <w:rPr>
          <w:rFonts w:hint="eastAsia" w:ascii="宋体" w:hAnsi="宋体" w:eastAsia="宋体" w:cs="宋体"/>
          <w:b/>
          <w:bCs/>
          <w:sz w:val="21"/>
          <w:szCs w:val="21"/>
          <w:highlight w:val="none"/>
        </w:rPr>
      </w:pPr>
      <w:r>
        <w:rPr>
          <w:rFonts w:ascii="宋体" w:hAnsi="宋体" w:eastAsia="宋体" w:cs="宋体"/>
          <w:b/>
          <w:bCs/>
          <w:sz w:val="21"/>
          <w:szCs w:val="21"/>
          <w:highlight w:val="none"/>
        </w:rPr>
        <w:t>7.1</w:t>
      </w:r>
      <w:r>
        <w:rPr>
          <w:rFonts w:ascii="宋体" w:hAnsi="宋体" w:eastAsia="宋体" w:cs="宋体"/>
          <w:b/>
          <w:bCs/>
          <w:sz w:val="21"/>
          <w:szCs w:val="21"/>
          <w:highlight w:val="none"/>
        </w:rPr>
        <w:tab/>
      </w:r>
      <w:r>
        <w:rPr>
          <w:rFonts w:hint="eastAsia" w:ascii="宋体" w:hAnsi="宋体" w:eastAsia="宋体" w:cs="宋体"/>
          <w:b/>
          <w:bCs/>
          <w:sz w:val="21"/>
          <w:szCs w:val="21"/>
          <w:highlight w:val="none"/>
        </w:rPr>
        <w:t>甲方权利与义务</w:t>
      </w:r>
    </w:p>
    <w:p w14:paraId="7EF085CB">
      <w:pPr>
        <w:spacing w:line="360" w:lineRule="auto"/>
        <w:ind w:firstLine="0" w:firstLineChars="0"/>
        <w:jc w:val="left"/>
        <w:rPr>
          <w:rFonts w:hint="eastAsia" w:ascii="宋体" w:hAnsi="宋体" w:eastAsia="宋体" w:cs="宋体"/>
          <w:b/>
          <w:bCs/>
          <w:sz w:val="21"/>
          <w:szCs w:val="21"/>
          <w:highlight w:val="none"/>
        </w:rPr>
      </w:pPr>
      <w:r>
        <w:rPr>
          <w:rFonts w:ascii="Times New Roman" w:hAnsi="Times New Roman" w:eastAsia="宋体" w:cs="Times New Roman"/>
          <w:b/>
          <w:bCs/>
          <w:sz w:val="21"/>
          <w:szCs w:val="21"/>
          <w:highlight w:val="none"/>
        </w:rPr>
        <w:t>7.1 Droits et obligations du Client</w:t>
      </w:r>
    </w:p>
    <w:p w14:paraId="5E81A956">
      <w:pPr>
        <w:spacing w:line="360" w:lineRule="auto"/>
        <w:rPr>
          <w:rFonts w:hint="eastAsia" w:ascii="宋体" w:hAnsi="宋体" w:cs="宋体"/>
          <w:szCs w:val="21"/>
          <w:highlight w:val="none"/>
        </w:rPr>
      </w:pPr>
      <w:r>
        <w:rPr>
          <w:rFonts w:ascii="宋体" w:hAnsi="宋体" w:cs="宋体"/>
          <w:szCs w:val="21"/>
          <w:highlight w:val="none"/>
        </w:rPr>
        <w:t>7.1.1</w:t>
      </w:r>
      <w:r>
        <w:rPr>
          <w:rFonts w:ascii="宋体" w:hAnsi="宋体" w:cs="宋体"/>
          <w:szCs w:val="21"/>
          <w:highlight w:val="none"/>
        </w:rPr>
        <w:tab/>
      </w:r>
      <w:r>
        <w:rPr>
          <w:rFonts w:hint="eastAsia" w:ascii="宋体" w:hAnsi="宋体" w:cs="宋体"/>
          <w:szCs w:val="21"/>
          <w:highlight w:val="none"/>
        </w:rPr>
        <w:t>甲方有权不定期抽查乙方所提供服务的质量和价格，对于不符合协议要求的或侵犯甲方员工合法权益的，甲方有权敦促乙方及时改正。</w:t>
      </w:r>
    </w:p>
    <w:p w14:paraId="46A319F3">
      <w:pPr>
        <w:spacing w:line="360" w:lineRule="auto"/>
        <w:rPr>
          <w:rFonts w:hint="eastAsia" w:ascii="宋体" w:hAnsi="宋体" w:cs="宋体"/>
          <w:szCs w:val="21"/>
          <w:highlight w:val="none"/>
        </w:rPr>
      </w:pPr>
      <w:r>
        <w:rPr>
          <w:rFonts w:ascii="Times New Roman" w:hAnsi="Times New Roman" w:cs="Times New Roman"/>
          <w:szCs w:val="21"/>
          <w:highlight w:val="none"/>
        </w:rPr>
        <w:t>7.1.1 Le Client a le droit de contrôler périodiquement la qualité et le prix des services fournis par le Prestataire. En cas de non-conformité à la présente convention ou d’atteinte aux droits et intérêts légitimes des salariés du Client, le Client peut exiger du Prestataire qu’il corrige la situation sans délai.</w:t>
      </w:r>
    </w:p>
    <w:p w14:paraId="085C3909">
      <w:pPr>
        <w:spacing w:line="360" w:lineRule="auto"/>
        <w:rPr>
          <w:rFonts w:hint="eastAsia" w:ascii="宋体" w:hAnsi="宋体" w:cs="宋体"/>
          <w:szCs w:val="21"/>
          <w:highlight w:val="none"/>
        </w:rPr>
      </w:pPr>
      <w:r>
        <w:rPr>
          <w:rFonts w:ascii="宋体" w:hAnsi="宋体" w:cs="宋体"/>
          <w:szCs w:val="21"/>
          <w:highlight w:val="none"/>
        </w:rPr>
        <w:t>7.1.2</w:t>
      </w:r>
      <w:r>
        <w:rPr>
          <w:rFonts w:ascii="宋体" w:hAnsi="宋体" w:cs="宋体"/>
          <w:szCs w:val="21"/>
          <w:highlight w:val="none"/>
        </w:rPr>
        <w:tab/>
      </w:r>
      <w:r>
        <w:rPr>
          <w:rFonts w:hint="eastAsia" w:ascii="宋体" w:hAnsi="宋体" w:cs="宋体"/>
          <w:szCs w:val="21"/>
          <w:highlight w:val="none"/>
        </w:rPr>
        <w:t>甲方有权要求乙方及时、真实地提供航空公司因甲方消费而应获得的优惠政策及服务项目。</w:t>
      </w:r>
    </w:p>
    <w:p w14:paraId="1CA85876">
      <w:pPr>
        <w:spacing w:line="360" w:lineRule="auto"/>
        <w:rPr>
          <w:rFonts w:hint="eastAsia" w:ascii="宋体" w:hAnsi="宋体" w:cs="宋体"/>
          <w:szCs w:val="21"/>
          <w:highlight w:val="none"/>
        </w:rPr>
      </w:pPr>
      <w:r>
        <w:rPr>
          <w:rFonts w:ascii="Times New Roman" w:hAnsi="Times New Roman" w:cs="Times New Roman"/>
          <w:szCs w:val="21"/>
          <w:highlight w:val="none"/>
        </w:rPr>
        <w:t>7.1.2 Le Client peut exiger du Prestataire qu’il lui communique de manière exacte et en temps utile les politiques préférentielles et prestations auxquelles les achats effectués par le Client auprès des compagnies aériennes lui donnent droit.</w:t>
      </w:r>
    </w:p>
    <w:p w14:paraId="0432DB0D">
      <w:pPr>
        <w:spacing w:line="360" w:lineRule="auto"/>
        <w:rPr>
          <w:rFonts w:hint="eastAsia" w:ascii="宋体" w:hAnsi="宋体" w:cs="宋体"/>
          <w:szCs w:val="21"/>
          <w:highlight w:val="none"/>
        </w:rPr>
      </w:pPr>
      <w:r>
        <w:rPr>
          <w:rFonts w:ascii="宋体" w:hAnsi="宋体" w:cs="宋体"/>
          <w:szCs w:val="21"/>
          <w:highlight w:val="none"/>
        </w:rPr>
        <w:t>7.1.3</w:t>
      </w:r>
      <w:r>
        <w:rPr>
          <w:rFonts w:ascii="宋体" w:hAnsi="宋体" w:cs="宋体"/>
          <w:szCs w:val="21"/>
          <w:highlight w:val="none"/>
        </w:rPr>
        <w:tab/>
      </w:r>
      <w:r>
        <w:rPr>
          <w:rFonts w:hint="eastAsia" w:ascii="宋体" w:hAnsi="宋体" w:cs="宋体"/>
          <w:szCs w:val="21"/>
          <w:highlight w:val="none"/>
        </w:rPr>
        <w:t>甲方有权要求乙方提供核对账目所需的资料，包括但不限于详细、清晰的消费明细、预订资料等。</w:t>
      </w:r>
    </w:p>
    <w:p w14:paraId="403D096A">
      <w:pPr>
        <w:spacing w:line="360" w:lineRule="auto"/>
        <w:rPr>
          <w:rFonts w:hint="eastAsia" w:ascii="宋体" w:hAnsi="宋体" w:cs="宋体"/>
          <w:szCs w:val="21"/>
          <w:highlight w:val="none"/>
        </w:rPr>
      </w:pPr>
      <w:r>
        <w:rPr>
          <w:rFonts w:ascii="Times New Roman" w:hAnsi="Times New Roman" w:cs="Times New Roman"/>
          <w:szCs w:val="21"/>
          <w:highlight w:val="none"/>
        </w:rPr>
        <w:t>7.1.3 Le Client peut exiger du Prestataire les documents nécessaires à la vérification des comptes, notamment des relevés de consommation détaillés et lisibles ainsi que les informations de réservation.</w:t>
      </w:r>
    </w:p>
    <w:p w14:paraId="183D703E">
      <w:pPr>
        <w:spacing w:line="360" w:lineRule="auto"/>
        <w:rPr>
          <w:rFonts w:hint="eastAsia" w:ascii="宋体" w:hAnsi="宋体" w:cs="宋体"/>
          <w:szCs w:val="21"/>
          <w:highlight w:val="none"/>
        </w:rPr>
      </w:pPr>
      <w:r>
        <w:rPr>
          <w:rFonts w:ascii="宋体" w:hAnsi="宋体" w:cs="宋体"/>
          <w:szCs w:val="21"/>
          <w:highlight w:val="none"/>
        </w:rPr>
        <w:t>7.1.4</w:t>
      </w:r>
      <w:r>
        <w:rPr>
          <w:rFonts w:ascii="宋体" w:hAnsi="宋体" w:cs="宋体"/>
          <w:szCs w:val="21"/>
          <w:highlight w:val="none"/>
        </w:rPr>
        <w:tab/>
      </w:r>
      <w:r>
        <w:rPr>
          <w:rFonts w:hint="eastAsia" w:ascii="宋体" w:hAnsi="宋体" w:cs="宋体"/>
          <w:szCs w:val="21"/>
          <w:highlight w:val="none"/>
        </w:rPr>
        <w:t>甲方在预订过程中，有义务由已存在于甲方</w:t>
      </w:r>
      <w:r>
        <w:rPr>
          <w:rFonts w:ascii="宋体" w:hAnsi="宋体" w:cs="宋体"/>
          <w:szCs w:val="21"/>
          <w:highlight w:val="none"/>
        </w:rPr>
        <w:t>员工名录</w:t>
      </w:r>
      <w:r>
        <w:rPr>
          <w:rFonts w:hint="eastAsia" w:ascii="宋体" w:hAnsi="宋体" w:cs="宋体"/>
          <w:szCs w:val="21"/>
          <w:highlight w:val="none"/>
        </w:rPr>
        <w:t>中的人员或</w:t>
      </w:r>
      <w:r>
        <w:rPr>
          <w:rFonts w:ascii="宋体" w:hAnsi="宋体" w:cs="宋体"/>
          <w:szCs w:val="21"/>
          <w:highlight w:val="none"/>
        </w:rPr>
        <w:t>其他</w:t>
      </w:r>
      <w:r>
        <w:rPr>
          <w:rFonts w:hint="eastAsia" w:ascii="宋体" w:hAnsi="宋体" w:cs="宋体"/>
          <w:szCs w:val="21"/>
          <w:highlight w:val="none"/>
        </w:rPr>
        <w:t>授权</w:t>
      </w:r>
      <w:r>
        <w:rPr>
          <w:rFonts w:ascii="宋体" w:hAnsi="宋体" w:cs="宋体"/>
          <w:szCs w:val="21"/>
          <w:highlight w:val="none"/>
        </w:rPr>
        <w:t>订票人</w:t>
      </w:r>
      <w:r>
        <w:rPr>
          <w:rFonts w:hint="eastAsia" w:ascii="宋体" w:hAnsi="宋体" w:cs="宋体"/>
          <w:szCs w:val="21"/>
          <w:highlight w:val="none"/>
        </w:rPr>
        <w:t>向乙方提供购票旅客正确的信息（人数、日期、时间、行程、姓名、证件信息、</w:t>
      </w:r>
      <w:r>
        <w:rPr>
          <w:rFonts w:ascii="宋体" w:hAnsi="宋体" w:cs="宋体"/>
          <w:szCs w:val="21"/>
          <w:highlight w:val="none"/>
        </w:rPr>
        <w:t>舱位要求</w:t>
      </w:r>
      <w:r>
        <w:rPr>
          <w:rFonts w:hint="eastAsia" w:ascii="宋体" w:hAnsi="宋体" w:cs="宋体"/>
          <w:szCs w:val="21"/>
          <w:highlight w:val="none"/>
        </w:rPr>
        <w:t>和联系电话）。</w:t>
      </w:r>
    </w:p>
    <w:p w14:paraId="3D985594">
      <w:pPr>
        <w:spacing w:line="360" w:lineRule="auto"/>
        <w:rPr>
          <w:rFonts w:hint="eastAsia" w:ascii="宋体" w:hAnsi="宋体" w:cs="宋体"/>
          <w:szCs w:val="21"/>
          <w:highlight w:val="none"/>
        </w:rPr>
      </w:pPr>
      <w:r>
        <w:rPr>
          <w:rFonts w:ascii="Times New Roman" w:hAnsi="Times New Roman" w:cs="Times New Roman"/>
          <w:szCs w:val="21"/>
          <w:highlight w:val="none"/>
        </w:rPr>
        <w:t>7.1.4 Lors de la réservation, le Client est tenu de faire communiquer au Prestataire, par une personne figurant sur la liste des salariés du Client ou par toute autre personne autorisée à réserver, les informations exactes relatives au voyageur concerné, notamment le nombre de voyageurs, la date, l’heure, l’itinéraire, le nom, les informations du document d’identité ou de voyage, la classe requise et le numéro de téléphone.</w:t>
      </w:r>
    </w:p>
    <w:p w14:paraId="23A8063F">
      <w:pPr>
        <w:spacing w:line="360" w:lineRule="auto"/>
        <w:rPr>
          <w:rFonts w:hint="eastAsia" w:ascii="宋体" w:hAnsi="宋体" w:cs="宋体"/>
          <w:szCs w:val="21"/>
          <w:highlight w:val="none"/>
        </w:rPr>
      </w:pPr>
      <w:r>
        <w:rPr>
          <w:rFonts w:ascii="宋体" w:hAnsi="宋体" w:cs="宋体"/>
          <w:szCs w:val="21"/>
          <w:highlight w:val="none"/>
        </w:rPr>
        <w:t>7.1.5</w:t>
      </w:r>
      <w:r>
        <w:rPr>
          <w:rFonts w:ascii="宋体" w:hAnsi="宋体" w:cs="宋体"/>
          <w:szCs w:val="21"/>
          <w:highlight w:val="none"/>
        </w:rPr>
        <w:tab/>
      </w:r>
      <w:r>
        <w:rPr>
          <w:rFonts w:hint="eastAsia" w:ascii="宋体" w:hAnsi="宋体" w:cs="宋体"/>
          <w:szCs w:val="21"/>
          <w:highlight w:val="none"/>
        </w:rPr>
        <w:t>甲方应按航空公司规定及时核对已预订未出票的订单并确认出票，以防止座位被取消。核对内容包含但不限于旅客信息、国际差旅政策合规性审查，以及其他甲方需要审核的项目。</w:t>
      </w:r>
    </w:p>
    <w:p w14:paraId="3C59740E">
      <w:pPr>
        <w:spacing w:line="360" w:lineRule="auto"/>
        <w:rPr>
          <w:rFonts w:hint="eastAsia" w:ascii="宋体" w:hAnsi="宋体" w:cs="宋体"/>
          <w:szCs w:val="21"/>
          <w:highlight w:val="none"/>
        </w:rPr>
      </w:pPr>
      <w:r>
        <w:rPr>
          <w:rFonts w:ascii="Times New Roman" w:hAnsi="Times New Roman" w:cs="Times New Roman"/>
          <w:szCs w:val="21"/>
          <w:highlight w:val="none"/>
        </w:rPr>
        <w:t>7.1.5 Le Client doit, conformément aux règles de la compagnie aérienne, vérifier en temps utile les réservations non encore émises et confirmer l’émission afin d’éviter l’annulation des sièges. La vérification comprend notamment les informations du voyageur, le contrôle de conformité à la politique de déplacement international et tout autre élément que le Client juge nécessaire.</w:t>
      </w:r>
    </w:p>
    <w:p w14:paraId="5EA316A6">
      <w:pPr>
        <w:spacing w:line="360" w:lineRule="auto"/>
        <w:rPr>
          <w:rFonts w:hint="eastAsia" w:ascii="宋体" w:hAnsi="宋体" w:cs="宋体"/>
          <w:szCs w:val="21"/>
          <w:highlight w:val="none"/>
        </w:rPr>
      </w:pPr>
      <w:r>
        <w:rPr>
          <w:rFonts w:ascii="宋体" w:hAnsi="宋体" w:cs="宋体"/>
          <w:szCs w:val="21"/>
          <w:highlight w:val="none"/>
        </w:rPr>
        <w:t>7.1.6</w:t>
      </w:r>
      <w:r>
        <w:rPr>
          <w:rFonts w:ascii="宋体" w:hAnsi="宋体" w:cs="宋体"/>
          <w:szCs w:val="21"/>
          <w:highlight w:val="none"/>
        </w:rPr>
        <w:tab/>
      </w:r>
      <w:r>
        <w:rPr>
          <w:rFonts w:hint="eastAsia" w:ascii="宋体" w:hAnsi="宋体" w:cs="宋体"/>
          <w:szCs w:val="21"/>
          <w:highlight w:val="none"/>
        </w:rPr>
        <w:t>如甲方超过最后预订期限而未确认，需重新预订，价格以最新查询价格为准。</w:t>
      </w:r>
    </w:p>
    <w:p w14:paraId="6841D856">
      <w:pPr>
        <w:spacing w:line="360" w:lineRule="auto"/>
        <w:rPr>
          <w:rFonts w:hint="eastAsia" w:ascii="宋体" w:hAnsi="宋体" w:cs="宋体"/>
          <w:szCs w:val="21"/>
          <w:highlight w:val="none"/>
        </w:rPr>
      </w:pPr>
      <w:r>
        <w:rPr>
          <w:rFonts w:ascii="Times New Roman" w:hAnsi="Times New Roman" w:cs="Times New Roman"/>
          <w:szCs w:val="21"/>
          <w:highlight w:val="none"/>
        </w:rPr>
        <w:t>7.1.6 Si le Client ne confirme pas avant la dernière échéance de réservation, une nouvelle réservation est nécessaire et le prix applicable est le dernier prix disponible lors de la nouvelle recherche.</w:t>
      </w:r>
    </w:p>
    <w:p w14:paraId="724AD6E5">
      <w:pPr>
        <w:spacing w:line="360" w:lineRule="auto"/>
        <w:rPr>
          <w:rFonts w:hint="eastAsia" w:ascii="宋体" w:hAnsi="宋体" w:cs="宋体"/>
          <w:szCs w:val="21"/>
          <w:highlight w:val="none"/>
        </w:rPr>
      </w:pPr>
      <w:r>
        <w:rPr>
          <w:rFonts w:hint="eastAsia" w:ascii="宋体" w:hAnsi="宋体" w:cs="宋体"/>
          <w:szCs w:val="21"/>
          <w:highlight w:val="none"/>
        </w:rPr>
        <w:t>7.1.7 甲方应遵守几内亚共和国现行有效的法律法规、民航主管部门及其他有权监管机构关于公共航空运输、旅客服务及消费者权益保护等方面的相关规定，并遵守适用的国际航空运输规则及航空公司的运输条件，不得实施违反上述规定的行为。</w:t>
      </w:r>
    </w:p>
    <w:p w14:paraId="7E8F31E2">
      <w:pPr>
        <w:spacing w:line="360" w:lineRule="auto"/>
        <w:rPr>
          <w:rFonts w:hint="eastAsia" w:ascii="宋体" w:hAnsi="宋体" w:cs="宋体"/>
          <w:szCs w:val="21"/>
          <w:highlight w:val="none"/>
        </w:rPr>
      </w:pPr>
      <w:r>
        <w:rPr>
          <w:rFonts w:hint="eastAsia" w:ascii="Times New Roman" w:hAnsi="Times New Roman" w:cs="Times New Roman"/>
          <w:szCs w:val="21"/>
          <w:highlight w:val="none"/>
        </w:rPr>
        <w:t>7.1.7 Le Client doit respecter les lois et règlements en vigueur en République de Guinée ainsi que les dispositions des autorités de l’aviation civile et des autres autorités de contrôle compétentes relatives notamment au transport aérien public, aux services aux passagers et à la protection des consommateurs, et respecter les règles internationales applicables au transport aérien et les conditions de transport des compagnies aériennes. Il ne doit commettre aucun acte contraire à ces dispositions.</w:t>
      </w:r>
    </w:p>
    <w:p w14:paraId="3F4D127E">
      <w:pPr>
        <w:spacing w:line="360" w:lineRule="auto"/>
        <w:rPr>
          <w:rFonts w:hint="eastAsia" w:ascii="宋体" w:hAnsi="宋体" w:cs="宋体"/>
          <w:szCs w:val="21"/>
          <w:highlight w:val="none"/>
        </w:rPr>
      </w:pPr>
      <w:r>
        <w:rPr>
          <w:rFonts w:hint="eastAsia" w:ascii="宋体" w:hAnsi="宋体" w:cs="宋体"/>
          <w:szCs w:val="21"/>
          <w:highlight w:val="none"/>
        </w:rPr>
        <w:t>7.1.8 针对乙方违反本协议第7.2.10、7.2.11款及其他相关约定的行为，甲方有权向几内亚共和国民航主管部门、消费者权益保护主管部门或其他有权监管机构进行举报、投诉，并依法维护自身合法权益。</w:t>
      </w:r>
    </w:p>
    <w:p w14:paraId="6CC956ED">
      <w:pPr>
        <w:spacing w:line="360" w:lineRule="auto"/>
        <w:rPr>
          <w:rFonts w:hint="eastAsia" w:ascii="宋体" w:hAnsi="宋体" w:cs="宋体"/>
          <w:szCs w:val="21"/>
          <w:highlight w:val="none"/>
        </w:rPr>
      </w:pPr>
      <w:r>
        <w:rPr>
          <w:rFonts w:hint="eastAsia" w:ascii="Times New Roman" w:hAnsi="Times New Roman" w:cs="Times New Roman"/>
          <w:szCs w:val="21"/>
          <w:highlight w:val="none"/>
        </w:rPr>
        <w:t>7.1.8 En cas de violation par le Prestataire des articles 7.2.10 et 7.2.11 de la présente convention ou de toute autre stipulation pertinente, le Client peut saisir, par signalement ou plainte, l’autorité guinéenne de l’aviation civile, l’autorité compétente en matière de protection des consommateurs ou toute autre autorité de contrôle compétente, et faire valoir ses droits et intérêts légitimes conformément à la loi.</w:t>
      </w:r>
    </w:p>
    <w:p w14:paraId="0C979E4C">
      <w:pPr>
        <w:pStyle w:val="4"/>
        <w:spacing w:line="360" w:lineRule="auto"/>
        <w:ind w:firstLine="0" w:firstLineChars="0"/>
        <w:jc w:val="left"/>
        <w:rPr>
          <w:rFonts w:hint="eastAsia" w:ascii="宋体" w:hAnsi="宋体" w:eastAsia="宋体" w:cs="宋体"/>
          <w:b/>
          <w:bCs/>
          <w:sz w:val="21"/>
          <w:szCs w:val="21"/>
          <w:highlight w:val="none"/>
        </w:rPr>
      </w:pPr>
      <w:r>
        <w:rPr>
          <w:rFonts w:ascii="宋体" w:hAnsi="宋体" w:eastAsia="宋体" w:cs="宋体"/>
          <w:b/>
          <w:bCs/>
          <w:sz w:val="21"/>
          <w:szCs w:val="21"/>
          <w:highlight w:val="none"/>
        </w:rPr>
        <w:t>7.2</w:t>
      </w:r>
      <w:r>
        <w:rPr>
          <w:rFonts w:ascii="宋体" w:hAnsi="宋体" w:eastAsia="宋体" w:cs="宋体"/>
          <w:b/>
          <w:bCs/>
          <w:sz w:val="21"/>
          <w:szCs w:val="21"/>
          <w:highlight w:val="none"/>
        </w:rPr>
        <w:tab/>
      </w:r>
      <w:r>
        <w:rPr>
          <w:rFonts w:hint="eastAsia" w:ascii="宋体" w:hAnsi="宋体" w:eastAsia="宋体" w:cs="宋体"/>
          <w:b/>
          <w:bCs/>
          <w:sz w:val="21"/>
          <w:szCs w:val="21"/>
          <w:highlight w:val="none"/>
        </w:rPr>
        <w:t>乙方权利与义务</w:t>
      </w:r>
    </w:p>
    <w:p w14:paraId="5B390B90">
      <w:pPr>
        <w:spacing w:line="360" w:lineRule="auto"/>
        <w:ind w:firstLine="0" w:firstLineChars="0"/>
        <w:jc w:val="left"/>
        <w:rPr>
          <w:rFonts w:hint="eastAsia" w:ascii="宋体" w:hAnsi="宋体" w:eastAsia="宋体" w:cs="宋体"/>
          <w:b/>
          <w:bCs/>
          <w:sz w:val="21"/>
          <w:szCs w:val="21"/>
          <w:highlight w:val="none"/>
        </w:rPr>
      </w:pPr>
      <w:r>
        <w:rPr>
          <w:rFonts w:ascii="Times New Roman" w:hAnsi="Times New Roman" w:eastAsia="宋体" w:cs="Times New Roman"/>
          <w:b/>
          <w:bCs/>
          <w:sz w:val="21"/>
          <w:szCs w:val="21"/>
          <w:highlight w:val="none"/>
        </w:rPr>
        <w:t>7.2 Droits et obligations du Prestataire</w:t>
      </w:r>
    </w:p>
    <w:p w14:paraId="13899FAB">
      <w:pPr>
        <w:spacing w:line="360" w:lineRule="auto"/>
        <w:rPr>
          <w:rFonts w:hint="eastAsia" w:ascii="宋体" w:hAnsi="宋体" w:cs="宋体"/>
          <w:szCs w:val="21"/>
          <w:highlight w:val="none"/>
        </w:rPr>
      </w:pPr>
      <w:r>
        <w:rPr>
          <w:rFonts w:ascii="宋体" w:hAnsi="宋体" w:cs="宋体"/>
          <w:szCs w:val="21"/>
          <w:highlight w:val="none"/>
        </w:rPr>
        <w:t>7.2.1</w:t>
      </w:r>
      <w:r>
        <w:rPr>
          <w:rFonts w:ascii="宋体" w:hAnsi="宋体" w:cs="宋体"/>
          <w:szCs w:val="21"/>
          <w:highlight w:val="none"/>
        </w:rPr>
        <w:tab/>
      </w:r>
      <w:r>
        <w:rPr>
          <w:rFonts w:hint="eastAsia" w:ascii="宋体" w:hAnsi="宋体" w:cs="宋体"/>
          <w:szCs w:val="21"/>
          <w:highlight w:val="none"/>
        </w:rPr>
        <w:t>乙方有权要求甲方按本协议要求进行支付与结算。</w:t>
      </w:r>
    </w:p>
    <w:p w14:paraId="1583EED6">
      <w:pPr>
        <w:spacing w:line="360" w:lineRule="auto"/>
        <w:rPr>
          <w:rFonts w:hint="eastAsia" w:ascii="宋体" w:hAnsi="宋体" w:cs="宋体"/>
          <w:szCs w:val="21"/>
          <w:highlight w:val="none"/>
        </w:rPr>
      </w:pPr>
      <w:r>
        <w:rPr>
          <w:rFonts w:ascii="Times New Roman" w:hAnsi="Times New Roman" w:cs="Times New Roman"/>
          <w:szCs w:val="21"/>
          <w:highlight w:val="none"/>
        </w:rPr>
        <w:t>7.2.1 Le Prestataire a le droit d’exiger du Client le paiement et le règlement conformément à la présente convention.</w:t>
      </w:r>
    </w:p>
    <w:p w14:paraId="63775E53">
      <w:pPr>
        <w:spacing w:line="360" w:lineRule="auto"/>
        <w:rPr>
          <w:rFonts w:hint="eastAsia" w:ascii="宋体" w:hAnsi="宋体" w:cs="宋体"/>
          <w:szCs w:val="21"/>
          <w:highlight w:val="none"/>
        </w:rPr>
      </w:pPr>
      <w:r>
        <w:rPr>
          <w:rFonts w:ascii="宋体" w:hAnsi="宋体" w:cs="宋体"/>
          <w:szCs w:val="21"/>
          <w:highlight w:val="none"/>
        </w:rPr>
        <w:t>7.2.2</w:t>
      </w:r>
      <w:r>
        <w:rPr>
          <w:rFonts w:ascii="宋体" w:hAnsi="宋体" w:cs="宋体"/>
          <w:szCs w:val="21"/>
          <w:highlight w:val="none"/>
        </w:rPr>
        <w:tab/>
      </w:r>
      <w:r>
        <w:rPr>
          <w:rFonts w:hint="eastAsia" w:ascii="宋体" w:hAnsi="宋体" w:cs="宋体"/>
          <w:szCs w:val="21"/>
          <w:highlight w:val="none"/>
        </w:rPr>
        <w:t>乙方有义务根据甲方要求对服务人员、服务流程进行调整。</w:t>
      </w:r>
    </w:p>
    <w:p w14:paraId="23DAEC27">
      <w:pPr>
        <w:spacing w:line="360" w:lineRule="auto"/>
        <w:rPr>
          <w:rFonts w:hint="eastAsia" w:ascii="宋体" w:hAnsi="宋体" w:cs="宋体"/>
          <w:szCs w:val="21"/>
          <w:highlight w:val="none"/>
        </w:rPr>
      </w:pPr>
      <w:r>
        <w:rPr>
          <w:rFonts w:ascii="Times New Roman" w:hAnsi="Times New Roman" w:cs="Times New Roman"/>
          <w:szCs w:val="21"/>
          <w:highlight w:val="none"/>
        </w:rPr>
        <w:t>7.2.2 Le Prestataire est tenu d’ajuster le personnel et les processus de service conformément aux exigences du Client.</w:t>
      </w:r>
    </w:p>
    <w:p w14:paraId="2C11AC92">
      <w:pPr>
        <w:spacing w:line="360" w:lineRule="auto"/>
        <w:rPr>
          <w:rFonts w:hint="eastAsia" w:ascii="宋体" w:hAnsi="宋体" w:cs="宋体"/>
          <w:szCs w:val="21"/>
          <w:highlight w:val="none"/>
        </w:rPr>
      </w:pPr>
      <w:r>
        <w:rPr>
          <w:rFonts w:ascii="宋体" w:hAnsi="宋体" w:cs="宋体"/>
          <w:szCs w:val="21"/>
          <w:highlight w:val="none"/>
        </w:rPr>
        <w:t>7.2.3</w:t>
      </w:r>
      <w:r>
        <w:rPr>
          <w:rFonts w:ascii="宋体" w:hAnsi="宋体" w:cs="宋体"/>
          <w:szCs w:val="21"/>
          <w:highlight w:val="none"/>
        </w:rPr>
        <w:tab/>
      </w:r>
      <w:r>
        <w:rPr>
          <w:rFonts w:hint="eastAsia" w:ascii="宋体" w:hAnsi="宋体" w:cs="宋体"/>
          <w:szCs w:val="21"/>
          <w:highlight w:val="none"/>
        </w:rPr>
        <w:t>乙方为甲方提供航空公司其他服务的信息咨询和预订服务，尽管乙方并不直接拥有或经营航空公司或者其他与运输、旅行有关的服务产品，但是对于甲方在使用中可能发生的损失，乙方承诺将尽力协助甲方与相关服务供应商进行协调。</w:t>
      </w:r>
    </w:p>
    <w:p w14:paraId="7EF204B9">
      <w:pPr>
        <w:spacing w:line="360" w:lineRule="auto"/>
        <w:rPr>
          <w:rFonts w:hint="eastAsia" w:ascii="宋体" w:hAnsi="宋体" w:cs="宋体"/>
          <w:szCs w:val="21"/>
          <w:highlight w:val="none"/>
        </w:rPr>
      </w:pPr>
      <w:r>
        <w:rPr>
          <w:rFonts w:ascii="Times New Roman" w:hAnsi="Times New Roman" w:cs="Times New Roman"/>
          <w:szCs w:val="21"/>
          <w:highlight w:val="none"/>
        </w:rPr>
        <w:t>7.2.3 Le Prestataire fournit au Client des services d’information, de conseil et de réservation relatifs aux autres prestations des compagnies aériennes. Bien qu’il ne possède ni n’exploite directement les compagnies aériennes ni les autres produits de transport ou de voyage, il s’engage, en cas de perte susceptible de survenir lors de leur utilisation par le Client, à faire ses meilleurs efforts pour coordonner la résolution du problème avec les prestataires concernés.</w:t>
      </w:r>
    </w:p>
    <w:p w14:paraId="7310DC43">
      <w:pPr>
        <w:spacing w:line="360" w:lineRule="auto"/>
        <w:rPr>
          <w:rFonts w:hint="eastAsia" w:ascii="宋体" w:hAnsi="宋体" w:cs="宋体"/>
          <w:szCs w:val="21"/>
          <w:highlight w:val="none"/>
        </w:rPr>
      </w:pPr>
      <w:r>
        <w:rPr>
          <w:rFonts w:ascii="宋体" w:hAnsi="宋体" w:cs="宋体"/>
          <w:szCs w:val="21"/>
          <w:highlight w:val="none"/>
        </w:rPr>
        <w:t>7.2.4</w:t>
      </w:r>
      <w:r>
        <w:rPr>
          <w:rFonts w:ascii="宋体" w:hAnsi="宋体" w:cs="宋体"/>
          <w:szCs w:val="21"/>
          <w:highlight w:val="none"/>
        </w:rPr>
        <w:tab/>
      </w:r>
      <w:r>
        <w:rPr>
          <w:rFonts w:hint="eastAsia" w:ascii="宋体" w:hAnsi="宋体" w:cs="宋体"/>
          <w:szCs w:val="21"/>
          <w:highlight w:val="none"/>
        </w:rPr>
        <w:t>乙方保证向甲方所提供的服务准确、及时，若因乙方工作失误导致出错票或送票延误等造成经济损失的，由乙方承担责任；乙方对因航空公司原因导致的系统错误、价格变动、航班变更等产生的纠纷免责，但乙方有责任协助甲方与航空公司进行沟通、协助解决有关问题。</w:t>
      </w:r>
    </w:p>
    <w:p w14:paraId="10E4EAF6">
      <w:pPr>
        <w:spacing w:line="360" w:lineRule="auto"/>
        <w:rPr>
          <w:rFonts w:hint="eastAsia" w:ascii="宋体" w:hAnsi="宋体" w:cs="宋体"/>
          <w:szCs w:val="21"/>
          <w:highlight w:val="none"/>
        </w:rPr>
      </w:pPr>
      <w:r>
        <w:rPr>
          <w:rFonts w:ascii="Times New Roman" w:hAnsi="Times New Roman" w:cs="Times New Roman"/>
          <w:szCs w:val="21"/>
          <w:highlight w:val="none"/>
        </w:rPr>
        <w:t>7.2.4 Le Prestataire garantit l’exactitude et la ponctualité des services fournis au Client. Toute perte économique résultant d’une erreur du Prestataire, telle qu’une émission erronée ou un retard dans la remise du billet, est à sa charge. Le Prestataire n’est pas responsable des différends résultant d’erreurs de système, de variations tarifaires ou de modifications de vols imputables aux compagnies aériennes, mais il doit aider le Client à communiquer avec celles-ci et à résoudre les problèmes concernés.</w:t>
      </w:r>
    </w:p>
    <w:p w14:paraId="034DDCD6">
      <w:pPr>
        <w:spacing w:line="360" w:lineRule="auto"/>
        <w:rPr>
          <w:rFonts w:hint="eastAsia" w:ascii="宋体" w:hAnsi="宋体" w:cs="宋体"/>
          <w:szCs w:val="21"/>
          <w:highlight w:val="none"/>
        </w:rPr>
      </w:pPr>
      <w:r>
        <w:rPr>
          <w:rFonts w:ascii="宋体" w:hAnsi="宋体" w:cs="宋体"/>
          <w:szCs w:val="21"/>
          <w:highlight w:val="none"/>
        </w:rPr>
        <w:t>7.2.5</w:t>
      </w:r>
      <w:r>
        <w:rPr>
          <w:rFonts w:ascii="宋体" w:hAnsi="宋体" w:cs="宋体"/>
          <w:szCs w:val="21"/>
          <w:highlight w:val="none"/>
        </w:rPr>
        <w:tab/>
      </w:r>
      <w:r>
        <w:rPr>
          <w:rFonts w:hint="eastAsia" w:ascii="宋体" w:hAnsi="宋体" w:cs="宋体"/>
          <w:szCs w:val="21"/>
          <w:highlight w:val="none"/>
        </w:rPr>
        <w:t>乙方应当严格按照航空公司退、改签的相应规定收取费用。</w:t>
      </w:r>
    </w:p>
    <w:p w14:paraId="49963906">
      <w:pPr>
        <w:spacing w:line="360" w:lineRule="auto"/>
        <w:rPr>
          <w:rFonts w:hint="eastAsia" w:ascii="宋体" w:hAnsi="宋体" w:cs="宋体"/>
          <w:szCs w:val="21"/>
          <w:highlight w:val="none"/>
        </w:rPr>
      </w:pPr>
      <w:r>
        <w:rPr>
          <w:rFonts w:ascii="Times New Roman" w:hAnsi="Times New Roman" w:cs="Times New Roman"/>
          <w:szCs w:val="21"/>
          <w:highlight w:val="none"/>
        </w:rPr>
        <w:t>7.2.5 Le Prestataire facture strictement les frais de remboursement et de modification conformément aux règles applicables de la compagnie aérienne.</w:t>
      </w:r>
    </w:p>
    <w:p w14:paraId="2996B8BE">
      <w:pPr>
        <w:spacing w:line="360" w:lineRule="auto"/>
        <w:rPr>
          <w:rFonts w:hint="eastAsia" w:ascii="宋体" w:hAnsi="宋体" w:cs="宋体"/>
          <w:szCs w:val="21"/>
          <w:highlight w:val="none"/>
        </w:rPr>
      </w:pPr>
      <w:r>
        <w:rPr>
          <w:rFonts w:ascii="宋体" w:hAnsi="宋体" w:cs="宋体"/>
          <w:szCs w:val="21"/>
          <w:highlight w:val="none"/>
        </w:rPr>
        <w:t>7.2.6</w:t>
      </w:r>
      <w:r>
        <w:rPr>
          <w:rFonts w:ascii="宋体" w:hAnsi="宋体" w:cs="宋体"/>
          <w:szCs w:val="21"/>
          <w:highlight w:val="none"/>
        </w:rPr>
        <w:tab/>
      </w:r>
      <w:r>
        <w:rPr>
          <w:rFonts w:hint="eastAsia" w:ascii="宋体" w:hAnsi="宋体" w:cs="宋体"/>
          <w:szCs w:val="21"/>
          <w:highlight w:val="none"/>
        </w:rPr>
        <w:t>乙方应及时准确按航空公司有关政策规定为甲方办理退票、改签业务。</w:t>
      </w:r>
    </w:p>
    <w:p w14:paraId="00EB5287">
      <w:pPr>
        <w:spacing w:line="360" w:lineRule="auto"/>
        <w:rPr>
          <w:rFonts w:hint="eastAsia" w:ascii="宋体" w:hAnsi="宋体" w:cs="宋体"/>
          <w:szCs w:val="21"/>
          <w:highlight w:val="none"/>
        </w:rPr>
      </w:pPr>
      <w:r>
        <w:rPr>
          <w:rFonts w:ascii="Times New Roman" w:hAnsi="Times New Roman" w:cs="Times New Roman"/>
          <w:szCs w:val="21"/>
          <w:highlight w:val="none"/>
        </w:rPr>
        <w:t>7.2.6 Le Prestataire traite en temps utile et avec exactitude les remboursements et modifications pour le Client conformément aux politiques de la compagnie aérienne.</w:t>
      </w:r>
    </w:p>
    <w:p w14:paraId="00571C7E">
      <w:pPr>
        <w:spacing w:line="360" w:lineRule="auto"/>
        <w:rPr>
          <w:rFonts w:hint="eastAsia" w:ascii="宋体" w:hAnsi="宋体" w:cs="宋体"/>
          <w:szCs w:val="21"/>
          <w:highlight w:val="none"/>
        </w:rPr>
      </w:pPr>
      <w:r>
        <w:rPr>
          <w:rFonts w:ascii="宋体" w:hAnsi="宋体" w:cs="宋体"/>
          <w:szCs w:val="21"/>
          <w:highlight w:val="none"/>
        </w:rPr>
        <w:t>7.2.7</w:t>
      </w:r>
      <w:r>
        <w:rPr>
          <w:rFonts w:ascii="宋体" w:hAnsi="宋体" w:cs="宋体"/>
          <w:szCs w:val="21"/>
          <w:highlight w:val="none"/>
        </w:rPr>
        <w:tab/>
      </w:r>
      <w:r>
        <w:rPr>
          <w:rFonts w:hint="eastAsia" w:ascii="宋体" w:hAnsi="宋体" w:cs="宋体"/>
          <w:szCs w:val="21"/>
          <w:highlight w:val="none"/>
        </w:rPr>
        <w:t>乙方应及时与甲方结算人员配合，提供每</w:t>
      </w:r>
      <w:r>
        <w:rPr>
          <w:rFonts w:hint="eastAsia" w:ascii="宋体" w:hAnsi="宋体" w:cs="宋体"/>
          <w:szCs w:val="21"/>
          <w:highlight w:val="none"/>
          <w:lang w:val="en-US" w:eastAsia="zh-CN"/>
        </w:rPr>
        <w:t>月</w:t>
      </w:r>
      <w:r>
        <w:rPr>
          <w:rFonts w:hint="eastAsia" w:ascii="宋体" w:hAnsi="宋体" w:cs="宋体"/>
          <w:szCs w:val="21"/>
          <w:highlight w:val="none"/>
        </w:rPr>
        <w:t>账单明细，按照双方约定的结算周期，提醒甲方有关人员结算。</w:t>
      </w:r>
    </w:p>
    <w:p w14:paraId="75D7B924">
      <w:pPr>
        <w:spacing w:line="360" w:lineRule="auto"/>
        <w:rPr>
          <w:rFonts w:hint="eastAsia" w:ascii="宋体" w:hAnsi="宋体" w:cs="宋体"/>
          <w:szCs w:val="21"/>
          <w:highlight w:val="none"/>
        </w:rPr>
      </w:pPr>
      <w:r>
        <w:rPr>
          <w:rFonts w:ascii="Times New Roman" w:hAnsi="Times New Roman" w:cs="Times New Roman"/>
          <w:szCs w:val="21"/>
          <w:highlight w:val="none"/>
        </w:rPr>
        <w:t>7.2.7 Le Prestataire coopère en temps utile avec les personnes du Client chargées du règlement, fournit les relevés mensuels détaillés et rappelle aux personnes concernées du Client d’effectuer le règlement conformément au cycle convenu entre les parties.</w:t>
      </w:r>
    </w:p>
    <w:p w14:paraId="09271A2B">
      <w:pPr>
        <w:spacing w:line="360" w:lineRule="auto"/>
        <w:rPr>
          <w:rFonts w:hint="eastAsia" w:ascii="宋体" w:hAnsi="宋体" w:cs="宋体"/>
          <w:szCs w:val="21"/>
          <w:highlight w:val="none"/>
        </w:rPr>
      </w:pPr>
      <w:r>
        <w:rPr>
          <w:rFonts w:ascii="宋体" w:hAnsi="宋体" w:cs="宋体"/>
          <w:szCs w:val="21"/>
          <w:highlight w:val="none"/>
        </w:rPr>
        <w:t>7.2.8 甲方所要求的航班座位有限时，如条件允许，乙方应协助甲方向航空公司申请座位。</w:t>
      </w:r>
    </w:p>
    <w:p w14:paraId="2179294B">
      <w:pPr>
        <w:spacing w:line="360" w:lineRule="auto"/>
        <w:rPr>
          <w:rFonts w:hint="eastAsia" w:ascii="宋体" w:hAnsi="宋体" w:cs="宋体"/>
          <w:szCs w:val="21"/>
          <w:highlight w:val="none"/>
        </w:rPr>
      </w:pPr>
      <w:r>
        <w:rPr>
          <w:rFonts w:ascii="Times New Roman" w:hAnsi="Times New Roman" w:cs="Times New Roman"/>
          <w:szCs w:val="21"/>
          <w:highlight w:val="none"/>
        </w:rPr>
        <w:t>7.2.8 Lorsque les sièges demandés par le Client sont en nombre limité, le Prestataire aide, lorsque les conditions le permettent, le Client à demander des sièges à la compagnie aérienne.</w:t>
      </w:r>
    </w:p>
    <w:p w14:paraId="296729B3">
      <w:pPr>
        <w:spacing w:line="360" w:lineRule="auto"/>
        <w:rPr>
          <w:rFonts w:hint="eastAsia" w:ascii="宋体" w:hAnsi="宋体" w:cs="宋体"/>
          <w:szCs w:val="21"/>
          <w:highlight w:val="none"/>
        </w:rPr>
      </w:pPr>
      <w:r>
        <w:rPr>
          <w:rFonts w:ascii="宋体" w:hAnsi="宋体" w:cs="宋体"/>
          <w:szCs w:val="21"/>
          <w:highlight w:val="none"/>
        </w:rPr>
        <w:t>7.2.9 在甲方所预订的服务得到确认后，乙方有责任将机票价格、最晚出票时限、退改签政策通知甲方旅客或甲方指定的联络人员。</w:t>
      </w:r>
    </w:p>
    <w:p w14:paraId="66890F71">
      <w:pPr>
        <w:spacing w:line="360" w:lineRule="auto"/>
        <w:rPr>
          <w:rFonts w:hint="eastAsia" w:ascii="宋体" w:hAnsi="宋体" w:cs="宋体"/>
          <w:szCs w:val="21"/>
          <w:highlight w:val="none"/>
        </w:rPr>
      </w:pPr>
      <w:r>
        <w:rPr>
          <w:rFonts w:ascii="Times New Roman" w:hAnsi="Times New Roman" w:cs="Times New Roman"/>
          <w:szCs w:val="21"/>
          <w:highlight w:val="none"/>
        </w:rPr>
        <w:t>7.2.9 Après confirmation du service réservé par le Client, le Prestataire est tenu d’informer le voyageur du Client ou le contact désigné par celui-ci du prix du billet, de la dernière échéance d’émission et des règles de modification et de remboursement.</w:t>
      </w:r>
    </w:p>
    <w:p w14:paraId="1DDCAC1C">
      <w:pPr>
        <w:spacing w:line="360" w:lineRule="auto"/>
        <w:rPr>
          <w:rFonts w:hint="eastAsia" w:ascii="宋体" w:hAnsi="宋体" w:cs="宋体"/>
          <w:szCs w:val="21"/>
          <w:highlight w:val="none"/>
        </w:rPr>
      </w:pPr>
      <w:r>
        <w:rPr>
          <w:rFonts w:ascii="宋体" w:hAnsi="宋体" w:cs="宋体"/>
          <w:szCs w:val="21"/>
          <w:highlight w:val="none"/>
        </w:rPr>
        <w:t>7.2.10 乙方应严格遵守几内亚共和国现行有效的法律法规、民航主管部门及其他有权监管机构的相关规定，以及适用的国际航空运输规则、航空公司销售代理政策和乙方与航空公司签订的销售代理协议。乙方不得向甲方销售里程兑换票、违规拆分或转售团队票，不得通过买长乘短等方式规避正常票价规则，未经甲方同意不得退高买低或通过非约定第三方渠道出票，不得实施其他损害甲方合法权益或违反有关规定的行为。</w:t>
      </w:r>
    </w:p>
    <w:p w14:paraId="4ED7AEBD">
      <w:pPr>
        <w:spacing w:line="360" w:lineRule="auto"/>
        <w:rPr>
          <w:rFonts w:hint="eastAsia" w:ascii="宋体" w:hAnsi="宋体" w:cs="宋体"/>
          <w:szCs w:val="21"/>
          <w:highlight w:val="none"/>
        </w:rPr>
      </w:pPr>
      <w:r>
        <w:rPr>
          <w:rFonts w:ascii="Times New Roman" w:hAnsi="Times New Roman" w:cs="Times New Roman"/>
          <w:szCs w:val="21"/>
          <w:highlight w:val="none"/>
        </w:rPr>
        <w:t>7.2.10 Le Prestataire respecte strictement les lois et règlements en vigueur en République de Guinée, les dispositions des autorités de l’aviation civile et des autres autorités de contrôle compétentes, les règles internationales applicables au transport aérien, les politiques de vente des compagnies aériennes et les contrats d’agence conclus entre le Prestataire et celles-ci. Il lui est interdit de vendre au Client des billets obtenus par échange de miles, de fractionner ou revendre irrégulièrement des billets de groupe, de contourner les règles tarifaires normales au moyen de pratiques telles que l’achat d’un trajet plus long que celui effectivement utilisé, de remplacer sans accord du Client un billet plus cher par un billet moins cher ou d’émettre un billet par un canal tiers non convenu, ainsi que de commettre tout autre acte portant atteinte aux droits et intérêts légitimes du Client ou contraire aux règles applicables.</w:t>
      </w:r>
    </w:p>
    <w:p w14:paraId="0084840D">
      <w:pPr>
        <w:spacing w:line="360" w:lineRule="auto"/>
        <w:rPr>
          <w:rFonts w:hint="eastAsia" w:ascii="宋体" w:hAnsi="宋体" w:cs="宋体"/>
          <w:szCs w:val="21"/>
          <w:highlight w:val="none"/>
        </w:rPr>
      </w:pPr>
      <w:r>
        <w:rPr>
          <w:rFonts w:ascii="宋体" w:hAnsi="宋体" w:cs="宋体"/>
          <w:szCs w:val="21"/>
          <w:highlight w:val="none"/>
        </w:rPr>
        <w:t>7.2.11 乙方应遵守几内亚共和国关于公共航空运输、旅客服务、消费者权益保护及商业经营等方面的现行有效法律法规，并遵守适用的国际航空运输规则及航空公司的有关规定，依法依规开展机票代理服务。因乙方违反上述规定产生的法律责任、行政处罚或其他不利后果，由乙方自行承担；因此给甲方造成损失的，乙方应承担相应赔偿责任。</w:t>
      </w:r>
    </w:p>
    <w:p w14:paraId="19B04D94">
      <w:pPr>
        <w:spacing w:line="360" w:lineRule="auto"/>
        <w:rPr>
          <w:rFonts w:hint="eastAsia" w:ascii="宋体" w:hAnsi="宋体" w:cs="宋体"/>
          <w:szCs w:val="21"/>
          <w:highlight w:val="none"/>
        </w:rPr>
      </w:pPr>
      <w:r>
        <w:rPr>
          <w:rFonts w:ascii="Times New Roman" w:hAnsi="Times New Roman" w:cs="Times New Roman"/>
          <w:szCs w:val="21"/>
          <w:highlight w:val="none"/>
        </w:rPr>
        <w:t>7.2.11 Le Prestataire respecte les lois et règlements en vigueur en République de Guinée relatifs notamment au transport aérien public, aux services aux passagers, à la protection des consommateurs et aux activités commerciales, ainsi que les règles internationales applicables au transport aérien et les dispositions des compagnies aériennes, et exerce ses activités d’agence de billetterie conformément à la loi. Toute responsabilité juridique, sanction administrative ou autre conséquence défavorable résultant d’une violation de ces règles par le Prestataire est supportée par celui-ci ; s’il en résulte un préjudice pour le Client, le Prestataire doit l’indemniser en conséquence.</w:t>
      </w:r>
    </w:p>
    <w:p w14:paraId="6D0CED41">
      <w:r>
        <w:t>7.2.12 未经甲方事先书面同意，乙方不得将本协议约定的核心机票代理服务整体转包、转让或委托给其他旅行代理机构。因正常履约需要使用航空公司、全球分销系统（GDS）等行业基础服务机构的，不视为转包。</w:t>
      </w:r>
    </w:p>
    <w:p w14:paraId="5EAB4254">
      <w:r>
        <w:rPr>
          <w:rFonts w:ascii="Times New Roman" w:hAnsi="Times New Roman" w:cs="Times New Roman"/>
        </w:rPr>
        <w:t>7.2.12 Sans l’accord écrit préalable du Client, le Prestataire ne peut sous-traiter, céder ou confier dans son ensemble à une autre agence de voyages les services essentiels d’agence de billetterie prévus par la présente convention. Le recours, pour l’exécution normale du contrat, aux compagnies aériennes, systèmes mondiaux de distribution (GDS) et autres infrastructures usuelles du secteur n’est pas considéré comme une sous-traitance.</w:t>
      </w:r>
    </w:p>
    <w:p w14:paraId="7CED5D61">
      <w:r>
        <w:t>7.2.13 乙方及其工作人员应遵守甲方廉洁从业和商业道德要求，不得以回扣、礼品、宴请或其他不正当利益影响甲方人员履职。发现可能涉及欺诈、腐败或其他严重违规行为的，乙方应及时向甲方报告并配合调查。</w:t>
      </w:r>
    </w:p>
    <w:p w14:paraId="5D01AD27">
      <w:r>
        <w:rPr>
          <w:rFonts w:ascii="Times New Roman" w:hAnsi="Times New Roman" w:cs="Times New Roman"/>
        </w:rPr>
        <w:t>7.2.13 Le Prestataire et son personnel doivent respecter les exigences du Client en matière d’intégrité professionnelle et d’éthique commerciale. Ils ne peuvent, par des commissions occultes, cadeaux, invitations ou autres avantages indus, influencer l’exercice des fonctions du personnel du Client. Toute situation susceptible d’impliquer une fraude, un acte de corruption ou une autre violation grave doit être signalée sans délai au Client, et le Prestataire coopère à toute enquête correspondante.</w:t>
      </w:r>
    </w:p>
    <w:p w14:paraId="68A14885">
      <w:r>
        <w:t>7.3 合同解除</w:t>
      </w:r>
    </w:p>
    <w:p w14:paraId="7D3196EF">
      <w:r>
        <w:rPr>
          <w:rFonts w:ascii="Times New Roman" w:hAnsi="Times New Roman" w:cs="Times New Roman"/>
        </w:rPr>
        <w:t>7.3 Résiliation du contrat</w:t>
      </w:r>
    </w:p>
    <w:p w14:paraId="786B1D4A">
      <w:r>
        <w:t>除本协议另有约定外，一方严重违反本协议，经守约方书面催告后在合理期限内仍未改正的，守约方有权解除本协议。乙方发生本协议第3.3条所述累计超过5次异常，或发生重大违法违规出票、严重泄露甲方保密信息、商业贿赂等情形的，甲方有权书面通知乙方立即解除本协议。合同解除不影响双方对解除前已发生款项的结算，也不影响守约方追究违约责任和损失赔偿。</w:t>
      </w:r>
    </w:p>
    <w:p w14:paraId="195C0A1A">
      <w:r>
        <w:rPr>
          <w:rFonts w:ascii="Times New Roman" w:hAnsi="Times New Roman" w:cs="Times New Roman"/>
        </w:rPr>
        <w:t>Sauf stipulation contraire de la présente convention, lorsqu’une partie commet une violation grave et ne la corrige pas dans un délai raisonnable après mise en demeure écrite de l’autre partie, la partie non défaillante peut résilier la convention. Lorsque le nombre cumulé d’anomalies visées à l’article 3.3 dépasse cinq, ou en cas notamment d’émission de billets gravement illégale ou irrégulière, de divulgation grave d’informations confidentielles du Client ou de corruption commerciale, le Client peut résilier immédiatement la présente convention par notification écrite. La résiliation n’affecte ni le règlement des sommes nées avant celle-ci ni le droit de la partie non défaillante d’engager la responsabilité contractuelle et de demander réparation du préjudice.</w:t>
      </w:r>
    </w:p>
    <w:p w14:paraId="48726CED">
      <w:pPr>
        <w:pStyle w:val="2"/>
        <w:tabs>
          <w:tab w:val="left" w:pos="720"/>
        </w:tabs>
        <w:spacing w:line="360" w:lineRule="auto"/>
        <w:rPr>
          <w:rFonts w:hint="eastAsia" w:ascii="宋体" w:hAnsi="宋体" w:cs="宋体"/>
          <w:sz w:val="21"/>
          <w:szCs w:val="21"/>
          <w:highlight w:val="none"/>
        </w:rPr>
      </w:pPr>
      <w:bookmarkStart w:id="48" w:name="_Toc9328"/>
      <w:r>
        <w:rPr>
          <w:rFonts w:hint="eastAsia" w:ascii="宋体" w:hAnsi="宋体" w:cs="宋体"/>
          <w:sz w:val="21"/>
          <w:szCs w:val="21"/>
          <w:highlight w:val="none"/>
        </w:rPr>
        <w:t>八、争议处理</w:t>
      </w:r>
      <w:bookmarkEnd w:id="48"/>
    </w:p>
    <w:p w14:paraId="27CA0DE3">
      <w:pPr>
        <w:tabs>
          <w:tab w:val="left" w:pos="720"/>
        </w:tabs>
        <w:spacing w:line="360" w:lineRule="auto"/>
        <w:rPr>
          <w:rFonts w:hint="eastAsia" w:ascii="宋体" w:hAnsi="宋体" w:cs="宋体"/>
          <w:sz w:val="21"/>
          <w:szCs w:val="21"/>
          <w:highlight w:val="none"/>
        </w:rPr>
      </w:pPr>
      <w:r>
        <w:rPr>
          <w:rFonts w:hint="eastAsia" w:ascii="Times New Roman" w:hAnsi="Times New Roman" w:cs="Times New Roman"/>
          <w:sz w:val="21"/>
          <w:szCs w:val="21"/>
          <w:highlight w:val="none"/>
        </w:rPr>
        <w:t>VIII. Règlement des différends</w:t>
      </w:r>
    </w:p>
    <w:p w14:paraId="05E1C7B4">
      <w:pPr>
        <w:spacing w:before="0" w:after="0"/>
        <w:jc w:val="both"/>
      </w:pPr>
      <w:r>
        <w:rPr>
          <w:rFonts w:ascii="宋体" w:hAnsi="宋体" w:eastAsia="宋体"/>
          <w:b w:val="0"/>
          <w:sz w:val="21"/>
        </w:rPr>
        <w:t>本协议的订立、效力、履行、解释及争议解决适用几内亚共和国现行有效的法律法规；涉及国际航空运输的，同时遵守适用的国际公约、国际航空运输规则及航空公司的有关规定。</w:t>
      </w:r>
    </w:p>
    <w:p w14:paraId="14E5662F">
      <w:pPr>
        <w:spacing w:before="0" w:after="0"/>
        <w:jc w:val="both"/>
      </w:pPr>
      <w:r>
        <w:rPr>
          <w:rFonts w:ascii="Times New Roman" w:hAnsi="Times New Roman" w:eastAsia="宋体" w:cs="Times New Roman"/>
          <w:b w:val="0"/>
          <w:sz w:val="21"/>
        </w:rPr>
        <w:t>La conclusion, la validité, l’exécution, l’interprétation et le règlement des différends relatifs à la présente convention sont régis par les lois et règlements en vigueur en République de Guinée ; pour les transports aériens internationaux, les conventions internationales applicables, les règles internationales du transport aérien et les dispositions pertinentes des compagnies aériennes sont également observées.</w:t>
      </w:r>
    </w:p>
    <w:p w14:paraId="28F70815">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本协议履行过程中发生争议的，双方应首先通过友好协商解决；协商不成的，任何一方均可依法向几内亚共和国有管辖权的法院提起诉讼。在争议解决期间，除争议事项外，双方应继续履行本协议中不受争议影响的其他条款。</w:t>
      </w:r>
    </w:p>
    <w:p w14:paraId="6560151B">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Tout différend survenant pendant l’exécution de la présente convention est d’abord réglé par voie de négociation amiable entre les parties. À défaut d’accord, chacune des parties peut saisir, conformément à la loi, la juridiction compétente de la République de Guinée. Pendant le règlement du différend, les parties continuent d’exécuter les autres clauses de la convention qui ne sont pas affectées par le différend.</w:t>
      </w:r>
    </w:p>
    <w:p w14:paraId="47E024CA">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双方对本协议未明确约定的事项，应本着诚实信用原则，依据本协议目的、几内亚共和国相关法律法规及适用的行业惯例协商处理。</w:t>
      </w:r>
      <w:r>
        <w:rPr>
          <w:rFonts w:ascii="宋体" w:hAnsi="宋体" w:cs="宋体"/>
          <w:szCs w:val="21"/>
          <w:highlight w:val="none"/>
        </w:rPr>
        <w:t xml:space="preserve"> </w:t>
      </w:r>
    </w:p>
    <w:p w14:paraId="133BF387">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Pour toute question non expressément prévue dans la présente convention, les parties se concertent de bonne foi en tenant compte de l’objet de la convention, des lois et règlements applicables de la République de Guinée et des usages professionnels pertinents.</w:t>
      </w:r>
    </w:p>
    <w:p w14:paraId="34E5C2BB">
      <w:pPr>
        <w:pStyle w:val="2"/>
        <w:tabs>
          <w:tab w:val="left" w:pos="720"/>
        </w:tabs>
        <w:spacing w:line="360" w:lineRule="auto"/>
        <w:rPr>
          <w:rFonts w:hint="eastAsia" w:ascii="宋体" w:hAnsi="宋体" w:cs="宋体"/>
          <w:sz w:val="21"/>
          <w:szCs w:val="21"/>
          <w:highlight w:val="none"/>
        </w:rPr>
      </w:pPr>
      <w:bookmarkStart w:id="49" w:name="_Toc17541"/>
      <w:r>
        <w:rPr>
          <w:rFonts w:hint="eastAsia" w:ascii="宋体" w:hAnsi="宋体" w:cs="宋体"/>
          <w:sz w:val="21"/>
          <w:szCs w:val="21"/>
          <w:highlight w:val="none"/>
        </w:rPr>
        <w:t>九、其他</w:t>
      </w:r>
      <w:bookmarkEnd w:id="49"/>
    </w:p>
    <w:p w14:paraId="7864D43E">
      <w:pPr>
        <w:tabs>
          <w:tab w:val="left" w:pos="720"/>
        </w:tabs>
        <w:spacing w:line="360" w:lineRule="auto"/>
        <w:rPr>
          <w:rFonts w:hint="eastAsia" w:ascii="宋体" w:hAnsi="宋体" w:cs="宋体"/>
          <w:sz w:val="21"/>
          <w:szCs w:val="21"/>
          <w:highlight w:val="none"/>
        </w:rPr>
      </w:pPr>
      <w:r>
        <w:rPr>
          <w:rFonts w:hint="eastAsia" w:ascii="Times New Roman" w:hAnsi="Times New Roman" w:cs="Times New Roman"/>
          <w:sz w:val="21"/>
          <w:szCs w:val="21"/>
          <w:highlight w:val="none"/>
        </w:rPr>
        <w:t>IX. Autres dispositions</w:t>
      </w:r>
    </w:p>
    <w:p w14:paraId="1B7433DB">
      <w:pPr>
        <w:spacing w:line="360" w:lineRule="auto"/>
        <w:ind w:left="142"/>
        <w:rPr>
          <w:rFonts w:hint="eastAsia" w:ascii="宋体" w:hAnsi="宋体" w:cs="宋体"/>
          <w:bCs/>
          <w:szCs w:val="21"/>
          <w:highlight w:val="none"/>
        </w:rPr>
      </w:pPr>
      <w:r>
        <w:rPr>
          <w:rFonts w:ascii="宋体" w:hAnsi="宋体" w:cs="宋体"/>
          <w:bCs/>
          <w:szCs w:val="21"/>
          <w:highlight w:val="none"/>
        </w:rPr>
        <w:t>9.1本协议自双方法定代表人或授权代表签字/签章并加盖公章/合同专用章之日起生效。首个合同期为1（壹）年；首期届满前，甲方对乙方服务质量进行评价，评价合格的可续签1（壹）次，续签期为1（壹）年。本项目总服务期限原则上不超过24个月；乙方服务质量评价不达标的，协议到期后不再续签。</w:t>
      </w:r>
    </w:p>
    <w:p w14:paraId="4C3EED13">
      <w:pPr>
        <w:spacing w:line="360" w:lineRule="auto"/>
        <w:ind w:left="142"/>
        <w:rPr>
          <w:rFonts w:hint="eastAsia" w:ascii="宋体" w:hAnsi="宋体" w:cs="宋体"/>
          <w:bCs/>
          <w:szCs w:val="21"/>
          <w:highlight w:val="none"/>
        </w:rPr>
      </w:pPr>
      <w:r>
        <w:rPr>
          <w:rFonts w:ascii="Times New Roman" w:hAnsi="Times New Roman" w:cs="Times New Roman"/>
          <w:bCs/>
          <w:szCs w:val="21"/>
          <w:highlight w:val="none"/>
        </w:rPr>
        <w:t>9.1 La présente convention entre en vigueur à la date à laquelle elle est signée par les représentants légaux ou représentants autorisés des deux parties et revêtue du cachet officiel ou du cachet contractuel de chacune d’elles. La première période contractuelle est d’un (1) an. Avant son échéance, le Client évalue la qualité des services du Prestataire ; en cas d’évaluation satisfaisante, le contrat peut être renouvelé une (1) fois pour une période d’un (1) an. La durée totale des services du projet ne dépasse en principe pas 24 mois. Si l’évaluation de la qualité des services du Prestataire n’est pas satisfaisante, la convention ne sera pas renouvelée à son échéance.</w:t>
      </w:r>
    </w:p>
    <w:p w14:paraId="32A59E69">
      <w:pPr>
        <w:spacing w:line="360" w:lineRule="auto"/>
        <w:ind w:left="142"/>
        <w:rPr>
          <w:rFonts w:hint="eastAsia" w:ascii="宋体" w:hAnsi="宋体" w:cs="宋体"/>
          <w:bCs/>
          <w:color w:val="000000"/>
          <w:szCs w:val="21"/>
          <w:highlight w:val="none"/>
        </w:rPr>
      </w:pPr>
      <w:r>
        <w:rPr>
          <w:rFonts w:ascii="宋体" w:hAnsi="宋体" w:cs="宋体"/>
          <w:bCs/>
          <w:color w:val="000000"/>
          <w:szCs w:val="21"/>
          <w:highlight w:val="none"/>
        </w:rPr>
        <w:t>9.2</w:t>
      </w:r>
      <w:r>
        <w:rPr>
          <w:rFonts w:hint="eastAsia" w:ascii="宋体" w:hAnsi="宋体" w:cs="宋体"/>
          <w:bCs/>
          <w:color w:val="000000"/>
          <w:szCs w:val="21"/>
          <w:highlight w:val="none"/>
        </w:rPr>
        <w:t>本协议到期或</w:t>
      </w:r>
      <w:r>
        <w:rPr>
          <w:rFonts w:ascii="宋体" w:hAnsi="宋体" w:cs="宋体"/>
          <w:bCs/>
          <w:color w:val="000000"/>
          <w:szCs w:val="21"/>
          <w:highlight w:val="none"/>
        </w:rPr>
        <w:t>任何一方提出终止本协议，甲方均应向乙方付清协议终止日之前所涉及的甲方全部应付未付款项，但此约定并不减免任何一方应承担的违约责任，双方另有约定或法律法规另有规定的除外。</w:t>
      </w:r>
    </w:p>
    <w:p w14:paraId="67ED666F">
      <w:pPr>
        <w:spacing w:line="360" w:lineRule="auto"/>
        <w:ind w:left="142"/>
        <w:rPr>
          <w:rFonts w:hint="eastAsia" w:ascii="宋体" w:hAnsi="宋体" w:cs="宋体"/>
          <w:bCs/>
          <w:color w:val="000000"/>
          <w:szCs w:val="21"/>
          <w:highlight w:val="none"/>
        </w:rPr>
      </w:pPr>
      <w:r>
        <w:rPr>
          <w:rFonts w:ascii="Times New Roman" w:hAnsi="Times New Roman" w:cs="Times New Roman"/>
          <w:bCs/>
          <w:color w:val="000000"/>
          <w:szCs w:val="21"/>
          <w:highlight w:val="none"/>
        </w:rPr>
        <w:t>9.2 À l’expiration de la présente convention ou en cas de résiliation à l’initiative de l’une des parties, le Client règle au Prestataire toutes les sommes dues et impayées relatives à la période antérieure à la date de fin de la convention. Cette disposition ne réduit toutefois aucune responsabilité contractuelle incombant à l’une ou l’autre partie, sauf convention contraire entre les parties ou disposition légale ou réglementaire contraire.</w:t>
      </w:r>
    </w:p>
    <w:p w14:paraId="7DC2FB09">
      <w:pPr>
        <w:spacing w:line="360" w:lineRule="auto"/>
        <w:ind w:left="142"/>
        <w:rPr>
          <w:rFonts w:hint="eastAsia" w:ascii="宋体" w:hAnsi="宋体" w:cs="宋体"/>
          <w:bCs/>
          <w:szCs w:val="21"/>
          <w:highlight w:val="none"/>
        </w:rPr>
      </w:pPr>
      <w:r>
        <w:rPr>
          <w:rFonts w:ascii="宋体" w:hAnsi="宋体" w:cs="宋体"/>
          <w:bCs/>
          <w:szCs w:val="21"/>
          <w:highlight w:val="none"/>
        </w:rPr>
        <w:t>9.3</w:t>
      </w:r>
      <w:r>
        <w:rPr>
          <w:rFonts w:hint="eastAsia" w:ascii="宋体" w:hAnsi="宋体" w:cs="宋体"/>
          <w:szCs w:val="21"/>
          <w:highlight w:val="none"/>
        </w:rPr>
        <w:t>本协议一式陆份，甲方执肆份，乙方执贰份</w:t>
      </w:r>
      <w:r>
        <w:rPr>
          <w:rFonts w:ascii="宋体" w:hAnsi="宋体" w:cs="宋体"/>
          <w:bCs/>
          <w:szCs w:val="21"/>
          <w:highlight w:val="none"/>
        </w:rPr>
        <w:t>，具有同等法律效力。</w:t>
      </w:r>
    </w:p>
    <w:p w14:paraId="6FC2D42D">
      <w:pPr>
        <w:spacing w:line="360" w:lineRule="auto"/>
        <w:ind w:left="142"/>
        <w:rPr>
          <w:rFonts w:hint="eastAsia" w:ascii="宋体" w:hAnsi="宋体" w:cs="宋体"/>
          <w:bCs/>
          <w:szCs w:val="21"/>
          <w:highlight w:val="none"/>
        </w:rPr>
      </w:pPr>
      <w:r>
        <w:rPr>
          <w:rFonts w:ascii="Times New Roman" w:hAnsi="Times New Roman" w:cs="Times New Roman"/>
          <w:bCs/>
          <w:szCs w:val="21"/>
          <w:highlight w:val="none"/>
        </w:rPr>
        <w:t>9.3 La présente convention est établie en six exemplaires de même valeur juridique, dont quatre sont conservés par le Client et deux par le Prestataire.</w:t>
      </w:r>
    </w:p>
    <w:p w14:paraId="41B35A8D">
      <w:pPr>
        <w:spacing w:line="360" w:lineRule="auto"/>
        <w:ind w:left="142"/>
        <w:rPr>
          <w:rFonts w:hint="eastAsia" w:ascii="宋体" w:hAnsi="宋体" w:cs="宋体"/>
          <w:bCs/>
          <w:szCs w:val="21"/>
          <w:highlight w:val="none"/>
        </w:rPr>
      </w:pPr>
      <w:r>
        <w:rPr>
          <w:rFonts w:ascii="宋体" w:hAnsi="宋体" w:cs="宋体"/>
          <w:bCs/>
          <w:szCs w:val="21"/>
          <w:highlight w:val="none"/>
        </w:rPr>
        <w:t>9.4如有未尽事宜，双方应本着友好原则进行协商解决。</w:t>
      </w:r>
    </w:p>
    <w:p w14:paraId="7C12EC0C">
      <w:pPr>
        <w:spacing w:line="360" w:lineRule="auto"/>
        <w:ind w:left="142"/>
        <w:rPr>
          <w:rFonts w:hint="eastAsia" w:ascii="宋体" w:hAnsi="宋体" w:cs="宋体"/>
          <w:bCs/>
          <w:szCs w:val="21"/>
          <w:highlight w:val="none"/>
        </w:rPr>
      </w:pPr>
      <w:r>
        <w:rPr>
          <w:rFonts w:ascii="Times New Roman" w:hAnsi="Times New Roman" w:cs="Times New Roman"/>
          <w:bCs/>
          <w:szCs w:val="21"/>
          <w:highlight w:val="none"/>
        </w:rPr>
        <w:t>9.4 Pour toute question non prévue, les parties recherchent une solution par concertation amiable.</w:t>
      </w:r>
    </w:p>
    <w:p w14:paraId="16419186">
      <w:r>
        <w:t>9.5 本协议、成交通知书、</w:t>
      </w:r>
      <w:r>
        <w:rPr>
          <w:rFonts w:hint="eastAsia"/>
          <w:lang w:eastAsia="zh-CN"/>
        </w:rPr>
        <w:t>谈判</w:t>
      </w:r>
      <w:r>
        <w:t>采购文件、乙方最终响应文件以及谈判澄清和双方书面确认文件共同构成合同文件。内容不一致时，谈判过程中双方书面确认的内容优先于其所修改的原文件；其他情况下，按本协议、成交通知书、采购文件、最终响应文件的顺序解释。</w:t>
      </w:r>
    </w:p>
    <w:p w14:paraId="3E7F0793">
      <w:r>
        <w:rPr>
          <w:rFonts w:ascii="Times New Roman" w:hAnsi="Times New Roman" w:cs="Times New Roman"/>
        </w:rPr>
        <w:t>9.5 La présente convention, la notification d’attribution, le dossier de consultation pour une procédure négociée concurrentielle, le dossier de réponse final du Prestataire ainsi que les clarifications de négociation et les documents confirmés par écrit par les deux parties constituent ensemble les documents contractuels. En cas de divergence, les éléments confirmés par écrit par les parties au cours de la négociation prévalent sur les documents qu’ils modifient ; dans les autres cas, l’ordre d’interprétation est le suivant : présente convention, notification d’attribution, dossier de consultation, dossier de réponse final.</w:t>
      </w:r>
    </w:p>
    <w:p w14:paraId="5B87271B">
      <w:r>
        <w:t>9.6 如根据几内亚共和国相关规定需要办理合同登记、备案、印花等手续，乙方负责具体办理，甲方予以必要配合；相关费用按照适用法律规定或双方书面约定承担。</w:t>
      </w:r>
    </w:p>
    <w:p w14:paraId="4E94413E">
      <w:r>
        <w:rPr>
          <w:rFonts w:ascii="Times New Roman" w:hAnsi="Times New Roman" w:cs="Times New Roman"/>
        </w:rPr>
        <w:t>9.6 Si la réglementation de la République de Guinée exige l’enregistrement, le dépôt, le timbrage ou toute autre formalité du contrat, le Prestataire est chargé de leur accomplissement et le Client apporte la coopération nécessaire ; les frais correspondants sont supportés conformément au droit applicable ou aux accords écrits des parties.</w:t>
      </w:r>
    </w:p>
    <w:p w14:paraId="2FEF822B">
      <w:pPr>
        <w:spacing w:line="360" w:lineRule="auto"/>
        <w:ind w:left="142"/>
        <w:rPr>
          <w:rFonts w:hint="eastAsia" w:ascii="宋体" w:hAnsi="宋体" w:cs="宋体"/>
          <w:bCs/>
          <w:szCs w:val="21"/>
          <w:highlight w:val="none"/>
        </w:rPr>
      </w:pPr>
      <w:r>
        <w:rPr>
          <w:rFonts w:hint="eastAsia" w:ascii="宋体" w:hAnsi="宋体" w:cs="宋体"/>
          <w:bCs/>
          <w:szCs w:val="21"/>
          <w:highlight w:val="none"/>
        </w:rPr>
        <w:t>（本页以下无正文）</w:t>
      </w:r>
    </w:p>
    <w:p w14:paraId="64703510">
      <w:pPr>
        <w:spacing w:line="360" w:lineRule="auto"/>
        <w:ind w:left="142"/>
        <w:rPr>
          <w:rFonts w:hint="eastAsia" w:ascii="宋体" w:hAnsi="宋体" w:cs="宋体"/>
          <w:bCs/>
          <w:szCs w:val="21"/>
          <w:highlight w:val="none"/>
        </w:rPr>
      </w:pPr>
      <w:r>
        <w:rPr>
          <w:rFonts w:hint="eastAsia" w:ascii="Times New Roman" w:hAnsi="Times New Roman" w:cs="Times New Roman"/>
          <w:bCs/>
          <w:szCs w:val="21"/>
          <w:highlight w:val="none"/>
        </w:rPr>
        <w:t>(Aucun texte ne figure au-dessous de cette ligne sur la présente page.)</w:t>
      </w:r>
    </w:p>
    <w:p w14:paraId="37DBBAC1">
      <w:pPr>
        <w:spacing w:line="360" w:lineRule="auto"/>
        <w:rPr>
          <w:rFonts w:hint="eastAsia" w:ascii="宋体" w:hAnsi="宋体" w:cs="宋体"/>
          <w:b/>
          <w:bCs/>
          <w:szCs w:val="21"/>
          <w:highlight w:val="none"/>
        </w:rPr>
      </w:pPr>
    </w:p>
    <w:p w14:paraId="026546A6">
      <w:pPr>
        <w:spacing w:line="360" w:lineRule="auto"/>
        <w:rPr>
          <w:rFonts w:hint="eastAsia" w:ascii="宋体" w:hAnsi="宋体" w:cs="宋体"/>
          <w:b/>
          <w:bCs/>
          <w:szCs w:val="21"/>
          <w:highlight w:val="none"/>
        </w:rPr>
      </w:pPr>
      <w:r>
        <w:rPr>
          <w:rFonts w:ascii="宋体" w:hAnsi="宋体" w:cs="宋体"/>
          <w:b/>
          <w:bCs/>
          <w:szCs w:val="21"/>
          <w:highlight w:val="none"/>
        </w:rPr>
        <w:br w:type="page"/>
      </w:r>
    </w:p>
    <w:p w14:paraId="7E526299">
      <w:pPr>
        <w:spacing w:line="360" w:lineRule="auto"/>
        <w:rPr>
          <w:rFonts w:hint="eastAsia" w:ascii="宋体" w:hAnsi="宋体" w:cs="宋体"/>
          <w:b/>
          <w:bCs/>
          <w:szCs w:val="21"/>
          <w:highlight w:val="none"/>
        </w:rPr>
      </w:pPr>
    </w:p>
    <w:p w14:paraId="00F8C17F">
      <w:pPr>
        <w:spacing w:line="360" w:lineRule="auto"/>
        <w:jc w:val="center"/>
        <w:rPr>
          <w:rFonts w:hint="eastAsia" w:ascii="宋体" w:hAnsi="宋体" w:cs="宋体"/>
          <w:b/>
          <w:bCs/>
          <w:szCs w:val="21"/>
          <w:highlight w:val="none"/>
        </w:rPr>
      </w:pPr>
      <w:r>
        <w:rPr>
          <w:rFonts w:hint="eastAsia" w:ascii="宋体" w:hAnsi="宋体" w:cs="宋体"/>
          <w:bCs/>
          <w:szCs w:val="21"/>
          <w:highlight w:val="none"/>
        </w:rPr>
        <w:t>（本页无正文，为《</w:t>
      </w:r>
      <w:r>
        <w:rPr>
          <w:rFonts w:hint="eastAsia" w:ascii="宋体" w:hAnsi="宋体" w:cs="宋体"/>
          <w:szCs w:val="21"/>
          <w:highlight w:val="none"/>
        </w:rPr>
        <w:t>国际机票代理服务</w:t>
      </w:r>
      <w:r>
        <w:rPr>
          <w:rFonts w:hint="eastAsia" w:ascii="宋体" w:hAnsi="宋体" w:cs="宋体"/>
          <w:bCs/>
          <w:szCs w:val="21"/>
          <w:highlight w:val="none"/>
        </w:rPr>
        <w:t>协议》之签字盖章页）</w:t>
      </w:r>
    </w:p>
    <w:p w14:paraId="04CF99DD">
      <w:pPr>
        <w:spacing w:line="360" w:lineRule="auto"/>
        <w:jc w:val="center"/>
        <w:rPr>
          <w:rFonts w:hint="eastAsia" w:ascii="宋体" w:hAnsi="宋体" w:cs="宋体"/>
          <w:b/>
          <w:bCs/>
          <w:szCs w:val="21"/>
          <w:highlight w:val="none"/>
        </w:rPr>
      </w:pPr>
      <w:r>
        <w:rPr>
          <w:rFonts w:hint="eastAsia" w:ascii="Times New Roman" w:hAnsi="Times New Roman" w:cs="Times New Roman"/>
          <w:bCs/>
          <w:szCs w:val="21"/>
          <w:highlight w:val="none"/>
        </w:rPr>
        <w:t>(Page sans texte, réservée à la page de signature et de cachet de la « Convention de services d’agence pour billets d’avion internationaux ».)</w:t>
      </w:r>
    </w:p>
    <w:p w14:paraId="3E4B6317">
      <w:pPr>
        <w:spacing w:line="360" w:lineRule="auto"/>
        <w:rPr>
          <w:rFonts w:hint="eastAsia" w:ascii="宋体" w:hAnsi="宋体" w:cs="宋体"/>
          <w:b/>
          <w:bCs/>
          <w:szCs w:val="21"/>
          <w:highlight w:val="none"/>
        </w:rPr>
      </w:pPr>
    </w:p>
    <w:p w14:paraId="1D9487FE">
      <w:pPr>
        <w:spacing w:line="360" w:lineRule="auto"/>
        <w:rPr>
          <w:rFonts w:hint="eastAsia" w:ascii="宋体" w:hAnsi="宋体" w:cs="宋体"/>
          <w:b/>
          <w:bCs/>
          <w:szCs w:val="21"/>
          <w:highlight w:val="none"/>
        </w:rPr>
      </w:pPr>
      <w:r>
        <w:rPr>
          <w:rFonts w:hint="eastAsia" w:ascii="宋体" w:hAnsi="宋体" w:cs="宋体"/>
          <w:b/>
          <w:bCs/>
          <w:szCs w:val="21"/>
          <w:highlight w:val="none"/>
        </w:rPr>
        <w:t>甲方：国家电投国际投资开发（几内亚）有限责任公司（盖章）</w:t>
      </w:r>
    </w:p>
    <w:p w14:paraId="05AD3516">
      <w:pPr>
        <w:spacing w:line="360" w:lineRule="auto"/>
        <w:rPr>
          <w:rFonts w:hint="eastAsia" w:ascii="宋体" w:hAnsi="宋体" w:cs="宋体"/>
          <w:b/>
          <w:bCs/>
          <w:szCs w:val="21"/>
          <w:highlight w:val="none"/>
        </w:rPr>
      </w:pPr>
      <w:r>
        <w:rPr>
          <w:rFonts w:hint="eastAsia" w:ascii="Times New Roman" w:hAnsi="Times New Roman" w:cs="Times New Roman"/>
          <w:b/>
          <w:bCs/>
          <w:szCs w:val="21"/>
          <w:highlight w:val="none"/>
        </w:rPr>
        <w:t>Client : SPIC International Investment &amp; Development(Guinea) Co.,Ltd (cachet)</w:t>
      </w:r>
    </w:p>
    <w:p w14:paraId="348D349E">
      <w:pPr>
        <w:spacing w:line="360" w:lineRule="auto"/>
        <w:rPr>
          <w:rFonts w:hint="eastAsia" w:ascii="宋体" w:hAnsi="宋体" w:cs="宋体"/>
          <w:b/>
          <w:bCs/>
          <w:szCs w:val="21"/>
          <w:highlight w:val="none"/>
        </w:rPr>
      </w:pPr>
      <w:r>
        <w:rPr>
          <w:rFonts w:hint="eastAsia" w:ascii="宋体" w:hAnsi="宋体" w:cs="宋体"/>
          <w:b/>
          <w:bCs/>
          <w:szCs w:val="21"/>
          <w:highlight w:val="none"/>
        </w:rPr>
        <w:t>地址：</w:t>
      </w:r>
    </w:p>
    <w:p w14:paraId="62F47829">
      <w:pPr>
        <w:spacing w:line="360" w:lineRule="auto"/>
        <w:rPr>
          <w:rFonts w:hint="eastAsia" w:ascii="宋体" w:hAnsi="宋体" w:cs="宋体"/>
          <w:b/>
          <w:bCs/>
          <w:szCs w:val="21"/>
          <w:highlight w:val="none"/>
        </w:rPr>
      </w:pPr>
      <w:r>
        <w:rPr>
          <w:rFonts w:hint="eastAsia" w:ascii="Times New Roman" w:hAnsi="Times New Roman" w:cs="Times New Roman"/>
          <w:b/>
          <w:bCs/>
          <w:szCs w:val="21"/>
          <w:highlight w:val="none"/>
        </w:rPr>
        <w:t>Adresse :</w:t>
      </w:r>
    </w:p>
    <w:p w14:paraId="7F677FF1">
      <w:pPr>
        <w:spacing w:line="360" w:lineRule="auto"/>
        <w:rPr>
          <w:rFonts w:hint="eastAsia" w:ascii="宋体" w:hAnsi="宋体" w:cs="宋体"/>
          <w:b/>
          <w:bCs/>
          <w:szCs w:val="21"/>
          <w:highlight w:val="none"/>
        </w:rPr>
      </w:pPr>
      <w:r>
        <w:rPr>
          <w:rFonts w:hint="eastAsia" w:ascii="宋体" w:hAnsi="宋体" w:cs="宋体"/>
          <w:b/>
          <w:bCs/>
          <w:szCs w:val="21"/>
          <w:highlight w:val="none"/>
        </w:rPr>
        <w:t>法定代表人</w:t>
      </w:r>
    </w:p>
    <w:p w14:paraId="0B2BCE9A">
      <w:pPr>
        <w:spacing w:line="360" w:lineRule="auto"/>
        <w:rPr>
          <w:rFonts w:hint="eastAsia" w:ascii="宋体" w:hAnsi="宋体" w:cs="宋体"/>
          <w:b/>
          <w:bCs/>
          <w:szCs w:val="21"/>
          <w:highlight w:val="none"/>
        </w:rPr>
      </w:pPr>
      <w:r>
        <w:rPr>
          <w:rFonts w:hint="eastAsia" w:ascii="Times New Roman" w:hAnsi="Times New Roman" w:cs="Times New Roman"/>
          <w:b/>
          <w:bCs/>
          <w:szCs w:val="21"/>
          <w:highlight w:val="none"/>
        </w:rPr>
        <w:t>Représentant légal</w:t>
      </w:r>
    </w:p>
    <w:p w14:paraId="4BC62A8A">
      <w:pPr>
        <w:spacing w:line="360" w:lineRule="auto"/>
        <w:rPr>
          <w:rFonts w:hint="eastAsia" w:ascii="宋体" w:hAnsi="宋体" w:cs="宋体"/>
          <w:b/>
          <w:bCs/>
          <w:szCs w:val="21"/>
          <w:highlight w:val="none"/>
        </w:rPr>
      </w:pPr>
      <w:r>
        <w:rPr>
          <w:rFonts w:hint="eastAsia" w:ascii="宋体" w:hAnsi="宋体" w:cs="宋体"/>
          <w:b/>
          <w:bCs/>
          <w:szCs w:val="21"/>
          <w:highlight w:val="none"/>
        </w:rPr>
        <w:t>或授权代表（签字/签章）：</w:t>
      </w:r>
    </w:p>
    <w:p w14:paraId="4F0EF705">
      <w:pPr>
        <w:spacing w:line="360" w:lineRule="auto"/>
        <w:rPr>
          <w:rFonts w:hint="eastAsia" w:ascii="宋体" w:hAnsi="宋体" w:cs="宋体"/>
          <w:b/>
          <w:bCs/>
          <w:szCs w:val="21"/>
          <w:highlight w:val="none"/>
        </w:rPr>
      </w:pPr>
      <w:r>
        <w:rPr>
          <w:rFonts w:hint="eastAsia" w:ascii="Times New Roman" w:hAnsi="Times New Roman" w:cs="Times New Roman"/>
          <w:b/>
          <w:bCs/>
          <w:szCs w:val="21"/>
          <w:highlight w:val="none"/>
        </w:rPr>
        <w:t>ou représentant autorisé (signature/cachet) :</w:t>
      </w:r>
    </w:p>
    <w:p w14:paraId="26CFF2AD">
      <w:pPr>
        <w:spacing w:line="360" w:lineRule="auto"/>
        <w:rPr>
          <w:rFonts w:hint="eastAsia" w:ascii="宋体" w:hAnsi="宋体" w:cs="宋体"/>
          <w:b/>
          <w:bCs/>
          <w:szCs w:val="21"/>
          <w:highlight w:val="none"/>
        </w:rPr>
      </w:pPr>
      <w:r>
        <w:rPr>
          <w:rFonts w:hint="eastAsia" w:ascii="宋体" w:hAnsi="宋体" w:cs="宋体"/>
          <w:b/>
          <w:bCs/>
          <w:szCs w:val="21"/>
          <w:highlight w:val="none"/>
        </w:rPr>
        <w:t xml:space="preserve">日期： </w:t>
      </w:r>
      <w:r>
        <w:rPr>
          <w:rFonts w:hint="eastAsia" w:ascii="宋体" w:hAnsi="宋体" w:cs="宋体"/>
          <w:b/>
          <w:bCs/>
          <w:szCs w:val="21"/>
          <w:highlight w:val="none"/>
          <w:u w:val="single"/>
        </w:rPr>
        <w:t>202</w:t>
      </w:r>
      <w:r>
        <w:rPr>
          <w:rFonts w:hint="eastAsia" w:ascii="宋体" w:hAnsi="宋体" w:cs="宋体"/>
          <w:b/>
          <w:bCs/>
          <w:szCs w:val="21"/>
          <w:highlight w:val="none"/>
          <w:u w:val="single"/>
          <w:lang w:val="en-US" w:eastAsia="zh-CN"/>
        </w:rPr>
        <w:t>6</w:t>
      </w:r>
      <w:r>
        <w:rPr>
          <w:rFonts w:hint="eastAsia" w:ascii="宋体" w:hAnsi="宋体" w:cs="宋体"/>
          <w:b/>
          <w:bCs/>
          <w:szCs w:val="21"/>
          <w:highlight w:val="none"/>
          <w:u w:val="single"/>
        </w:rPr>
        <w:t>年   月   日</w:t>
      </w:r>
    </w:p>
    <w:p w14:paraId="4EBDD460">
      <w:pPr>
        <w:spacing w:line="360" w:lineRule="auto"/>
        <w:rPr>
          <w:rFonts w:hint="eastAsia" w:ascii="宋体" w:hAnsi="宋体" w:cs="宋体"/>
          <w:b/>
          <w:bCs/>
          <w:szCs w:val="21"/>
          <w:highlight w:val="none"/>
        </w:rPr>
      </w:pPr>
      <w:r>
        <w:rPr>
          <w:rFonts w:hint="eastAsia" w:ascii="Times New Roman" w:hAnsi="Times New Roman" w:cs="Times New Roman"/>
          <w:b/>
          <w:bCs/>
          <w:szCs w:val="21"/>
          <w:highlight w:val="none"/>
        </w:rPr>
        <w:t>Date : ____ / ____ / 2026</w:t>
      </w:r>
    </w:p>
    <w:p w14:paraId="68A3F499">
      <w:pPr>
        <w:spacing w:line="360" w:lineRule="auto"/>
        <w:rPr>
          <w:rFonts w:hint="eastAsia" w:ascii="宋体" w:hAnsi="宋体" w:cs="宋体"/>
          <w:b/>
          <w:bCs/>
          <w:szCs w:val="21"/>
          <w:highlight w:val="none"/>
        </w:rPr>
      </w:pPr>
    </w:p>
    <w:p w14:paraId="4E810D72">
      <w:pPr>
        <w:spacing w:line="360" w:lineRule="auto"/>
        <w:rPr>
          <w:rFonts w:hint="eastAsia" w:ascii="宋体" w:hAnsi="宋体" w:cs="宋体"/>
          <w:b/>
          <w:bCs/>
          <w:szCs w:val="21"/>
          <w:highlight w:val="none"/>
        </w:rPr>
      </w:pPr>
    </w:p>
    <w:p w14:paraId="1E4636F0">
      <w:pPr>
        <w:spacing w:line="360" w:lineRule="auto"/>
        <w:rPr>
          <w:rFonts w:hint="eastAsia" w:ascii="宋体" w:hAnsi="宋体" w:cs="宋体"/>
          <w:b/>
          <w:bCs/>
          <w:szCs w:val="21"/>
          <w:highlight w:val="none"/>
        </w:rPr>
      </w:pPr>
      <w:r>
        <w:rPr>
          <w:rFonts w:hint="eastAsia" w:ascii="宋体" w:hAnsi="宋体" w:cs="宋体"/>
          <w:b/>
          <w:bCs/>
          <w:szCs w:val="21"/>
          <w:highlight w:val="none"/>
        </w:rPr>
        <w:t>乙方：</w:t>
      </w:r>
    </w:p>
    <w:p w14:paraId="2E8C3109">
      <w:pPr>
        <w:spacing w:line="360" w:lineRule="auto"/>
        <w:rPr>
          <w:rFonts w:hint="eastAsia" w:ascii="宋体" w:hAnsi="宋体" w:cs="宋体"/>
          <w:b/>
          <w:bCs/>
          <w:szCs w:val="21"/>
          <w:highlight w:val="none"/>
        </w:rPr>
      </w:pPr>
      <w:r>
        <w:rPr>
          <w:rFonts w:hint="eastAsia" w:ascii="Times New Roman" w:hAnsi="Times New Roman" w:cs="Times New Roman"/>
          <w:b/>
          <w:bCs/>
          <w:szCs w:val="21"/>
          <w:highlight w:val="none"/>
        </w:rPr>
        <w:t>Prestataire :</w:t>
      </w:r>
    </w:p>
    <w:p w14:paraId="4D2E33F2">
      <w:pPr>
        <w:spacing w:line="360" w:lineRule="auto"/>
        <w:rPr>
          <w:rFonts w:hint="eastAsia" w:ascii="宋体" w:hAnsi="宋体" w:cs="宋体"/>
          <w:b/>
          <w:bCs/>
          <w:szCs w:val="21"/>
          <w:highlight w:val="none"/>
        </w:rPr>
      </w:pPr>
      <w:r>
        <w:rPr>
          <w:rFonts w:hint="eastAsia" w:ascii="宋体" w:hAnsi="宋体" w:cs="宋体"/>
          <w:b/>
          <w:bCs/>
          <w:szCs w:val="21"/>
          <w:highlight w:val="none"/>
        </w:rPr>
        <w:t>地址：</w:t>
      </w:r>
    </w:p>
    <w:p w14:paraId="4FF936EB">
      <w:pPr>
        <w:spacing w:line="360" w:lineRule="auto"/>
        <w:rPr>
          <w:rFonts w:hint="eastAsia" w:ascii="宋体" w:hAnsi="宋体" w:cs="宋体"/>
          <w:b/>
          <w:bCs/>
          <w:szCs w:val="21"/>
          <w:highlight w:val="none"/>
        </w:rPr>
      </w:pPr>
      <w:r>
        <w:rPr>
          <w:rFonts w:hint="eastAsia" w:ascii="Times New Roman" w:hAnsi="Times New Roman" w:cs="Times New Roman"/>
          <w:b/>
          <w:bCs/>
          <w:szCs w:val="21"/>
          <w:highlight w:val="none"/>
        </w:rPr>
        <w:t>Adresse :</w:t>
      </w:r>
    </w:p>
    <w:p w14:paraId="3159E59A">
      <w:pPr>
        <w:spacing w:line="360" w:lineRule="auto"/>
        <w:rPr>
          <w:rFonts w:hint="eastAsia" w:ascii="宋体" w:hAnsi="宋体" w:cs="宋体"/>
          <w:b/>
          <w:bCs/>
          <w:szCs w:val="21"/>
          <w:highlight w:val="none"/>
        </w:rPr>
      </w:pPr>
      <w:r>
        <w:rPr>
          <w:rFonts w:hint="eastAsia" w:ascii="宋体" w:hAnsi="宋体" w:cs="宋体"/>
          <w:b/>
          <w:bCs/>
          <w:szCs w:val="21"/>
          <w:highlight w:val="none"/>
        </w:rPr>
        <w:t>法定代表人</w:t>
      </w:r>
    </w:p>
    <w:p w14:paraId="32B58B01">
      <w:pPr>
        <w:spacing w:line="360" w:lineRule="auto"/>
        <w:rPr>
          <w:rFonts w:hint="eastAsia" w:ascii="宋体" w:hAnsi="宋体" w:cs="宋体"/>
          <w:b/>
          <w:bCs/>
          <w:szCs w:val="21"/>
          <w:highlight w:val="none"/>
        </w:rPr>
      </w:pPr>
      <w:r>
        <w:rPr>
          <w:rFonts w:hint="eastAsia" w:ascii="Times New Roman" w:hAnsi="Times New Roman" w:cs="Times New Roman"/>
          <w:b/>
          <w:bCs/>
          <w:szCs w:val="21"/>
          <w:highlight w:val="none"/>
        </w:rPr>
        <w:t>Représentant légal</w:t>
      </w:r>
    </w:p>
    <w:p w14:paraId="60AF6A7A">
      <w:pPr>
        <w:spacing w:line="360" w:lineRule="auto"/>
        <w:rPr>
          <w:rFonts w:hint="eastAsia" w:ascii="宋体" w:hAnsi="宋体" w:cs="宋体"/>
          <w:b/>
          <w:bCs/>
          <w:szCs w:val="21"/>
          <w:highlight w:val="none"/>
        </w:rPr>
      </w:pPr>
      <w:r>
        <w:rPr>
          <w:rFonts w:hint="eastAsia" w:ascii="宋体" w:hAnsi="宋体" w:cs="宋体"/>
          <w:b/>
          <w:bCs/>
          <w:szCs w:val="21"/>
          <w:highlight w:val="none"/>
        </w:rPr>
        <w:t>或授权代表（签字</w:t>
      </w:r>
      <w:r>
        <w:rPr>
          <w:rFonts w:ascii="宋体" w:hAnsi="宋体" w:cs="宋体"/>
          <w:b/>
          <w:bCs/>
          <w:szCs w:val="21"/>
          <w:highlight w:val="none"/>
        </w:rPr>
        <w:t>/签章</w:t>
      </w:r>
      <w:r>
        <w:rPr>
          <w:rFonts w:hint="eastAsia" w:ascii="宋体" w:hAnsi="宋体" w:cs="宋体"/>
          <w:b/>
          <w:bCs/>
          <w:szCs w:val="21"/>
          <w:highlight w:val="none"/>
        </w:rPr>
        <w:t>）</w:t>
      </w:r>
      <w:r>
        <w:rPr>
          <w:rFonts w:ascii="宋体" w:hAnsi="宋体" w:cs="宋体"/>
          <w:b/>
          <w:bCs/>
          <w:szCs w:val="21"/>
          <w:highlight w:val="none"/>
        </w:rPr>
        <w:t>：</w:t>
      </w:r>
    </w:p>
    <w:p w14:paraId="2BA1C601">
      <w:pPr>
        <w:spacing w:line="360" w:lineRule="auto"/>
        <w:rPr>
          <w:rFonts w:hint="eastAsia" w:ascii="宋体" w:hAnsi="宋体" w:cs="宋体"/>
          <w:b/>
          <w:bCs/>
          <w:szCs w:val="21"/>
          <w:highlight w:val="none"/>
        </w:rPr>
      </w:pPr>
      <w:r>
        <w:rPr>
          <w:rFonts w:hint="eastAsia" w:ascii="Times New Roman" w:hAnsi="Times New Roman" w:cs="Times New Roman"/>
          <w:b/>
          <w:bCs/>
          <w:szCs w:val="21"/>
          <w:highlight w:val="none"/>
        </w:rPr>
        <w:t>ou représentant autorisé (signature/cachet) :</w:t>
      </w:r>
    </w:p>
    <w:p w14:paraId="76BC1310">
      <w:pPr>
        <w:spacing w:line="360" w:lineRule="auto"/>
        <w:rPr>
          <w:rFonts w:hint="eastAsia" w:ascii="宋体" w:hAnsi="宋体" w:cs="宋体"/>
          <w:b/>
          <w:bCs/>
          <w:szCs w:val="21"/>
          <w:highlight w:val="none"/>
          <w:u w:val="single"/>
        </w:rPr>
      </w:pPr>
      <w:r>
        <w:rPr>
          <w:rFonts w:hint="eastAsia" w:ascii="宋体" w:hAnsi="宋体" w:cs="宋体"/>
          <w:b/>
          <w:bCs/>
          <w:szCs w:val="21"/>
          <w:highlight w:val="none"/>
        </w:rPr>
        <w:t>日期：</w:t>
      </w:r>
      <w:r>
        <w:rPr>
          <w:rFonts w:ascii="宋体" w:hAnsi="宋体" w:cs="宋体"/>
          <w:b/>
          <w:bCs/>
          <w:szCs w:val="21"/>
          <w:highlight w:val="none"/>
        </w:rPr>
        <w:t xml:space="preserve"> </w:t>
      </w:r>
      <w:r>
        <w:rPr>
          <w:rFonts w:ascii="宋体" w:hAnsi="宋体" w:cs="宋体"/>
          <w:b/>
          <w:bCs/>
          <w:szCs w:val="21"/>
          <w:highlight w:val="none"/>
          <w:u w:val="single"/>
        </w:rPr>
        <w:t>202</w:t>
      </w:r>
      <w:r>
        <w:rPr>
          <w:rFonts w:hint="eastAsia" w:ascii="宋体" w:hAnsi="宋体" w:cs="宋体"/>
          <w:b/>
          <w:bCs/>
          <w:szCs w:val="21"/>
          <w:highlight w:val="none"/>
          <w:u w:val="single"/>
          <w:lang w:val="en-US" w:eastAsia="zh-CN"/>
        </w:rPr>
        <w:t>6</w:t>
      </w:r>
      <w:r>
        <w:rPr>
          <w:rFonts w:hint="eastAsia" w:ascii="宋体" w:hAnsi="宋体" w:cs="宋体"/>
          <w:b/>
          <w:bCs/>
          <w:szCs w:val="21"/>
          <w:highlight w:val="none"/>
          <w:u w:val="single"/>
        </w:rPr>
        <w:t>年</w:t>
      </w:r>
      <w:r>
        <w:rPr>
          <w:rFonts w:ascii="宋体" w:hAnsi="宋体" w:cs="宋体"/>
          <w:b/>
          <w:bCs/>
          <w:szCs w:val="21"/>
          <w:highlight w:val="none"/>
          <w:u w:val="single"/>
        </w:rPr>
        <w:t xml:space="preserve">   </w:t>
      </w:r>
      <w:r>
        <w:rPr>
          <w:rFonts w:hint="eastAsia" w:ascii="宋体" w:hAnsi="宋体" w:cs="宋体"/>
          <w:b/>
          <w:bCs/>
          <w:szCs w:val="21"/>
          <w:highlight w:val="none"/>
          <w:u w:val="single"/>
        </w:rPr>
        <w:t>月</w:t>
      </w:r>
      <w:r>
        <w:rPr>
          <w:rFonts w:ascii="宋体" w:hAnsi="宋体" w:cs="宋体"/>
          <w:b/>
          <w:bCs/>
          <w:szCs w:val="21"/>
          <w:highlight w:val="none"/>
          <w:u w:val="single"/>
        </w:rPr>
        <w:t xml:space="preserve">   </w:t>
      </w:r>
      <w:r>
        <w:rPr>
          <w:rFonts w:hint="eastAsia" w:ascii="宋体" w:hAnsi="宋体" w:cs="宋体"/>
          <w:b/>
          <w:bCs/>
          <w:szCs w:val="21"/>
          <w:highlight w:val="none"/>
          <w:u w:val="single"/>
        </w:rPr>
        <w:t>日</w:t>
      </w:r>
    </w:p>
    <w:p w14:paraId="7D010899">
      <w:pPr>
        <w:spacing w:line="360" w:lineRule="auto"/>
        <w:rPr>
          <w:rFonts w:hint="eastAsia" w:ascii="宋体" w:hAnsi="宋体" w:cs="宋体"/>
          <w:b/>
          <w:bCs/>
          <w:szCs w:val="21"/>
          <w:highlight w:val="none"/>
          <w:u w:val="single"/>
        </w:rPr>
      </w:pPr>
      <w:r>
        <w:rPr>
          <w:rFonts w:hint="eastAsia" w:ascii="Times New Roman" w:hAnsi="Times New Roman" w:cs="Times New Roman"/>
          <w:b/>
          <w:bCs/>
          <w:szCs w:val="21"/>
          <w:highlight w:val="none"/>
        </w:rPr>
        <w:t>Date : ____ / ____ / 2026</w:t>
      </w:r>
    </w:p>
    <w:p w14:paraId="7835055F">
      <w:pPr>
        <w:pStyle w:val="2"/>
        <w:adjustRightInd w:val="0"/>
        <w:snapToGrid w:val="0"/>
        <w:spacing w:before="0" w:after="0" w:line="360" w:lineRule="auto"/>
        <w:jc w:val="center"/>
        <w:rPr>
          <w:rFonts w:ascii="宋体" w:hAnsi="宋体" w:eastAsia="宋体"/>
          <w:b/>
          <w:sz w:val="28"/>
          <w:szCs w:val="28"/>
          <w:highlight w:val="none"/>
        </w:rPr>
        <w:sectPr>
          <w:pgSz w:w="11906" w:h="16838"/>
          <w:pgMar w:top="1417" w:right="1134" w:bottom="1134" w:left="1417" w:header="851" w:footer="850" w:gutter="0"/>
          <w:pgBorders>
            <w:top w:val="none" w:sz="0" w:space="0"/>
            <w:left w:val="none" w:sz="0" w:space="0"/>
            <w:bottom w:val="none" w:sz="0" w:space="0"/>
            <w:right w:val="none" w:sz="0" w:space="0"/>
          </w:pgBorders>
          <w:pgNumType w:fmt="decimal"/>
          <w:cols w:space="720" w:num="1"/>
          <w:titlePg/>
          <w:rtlGutter w:val="0"/>
          <w:docGrid w:linePitch="312" w:charSpace="0"/>
        </w:sectPr>
      </w:pPr>
    </w:p>
    <w:p w14:paraId="30471766">
      <w:pPr>
        <w:spacing w:before="120" w:after="160"/>
        <w:jc w:val="center"/>
      </w:pPr>
      <w:r>
        <w:rPr>
          <w:rFonts w:ascii="宋体" w:hAnsi="宋体" w:eastAsia="宋体"/>
          <w:b/>
          <w:sz w:val="28"/>
        </w:rPr>
        <w:t>附件一：国际机票代理服务费率表（签约时根据成交结果填写）</w:t>
      </w:r>
    </w:p>
    <w:p w14:paraId="2C1430B3">
      <w:pPr>
        <w:spacing w:before="120" w:after="160"/>
        <w:jc w:val="center"/>
      </w:pPr>
      <w:r>
        <w:rPr>
          <w:rFonts w:ascii="Times New Roman" w:hAnsi="Times New Roman" w:eastAsia="宋体" w:cs="Times New Roman"/>
          <w:b/>
          <w:sz w:val="28"/>
        </w:rPr>
        <w:t>Annexe 1 : Barème des taux des frais de service d’agence pour billets d’avion internationaux (à compléter lors de la signature selon le résultat de l’attribution)</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8"/>
        <w:gridCol w:w="3118"/>
        <w:gridCol w:w="3118"/>
      </w:tblGrid>
      <w:tr w14:paraId="315A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Borders>
              <w:top w:val="single" w:color="000000" w:sz="4" w:space="0"/>
              <w:left w:val="single" w:color="000000" w:sz="4" w:space="0"/>
              <w:bottom w:val="single" w:color="000000" w:sz="4" w:space="0"/>
              <w:right w:val="single" w:color="000000" w:sz="4" w:space="0"/>
            </w:tcBorders>
            <w:vAlign w:val="center"/>
          </w:tcPr>
          <w:p w14:paraId="2B189B97">
            <w:pPr>
              <w:jc w:val="center"/>
            </w:pPr>
            <w:r>
              <w:rPr>
                <w:rFonts w:ascii="宋体" w:hAnsi="宋体" w:eastAsia="宋体"/>
                <w:b/>
                <w:sz w:val="18"/>
              </w:rPr>
              <w:t>年度</w:t>
            </w:r>
          </w:p>
          <w:p w14:paraId="011C6565">
            <w:pPr>
              <w:jc w:val="center"/>
            </w:pPr>
            <w:r>
              <w:rPr>
                <w:rFonts w:ascii="Times New Roman" w:hAnsi="Times New Roman" w:eastAsia="宋体" w:cs="Times New Roman"/>
                <w:b/>
                <w:sz w:val="18"/>
              </w:rPr>
              <w:t>Année/période</w:t>
            </w:r>
          </w:p>
        </w:tc>
        <w:tc>
          <w:tcPr>
            <w:tcW w:w="3118" w:type="dxa"/>
            <w:tcBorders>
              <w:top w:val="single" w:color="000000" w:sz="4" w:space="0"/>
              <w:left w:val="single" w:color="000000" w:sz="4" w:space="0"/>
              <w:bottom w:val="single" w:color="000000" w:sz="4" w:space="0"/>
              <w:right w:val="single" w:color="000000" w:sz="4" w:space="0"/>
            </w:tcBorders>
            <w:vAlign w:val="center"/>
          </w:tcPr>
          <w:p w14:paraId="396B3A67">
            <w:pPr>
              <w:jc w:val="center"/>
            </w:pPr>
            <w:r>
              <w:rPr>
                <w:rFonts w:ascii="宋体" w:hAnsi="宋体" w:eastAsia="宋体"/>
                <w:b/>
                <w:sz w:val="18"/>
              </w:rPr>
              <w:t>舱位</w:t>
            </w:r>
          </w:p>
          <w:p w14:paraId="77A6A029">
            <w:pPr>
              <w:jc w:val="center"/>
            </w:pPr>
            <w:r>
              <w:rPr>
                <w:rFonts w:ascii="Times New Roman" w:hAnsi="Times New Roman" w:eastAsia="宋体" w:cs="Times New Roman"/>
                <w:b/>
                <w:sz w:val="18"/>
              </w:rPr>
              <w:t>Classe de voyage</w:t>
            </w:r>
          </w:p>
        </w:tc>
        <w:tc>
          <w:tcPr>
            <w:tcW w:w="3118" w:type="dxa"/>
            <w:tcBorders>
              <w:top w:val="single" w:color="000000" w:sz="4" w:space="0"/>
              <w:left w:val="single" w:color="000000" w:sz="4" w:space="0"/>
              <w:bottom w:val="single" w:color="000000" w:sz="4" w:space="0"/>
              <w:right w:val="single" w:color="000000" w:sz="4" w:space="0"/>
            </w:tcBorders>
            <w:vAlign w:val="center"/>
          </w:tcPr>
          <w:p w14:paraId="416A37F0">
            <w:pPr>
              <w:jc w:val="center"/>
            </w:pPr>
            <w:r>
              <w:rPr>
                <w:rFonts w:ascii="宋体" w:hAnsi="宋体" w:eastAsia="宋体"/>
                <w:b/>
                <w:sz w:val="18"/>
              </w:rPr>
              <w:t>成交代理服务费率（含税，%）</w:t>
            </w:r>
          </w:p>
          <w:p w14:paraId="01B7C9B0">
            <w:pPr>
              <w:jc w:val="center"/>
            </w:pPr>
            <w:r>
              <w:rPr>
                <w:rFonts w:ascii="Times New Roman" w:hAnsi="Times New Roman" w:eastAsia="宋体" w:cs="Times New Roman"/>
                <w:b/>
                <w:sz w:val="18"/>
              </w:rPr>
              <w:t>Taux des frais de service d’agence retenu (taxes comprises, %)</w:t>
            </w:r>
          </w:p>
        </w:tc>
      </w:tr>
      <w:tr w14:paraId="4674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Borders>
              <w:top w:val="single" w:color="000000" w:sz="4" w:space="0"/>
              <w:left w:val="single" w:color="000000" w:sz="4" w:space="0"/>
              <w:bottom w:val="single" w:color="000000" w:sz="4" w:space="0"/>
              <w:right w:val="single" w:color="000000" w:sz="4" w:space="0"/>
            </w:tcBorders>
            <w:vAlign w:val="center"/>
          </w:tcPr>
          <w:p w14:paraId="7D194565">
            <w:pPr>
              <w:jc w:val="center"/>
            </w:pPr>
            <w:r>
              <w:rPr>
                <w:rFonts w:ascii="宋体" w:hAnsi="宋体" w:eastAsia="宋体"/>
                <w:b w:val="0"/>
                <w:sz w:val="18"/>
              </w:rPr>
              <w:t>2026年10—12月</w:t>
            </w:r>
          </w:p>
          <w:p w14:paraId="4B11E4DD">
            <w:pPr>
              <w:jc w:val="center"/>
            </w:pPr>
            <w:r>
              <w:rPr>
                <w:rFonts w:ascii="Times New Roman" w:hAnsi="Times New Roman" w:eastAsia="宋体" w:cs="Times New Roman"/>
                <w:b w:val="0"/>
                <w:sz w:val="18"/>
              </w:rPr>
              <w:t>Octobre-décembre 2026</w:t>
            </w:r>
          </w:p>
        </w:tc>
        <w:tc>
          <w:tcPr>
            <w:tcW w:w="3118" w:type="dxa"/>
            <w:tcBorders>
              <w:top w:val="single" w:color="000000" w:sz="4" w:space="0"/>
              <w:left w:val="single" w:color="000000" w:sz="4" w:space="0"/>
              <w:bottom w:val="single" w:color="000000" w:sz="4" w:space="0"/>
              <w:right w:val="single" w:color="000000" w:sz="4" w:space="0"/>
            </w:tcBorders>
            <w:vAlign w:val="center"/>
          </w:tcPr>
          <w:p w14:paraId="7F4574D8">
            <w:pPr>
              <w:jc w:val="center"/>
            </w:pPr>
            <w:r>
              <w:rPr>
                <w:rFonts w:ascii="宋体" w:hAnsi="宋体" w:eastAsia="宋体"/>
                <w:b w:val="0"/>
                <w:sz w:val="18"/>
              </w:rPr>
              <w:t>商务舱</w:t>
            </w:r>
          </w:p>
          <w:p w14:paraId="0F4ABA5D">
            <w:pPr>
              <w:jc w:val="center"/>
            </w:pPr>
            <w:r>
              <w:rPr>
                <w:rFonts w:ascii="Times New Roman" w:hAnsi="Times New Roman" w:eastAsia="宋体" w:cs="Times New Roman"/>
                <w:b w:val="0"/>
                <w:sz w:val="18"/>
              </w:rPr>
              <w:t>Classe affaires</w:t>
            </w:r>
          </w:p>
        </w:tc>
        <w:tc>
          <w:tcPr>
            <w:tcW w:w="3118" w:type="dxa"/>
            <w:tcBorders>
              <w:top w:val="single" w:color="000000" w:sz="4" w:space="0"/>
              <w:left w:val="single" w:color="000000" w:sz="4" w:space="0"/>
              <w:bottom w:val="single" w:color="000000" w:sz="4" w:space="0"/>
              <w:right w:val="single" w:color="000000" w:sz="4" w:space="0"/>
            </w:tcBorders>
            <w:vAlign w:val="center"/>
          </w:tcPr>
          <w:p w14:paraId="1D2969DB">
            <w:pPr>
              <w:jc w:val="center"/>
            </w:pPr>
          </w:p>
        </w:tc>
      </w:tr>
      <w:tr w14:paraId="3F65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Borders>
              <w:top w:val="single" w:color="000000" w:sz="4" w:space="0"/>
              <w:left w:val="single" w:color="000000" w:sz="4" w:space="0"/>
              <w:bottom w:val="single" w:color="000000" w:sz="4" w:space="0"/>
              <w:right w:val="single" w:color="000000" w:sz="4" w:space="0"/>
            </w:tcBorders>
            <w:vAlign w:val="center"/>
          </w:tcPr>
          <w:p w14:paraId="013DEE6A">
            <w:pPr>
              <w:jc w:val="center"/>
            </w:pPr>
            <w:r>
              <w:rPr>
                <w:rFonts w:ascii="宋体" w:hAnsi="宋体" w:eastAsia="宋体"/>
                <w:b w:val="0"/>
                <w:sz w:val="18"/>
              </w:rPr>
              <w:t>2026年10—12月</w:t>
            </w:r>
          </w:p>
          <w:p w14:paraId="2A9A0513">
            <w:pPr>
              <w:jc w:val="center"/>
            </w:pPr>
            <w:r>
              <w:rPr>
                <w:rFonts w:ascii="Times New Roman" w:hAnsi="Times New Roman" w:eastAsia="宋体" w:cs="Times New Roman"/>
                <w:b w:val="0"/>
                <w:sz w:val="18"/>
              </w:rPr>
              <w:t>Octobre-décembre 2026</w:t>
            </w:r>
          </w:p>
        </w:tc>
        <w:tc>
          <w:tcPr>
            <w:tcW w:w="3118" w:type="dxa"/>
            <w:tcBorders>
              <w:top w:val="single" w:color="000000" w:sz="4" w:space="0"/>
              <w:left w:val="single" w:color="000000" w:sz="4" w:space="0"/>
              <w:bottom w:val="single" w:color="000000" w:sz="4" w:space="0"/>
              <w:right w:val="single" w:color="000000" w:sz="4" w:space="0"/>
            </w:tcBorders>
            <w:vAlign w:val="center"/>
          </w:tcPr>
          <w:p w14:paraId="33AFA5AF">
            <w:pPr>
              <w:jc w:val="center"/>
            </w:pPr>
            <w:r>
              <w:rPr>
                <w:rFonts w:ascii="宋体" w:hAnsi="宋体" w:eastAsia="宋体"/>
                <w:b w:val="0"/>
                <w:sz w:val="18"/>
              </w:rPr>
              <w:t>经济舱</w:t>
            </w:r>
          </w:p>
          <w:p w14:paraId="2912F285">
            <w:pPr>
              <w:jc w:val="center"/>
            </w:pPr>
            <w:r>
              <w:rPr>
                <w:rFonts w:ascii="Times New Roman" w:hAnsi="Times New Roman" w:eastAsia="宋体" w:cs="Times New Roman"/>
                <w:b w:val="0"/>
                <w:sz w:val="18"/>
              </w:rPr>
              <w:t>Classe économique</w:t>
            </w:r>
          </w:p>
        </w:tc>
        <w:tc>
          <w:tcPr>
            <w:tcW w:w="3118" w:type="dxa"/>
            <w:tcBorders>
              <w:top w:val="single" w:color="000000" w:sz="4" w:space="0"/>
              <w:left w:val="single" w:color="000000" w:sz="4" w:space="0"/>
              <w:bottom w:val="single" w:color="000000" w:sz="4" w:space="0"/>
              <w:right w:val="single" w:color="000000" w:sz="4" w:space="0"/>
            </w:tcBorders>
            <w:vAlign w:val="center"/>
          </w:tcPr>
          <w:p w14:paraId="73026DA1">
            <w:pPr>
              <w:jc w:val="center"/>
            </w:pPr>
          </w:p>
        </w:tc>
      </w:tr>
      <w:tr w14:paraId="09A7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Borders>
              <w:top w:val="single" w:color="000000" w:sz="4" w:space="0"/>
              <w:left w:val="single" w:color="000000" w:sz="4" w:space="0"/>
              <w:bottom w:val="single" w:color="000000" w:sz="4" w:space="0"/>
              <w:right w:val="single" w:color="000000" w:sz="4" w:space="0"/>
            </w:tcBorders>
            <w:vAlign w:val="center"/>
          </w:tcPr>
          <w:p w14:paraId="5470A60C">
            <w:pPr>
              <w:jc w:val="center"/>
            </w:pPr>
            <w:r>
              <w:rPr>
                <w:rFonts w:ascii="宋体" w:hAnsi="宋体" w:eastAsia="宋体"/>
                <w:b w:val="0"/>
                <w:sz w:val="18"/>
              </w:rPr>
              <w:t>2027年1—12月</w:t>
            </w:r>
          </w:p>
          <w:p w14:paraId="7EDF8225">
            <w:pPr>
              <w:jc w:val="center"/>
            </w:pPr>
            <w:r>
              <w:rPr>
                <w:rFonts w:ascii="Times New Roman" w:hAnsi="Times New Roman" w:eastAsia="宋体" w:cs="Times New Roman"/>
                <w:b w:val="0"/>
                <w:sz w:val="18"/>
              </w:rPr>
              <w:t>Janvier-décembre 2027</w:t>
            </w:r>
          </w:p>
        </w:tc>
        <w:tc>
          <w:tcPr>
            <w:tcW w:w="3118" w:type="dxa"/>
            <w:tcBorders>
              <w:top w:val="single" w:color="000000" w:sz="4" w:space="0"/>
              <w:left w:val="single" w:color="000000" w:sz="4" w:space="0"/>
              <w:bottom w:val="single" w:color="000000" w:sz="4" w:space="0"/>
              <w:right w:val="single" w:color="000000" w:sz="4" w:space="0"/>
            </w:tcBorders>
            <w:vAlign w:val="center"/>
          </w:tcPr>
          <w:p w14:paraId="313E94F0">
            <w:pPr>
              <w:jc w:val="center"/>
            </w:pPr>
            <w:r>
              <w:rPr>
                <w:rFonts w:ascii="宋体" w:hAnsi="宋体" w:eastAsia="宋体"/>
                <w:b w:val="0"/>
                <w:sz w:val="18"/>
              </w:rPr>
              <w:t>商务舱</w:t>
            </w:r>
          </w:p>
          <w:p w14:paraId="7657B725">
            <w:pPr>
              <w:jc w:val="center"/>
            </w:pPr>
            <w:r>
              <w:rPr>
                <w:rFonts w:ascii="Times New Roman" w:hAnsi="Times New Roman" w:eastAsia="宋体" w:cs="Times New Roman"/>
                <w:b w:val="0"/>
                <w:sz w:val="18"/>
              </w:rPr>
              <w:t>Classe affaires</w:t>
            </w:r>
          </w:p>
        </w:tc>
        <w:tc>
          <w:tcPr>
            <w:tcW w:w="3118" w:type="dxa"/>
            <w:tcBorders>
              <w:top w:val="single" w:color="000000" w:sz="4" w:space="0"/>
              <w:left w:val="single" w:color="000000" w:sz="4" w:space="0"/>
              <w:bottom w:val="single" w:color="000000" w:sz="4" w:space="0"/>
              <w:right w:val="single" w:color="000000" w:sz="4" w:space="0"/>
            </w:tcBorders>
            <w:vAlign w:val="center"/>
          </w:tcPr>
          <w:p w14:paraId="39BF95A9">
            <w:pPr>
              <w:jc w:val="center"/>
            </w:pPr>
          </w:p>
        </w:tc>
      </w:tr>
      <w:tr w14:paraId="318D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Borders>
              <w:top w:val="single" w:color="000000" w:sz="4" w:space="0"/>
              <w:left w:val="single" w:color="000000" w:sz="4" w:space="0"/>
              <w:bottom w:val="single" w:color="000000" w:sz="4" w:space="0"/>
              <w:right w:val="single" w:color="000000" w:sz="4" w:space="0"/>
            </w:tcBorders>
            <w:vAlign w:val="center"/>
          </w:tcPr>
          <w:p w14:paraId="34C35285">
            <w:pPr>
              <w:jc w:val="center"/>
            </w:pPr>
            <w:r>
              <w:rPr>
                <w:rFonts w:ascii="宋体" w:hAnsi="宋体" w:eastAsia="宋体"/>
                <w:b w:val="0"/>
                <w:sz w:val="18"/>
              </w:rPr>
              <w:t>2027年1—12月</w:t>
            </w:r>
          </w:p>
          <w:p w14:paraId="7C022EA8">
            <w:pPr>
              <w:jc w:val="center"/>
            </w:pPr>
            <w:r>
              <w:rPr>
                <w:rFonts w:ascii="Times New Roman" w:hAnsi="Times New Roman" w:eastAsia="宋体" w:cs="Times New Roman"/>
                <w:b w:val="0"/>
                <w:sz w:val="18"/>
              </w:rPr>
              <w:t>Janvier-décembre 2027</w:t>
            </w:r>
          </w:p>
        </w:tc>
        <w:tc>
          <w:tcPr>
            <w:tcW w:w="3118" w:type="dxa"/>
            <w:tcBorders>
              <w:top w:val="single" w:color="000000" w:sz="4" w:space="0"/>
              <w:left w:val="single" w:color="000000" w:sz="4" w:space="0"/>
              <w:bottom w:val="single" w:color="000000" w:sz="4" w:space="0"/>
              <w:right w:val="single" w:color="000000" w:sz="4" w:space="0"/>
            </w:tcBorders>
            <w:vAlign w:val="center"/>
          </w:tcPr>
          <w:p w14:paraId="4C77743F">
            <w:pPr>
              <w:jc w:val="center"/>
            </w:pPr>
            <w:r>
              <w:rPr>
                <w:rFonts w:ascii="宋体" w:hAnsi="宋体" w:eastAsia="宋体"/>
                <w:b w:val="0"/>
                <w:sz w:val="18"/>
              </w:rPr>
              <w:t>经济舱</w:t>
            </w:r>
          </w:p>
          <w:p w14:paraId="4FAE4204">
            <w:pPr>
              <w:jc w:val="center"/>
            </w:pPr>
            <w:r>
              <w:rPr>
                <w:rFonts w:ascii="Times New Roman" w:hAnsi="Times New Roman" w:eastAsia="宋体" w:cs="Times New Roman"/>
                <w:b w:val="0"/>
                <w:sz w:val="18"/>
              </w:rPr>
              <w:t>Classe économique</w:t>
            </w:r>
          </w:p>
        </w:tc>
        <w:tc>
          <w:tcPr>
            <w:tcW w:w="3118" w:type="dxa"/>
            <w:tcBorders>
              <w:top w:val="single" w:color="000000" w:sz="4" w:space="0"/>
              <w:left w:val="single" w:color="000000" w:sz="4" w:space="0"/>
              <w:bottom w:val="single" w:color="000000" w:sz="4" w:space="0"/>
              <w:right w:val="single" w:color="000000" w:sz="4" w:space="0"/>
            </w:tcBorders>
            <w:vAlign w:val="center"/>
          </w:tcPr>
          <w:p w14:paraId="61D0C8C8">
            <w:pPr>
              <w:jc w:val="center"/>
            </w:pPr>
          </w:p>
        </w:tc>
      </w:tr>
      <w:tr w14:paraId="18C5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Borders>
              <w:top w:val="single" w:color="000000" w:sz="4" w:space="0"/>
              <w:left w:val="single" w:color="000000" w:sz="4" w:space="0"/>
              <w:bottom w:val="single" w:color="000000" w:sz="4" w:space="0"/>
              <w:right w:val="single" w:color="000000" w:sz="4" w:space="0"/>
            </w:tcBorders>
            <w:vAlign w:val="center"/>
          </w:tcPr>
          <w:p w14:paraId="74DDF10A">
            <w:pPr>
              <w:jc w:val="center"/>
            </w:pPr>
            <w:r>
              <w:rPr>
                <w:rFonts w:ascii="宋体" w:hAnsi="宋体" w:eastAsia="宋体"/>
                <w:b w:val="0"/>
                <w:sz w:val="18"/>
              </w:rPr>
              <w:t>2028年1—9月</w:t>
            </w:r>
          </w:p>
          <w:p w14:paraId="17D8969D">
            <w:pPr>
              <w:jc w:val="center"/>
            </w:pPr>
            <w:r>
              <w:rPr>
                <w:rFonts w:ascii="Times New Roman" w:hAnsi="Times New Roman" w:eastAsia="宋体" w:cs="Times New Roman"/>
                <w:b w:val="0"/>
                <w:sz w:val="18"/>
              </w:rPr>
              <w:t>Janvier-septembre 2028</w:t>
            </w:r>
          </w:p>
        </w:tc>
        <w:tc>
          <w:tcPr>
            <w:tcW w:w="3118" w:type="dxa"/>
            <w:tcBorders>
              <w:top w:val="single" w:color="000000" w:sz="4" w:space="0"/>
              <w:left w:val="single" w:color="000000" w:sz="4" w:space="0"/>
              <w:bottom w:val="single" w:color="000000" w:sz="4" w:space="0"/>
              <w:right w:val="single" w:color="000000" w:sz="4" w:space="0"/>
            </w:tcBorders>
            <w:vAlign w:val="center"/>
          </w:tcPr>
          <w:p w14:paraId="33B147FE">
            <w:pPr>
              <w:jc w:val="center"/>
            </w:pPr>
            <w:r>
              <w:rPr>
                <w:rFonts w:ascii="宋体" w:hAnsi="宋体" w:eastAsia="宋体"/>
                <w:b w:val="0"/>
                <w:sz w:val="18"/>
              </w:rPr>
              <w:t>商务舱</w:t>
            </w:r>
          </w:p>
          <w:p w14:paraId="40A5AB3A">
            <w:pPr>
              <w:jc w:val="center"/>
            </w:pPr>
            <w:r>
              <w:rPr>
                <w:rFonts w:ascii="Times New Roman" w:hAnsi="Times New Roman" w:eastAsia="宋体" w:cs="Times New Roman"/>
                <w:b w:val="0"/>
                <w:sz w:val="18"/>
              </w:rPr>
              <w:t>Classe affaires</w:t>
            </w:r>
          </w:p>
        </w:tc>
        <w:tc>
          <w:tcPr>
            <w:tcW w:w="3118" w:type="dxa"/>
            <w:tcBorders>
              <w:top w:val="single" w:color="000000" w:sz="4" w:space="0"/>
              <w:left w:val="single" w:color="000000" w:sz="4" w:space="0"/>
              <w:bottom w:val="single" w:color="000000" w:sz="4" w:space="0"/>
              <w:right w:val="single" w:color="000000" w:sz="4" w:space="0"/>
            </w:tcBorders>
            <w:vAlign w:val="center"/>
          </w:tcPr>
          <w:p w14:paraId="6DAF9481">
            <w:pPr>
              <w:jc w:val="center"/>
            </w:pPr>
          </w:p>
        </w:tc>
      </w:tr>
      <w:tr w14:paraId="7216E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Borders>
              <w:top w:val="single" w:color="000000" w:sz="4" w:space="0"/>
              <w:left w:val="single" w:color="000000" w:sz="4" w:space="0"/>
              <w:bottom w:val="single" w:color="000000" w:sz="4" w:space="0"/>
              <w:right w:val="single" w:color="000000" w:sz="4" w:space="0"/>
            </w:tcBorders>
            <w:vAlign w:val="center"/>
          </w:tcPr>
          <w:p w14:paraId="070A6CBE">
            <w:pPr>
              <w:jc w:val="center"/>
            </w:pPr>
            <w:r>
              <w:rPr>
                <w:rFonts w:ascii="宋体" w:hAnsi="宋体" w:eastAsia="宋体"/>
                <w:b w:val="0"/>
                <w:sz w:val="18"/>
              </w:rPr>
              <w:t>2028年1—9月</w:t>
            </w:r>
          </w:p>
          <w:p w14:paraId="3C68EB68">
            <w:pPr>
              <w:jc w:val="center"/>
            </w:pPr>
            <w:r>
              <w:rPr>
                <w:rFonts w:ascii="Times New Roman" w:hAnsi="Times New Roman" w:eastAsia="宋体" w:cs="Times New Roman"/>
                <w:b w:val="0"/>
                <w:sz w:val="18"/>
              </w:rPr>
              <w:t>Janvier-septembre 2028</w:t>
            </w:r>
          </w:p>
        </w:tc>
        <w:tc>
          <w:tcPr>
            <w:tcW w:w="3118" w:type="dxa"/>
            <w:tcBorders>
              <w:top w:val="single" w:color="000000" w:sz="4" w:space="0"/>
              <w:left w:val="single" w:color="000000" w:sz="4" w:space="0"/>
              <w:bottom w:val="single" w:color="000000" w:sz="4" w:space="0"/>
              <w:right w:val="single" w:color="000000" w:sz="4" w:space="0"/>
            </w:tcBorders>
            <w:vAlign w:val="center"/>
          </w:tcPr>
          <w:p w14:paraId="4465F538">
            <w:pPr>
              <w:jc w:val="center"/>
            </w:pPr>
            <w:r>
              <w:rPr>
                <w:rFonts w:ascii="宋体" w:hAnsi="宋体" w:eastAsia="宋体"/>
                <w:b w:val="0"/>
                <w:sz w:val="18"/>
              </w:rPr>
              <w:t>经济舱</w:t>
            </w:r>
          </w:p>
          <w:p w14:paraId="3B656120">
            <w:pPr>
              <w:jc w:val="center"/>
            </w:pPr>
            <w:r>
              <w:rPr>
                <w:rFonts w:ascii="Times New Roman" w:hAnsi="Times New Roman" w:eastAsia="宋体" w:cs="Times New Roman"/>
                <w:b w:val="0"/>
                <w:sz w:val="18"/>
              </w:rPr>
              <w:t>Classe économique</w:t>
            </w:r>
          </w:p>
        </w:tc>
        <w:tc>
          <w:tcPr>
            <w:tcW w:w="3118" w:type="dxa"/>
            <w:tcBorders>
              <w:top w:val="single" w:color="000000" w:sz="4" w:space="0"/>
              <w:left w:val="single" w:color="000000" w:sz="4" w:space="0"/>
              <w:bottom w:val="single" w:color="000000" w:sz="4" w:space="0"/>
              <w:right w:val="single" w:color="000000" w:sz="4" w:space="0"/>
            </w:tcBorders>
            <w:vAlign w:val="center"/>
          </w:tcPr>
          <w:p w14:paraId="70E3FA53">
            <w:pPr>
              <w:jc w:val="center"/>
            </w:pPr>
          </w:p>
        </w:tc>
      </w:tr>
    </w:tbl>
    <w:p w14:paraId="1D4CE18B">
      <w:pPr>
        <w:pStyle w:val="2"/>
        <w:pageBreakBefore/>
        <w:adjustRightInd w:val="0"/>
        <w:snapToGrid w:val="0"/>
        <w:spacing w:before="0" w:after="0" w:line="360" w:lineRule="auto"/>
        <w:jc w:val="center"/>
        <w:rPr>
          <w:rFonts w:hint="eastAsia" w:ascii="宋体" w:hAnsi="宋体" w:cs="宋体"/>
          <w:b/>
          <w:kern w:val="0"/>
          <w:sz w:val="21"/>
          <w:szCs w:val="21"/>
          <w:highlight w:val="none"/>
          <w:lang w:val="en-US" w:eastAsia="zh-CN" w:bidi="ar-SA"/>
        </w:rPr>
      </w:pPr>
      <w:bookmarkStart w:id="50" w:name="_Toc9152"/>
      <w:r>
        <w:rPr>
          <w:rFonts w:ascii="宋体" w:hAnsi="宋体" w:eastAsia="宋体"/>
          <w:b/>
          <w:sz w:val="28"/>
          <w:szCs w:val="28"/>
          <w:highlight w:val="none"/>
        </w:rPr>
        <w:t>第</w:t>
      </w:r>
      <w:r>
        <w:rPr>
          <w:rFonts w:hint="eastAsia" w:ascii="宋体" w:hAnsi="宋体" w:eastAsia="宋体"/>
          <w:b/>
          <w:sz w:val="28"/>
          <w:szCs w:val="28"/>
          <w:highlight w:val="none"/>
          <w:lang w:val="en-US" w:eastAsia="zh-CN"/>
        </w:rPr>
        <w:t>四</w:t>
      </w:r>
      <w:r>
        <w:rPr>
          <w:rFonts w:ascii="宋体" w:hAnsi="宋体" w:eastAsia="宋体"/>
          <w:b/>
          <w:sz w:val="28"/>
          <w:szCs w:val="28"/>
          <w:highlight w:val="none"/>
        </w:rPr>
        <w:t xml:space="preserve">章 </w:t>
      </w:r>
      <w:r>
        <w:rPr>
          <w:rFonts w:hint="eastAsia" w:ascii="宋体" w:hAnsi="宋体" w:eastAsia="宋体" w:cs="Times New Roman"/>
          <w:b/>
          <w:sz w:val="28"/>
          <w:szCs w:val="28"/>
          <w:highlight w:val="none"/>
          <w:lang w:val="en-US" w:eastAsia="zh-CN"/>
        </w:rPr>
        <w:t>响应文件</w:t>
      </w:r>
      <w:bookmarkEnd w:id="31"/>
      <w:r>
        <w:rPr>
          <w:rFonts w:hint="eastAsia" w:ascii="宋体" w:hAnsi="宋体" w:eastAsia="宋体" w:cs="Times New Roman"/>
          <w:b/>
          <w:sz w:val="28"/>
          <w:szCs w:val="28"/>
          <w:highlight w:val="none"/>
          <w:lang w:val="en-US" w:eastAsia="zh-CN"/>
        </w:rPr>
        <w:t>格式</w:t>
      </w:r>
      <w:bookmarkEnd w:id="50"/>
    </w:p>
    <w:p w14:paraId="05104E32">
      <w:pPr>
        <w:adjustRightInd w:val="0"/>
        <w:snapToGrid w:val="0"/>
        <w:spacing w:before="0" w:after="0" w:line="360" w:lineRule="auto"/>
        <w:jc w:val="center"/>
        <w:rPr>
          <w:rFonts w:hint="eastAsia" w:ascii="宋体" w:hAnsi="宋体" w:cs="宋体"/>
          <w:b/>
          <w:kern w:val="0"/>
          <w:sz w:val="21"/>
          <w:szCs w:val="21"/>
          <w:highlight w:val="none"/>
          <w:lang w:val="en-US" w:eastAsia="zh-CN" w:bidi="ar-SA"/>
        </w:rPr>
      </w:pPr>
      <w:r>
        <w:rPr>
          <w:rFonts w:ascii="Times New Roman" w:hAnsi="Times New Roman" w:eastAsia="宋体" w:cs="Times New Roman"/>
          <w:b/>
          <w:sz w:val="28"/>
          <w:szCs w:val="28"/>
          <w:highlight w:val="none"/>
        </w:rPr>
        <w:t>Chapitre IV – Format du dossier de réponse</w:t>
      </w:r>
    </w:p>
    <w:p w14:paraId="52A87826">
      <w:pPr>
        <w:keepNext/>
        <w:keepLines/>
        <w:pageBreakBefore w:val="0"/>
        <w:widowControl w:val="0"/>
        <w:numPr>
          <w:ilvl w:val="0"/>
          <w:numId w:val="0"/>
        </w:numPr>
        <w:kinsoku/>
        <w:wordWrap/>
        <w:overflowPunct/>
        <w:topLinePunct w:val="0"/>
        <w:autoSpaceDE/>
        <w:autoSpaceDN/>
        <w:bidi w:val="0"/>
        <w:adjustRightInd w:val="0"/>
        <w:snapToGrid w:val="0"/>
        <w:spacing w:before="0" w:beforeLines="0" w:after="0" w:afterLines="0" w:line="360" w:lineRule="auto"/>
        <w:ind w:left="0" w:leftChars="0" w:right="0" w:rightChars="0" w:firstLine="0" w:firstLineChars="0"/>
        <w:jc w:val="both"/>
        <w:textAlignment w:val="auto"/>
        <w:outlineLvl w:val="9"/>
        <w:rPr>
          <w:highlight w:val="none"/>
        </w:rPr>
      </w:pPr>
      <w:bookmarkStart w:id="51" w:name="_Toc22051"/>
      <w:r>
        <w:rPr>
          <w:rFonts w:hint="eastAsia" w:ascii="Times New Roman" w:hAnsi="宋体" w:eastAsia="宋体" w:cs="宋体"/>
          <w:b/>
          <w:color w:val="FF0000"/>
          <w:sz w:val="21"/>
          <w:szCs w:val="21"/>
          <w:highlight w:val="none"/>
          <w:lang w:val="zh-CN" w:eastAsia="zh-CN"/>
        </w:rPr>
        <w:t>【编注：</w:t>
      </w:r>
      <w:r>
        <w:rPr>
          <w:rFonts w:hint="eastAsia" w:ascii="Times New Roman" w:hAnsi="宋体" w:eastAsia="宋体" w:cs="宋体"/>
          <w:b/>
          <w:color w:val="FF0000"/>
          <w:sz w:val="21"/>
          <w:szCs w:val="21"/>
          <w:highlight w:val="none"/>
          <w:lang w:val="en-US" w:eastAsia="zh-CN"/>
        </w:rPr>
        <w:t>响应文件按技术、商务部分（也称文件A）和价格部分（也称文件B）须分开编制，单独上传</w:t>
      </w:r>
      <w:r>
        <w:rPr>
          <w:rFonts w:hint="eastAsia" w:ascii="Times New Roman" w:hAnsi="宋体" w:eastAsia="宋体" w:cs="宋体"/>
          <w:b/>
          <w:color w:val="FF0000"/>
          <w:sz w:val="21"/>
          <w:szCs w:val="21"/>
          <w:highlight w:val="none"/>
          <w:lang w:val="zh-CN" w:eastAsia="zh-CN"/>
        </w:rPr>
        <w:t>】</w:t>
      </w:r>
    </w:p>
    <w:p w14:paraId="7EC98281">
      <w:pPr>
        <w:keepLines/>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0" w:firstLineChars="0"/>
        <w:jc w:val="both"/>
        <w:textAlignment w:val="auto"/>
        <w:outlineLvl w:val="9"/>
        <w:rPr>
          <w:highlight w:val="none"/>
        </w:rPr>
      </w:pPr>
      <w:r>
        <w:rPr>
          <w:rFonts w:hint="eastAsia" w:ascii="Times New Roman" w:hAnsi="Times New Roman" w:eastAsia="宋体" w:cs="Times New Roman"/>
          <w:b/>
          <w:color w:val="FF0000"/>
          <w:sz w:val="21"/>
          <w:szCs w:val="21"/>
          <w:highlight w:val="none"/>
          <w:lang w:val="zh-CN" w:eastAsia="zh-CN"/>
        </w:rPr>
        <w:t>[Note de rédaction : les parties technique et commerciale du dossier de réponse (également dénommées « dossier A ») et la partie prix (également dénommée « dossier B ») doivent être préparées séparément et téléversées séparément.]</w:t>
      </w:r>
    </w:p>
    <w:bookmarkEnd w:id="51"/>
    <w:p w14:paraId="36C1B856">
      <w:pPr>
        <w:adjustRightInd w:val="0"/>
        <w:snapToGrid w:val="0"/>
        <w:spacing w:line="360" w:lineRule="auto"/>
        <w:ind w:firstLine="422" w:firstLineChars="200"/>
        <w:rPr>
          <w:rFonts w:ascii="宋体" w:hAnsi="宋体"/>
          <w:b/>
          <w:color w:val="FF0000"/>
          <w:highlight w:val="none"/>
        </w:rPr>
      </w:pPr>
      <w:r>
        <w:rPr>
          <w:rFonts w:hint="eastAsia" w:ascii="宋体" w:hAnsi="宋体"/>
          <w:b/>
          <w:color w:val="FF0000"/>
          <w:highlight w:val="none"/>
        </w:rPr>
        <w:t>重要提示：</w:t>
      </w:r>
    </w:p>
    <w:p w14:paraId="71E3C2C8">
      <w:pPr>
        <w:adjustRightInd w:val="0"/>
        <w:snapToGrid w:val="0"/>
        <w:spacing w:line="360" w:lineRule="auto"/>
        <w:ind w:firstLine="422" w:firstLineChars="200"/>
        <w:rPr>
          <w:rFonts w:ascii="宋体" w:hAnsi="宋体"/>
          <w:b/>
          <w:color w:val="FF0000"/>
          <w:highlight w:val="none"/>
        </w:rPr>
      </w:pPr>
      <w:r>
        <w:rPr>
          <w:rFonts w:hint="eastAsia" w:ascii="Times New Roman" w:hAnsi="Times New Roman" w:cs="Times New Roman"/>
          <w:b/>
          <w:color w:val="FF0000"/>
          <w:highlight w:val="none"/>
        </w:rPr>
        <w:t>Important :</w:t>
      </w:r>
    </w:p>
    <w:p w14:paraId="26FA683A">
      <w:pPr>
        <w:adjustRightInd w:val="0"/>
        <w:snapToGrid w:val="0"/>
        <w:spacing w:line="360" w:lineRule="auto"/>
        <w:ind w:firstLine="422" w:firstLineChars="200"/>
        <w:rPr>
          <w:rFonts w:ascii="宋体" w:hAnsi="宋体"/>
          <w:b/>
          <w:color w:val="FF0000"/>
          <w:highlight w:val="none"/>
        </w:rPr>
      </w:pPr>
      <w:r>
        <w:rPr>
          <w:rFonts w:hint="eastAsia" w:ascii="宋体" w:hAnsi="宋体"/>
          <w:b/>
          <w:color w:val="FF0000"/>
          <w:highlight w:val="none"/>
        </w:rPr>
        <w:t>1</w:t>
      </w:r>
      <w:r>
        <w:rPr>
          <w:rFonts w:ascii="宋体" w:hAnsi="宋体"/>
          <w:b/>
          <w:color w:val="FF0000"/>
          <w:highlight w:val="none"/>
        </w:rPr>
        <w:t>.</w:t>
      </w:r>
      <w:r>
        <w:rPr>
          <w:rFonts w:hint="eastAsia" w:ascii="宋体" w:hAnsi="宋体"/>
          <w:b/>
          <w:color w:val="FF0000"/>
          <w:highlight w:val="none"/>
        </w:rPr>
        <w:t>请各</w:t>
      </w:r>
      <w:r>
        <w:rPr>
          <w:rFonts w:hint="eastAsia" w:ascii="宋体" w:hAnsi="宋体"/>
          <w:b/>
          <w:color w:val="FF0000"/>
          <w:highlight w:val="none"/>
          <w:lang w:eastAsia="zh-CN"/>
        </w:rPr>
        <w:t>响应人</w:t>
      </w:r>
      <w:r>
        <w:rPr>
          <w:rFonts w:hint="eastAsia" w:ascii="宋体" w:hAnsi="宋体"/>
          <w:b/>
          <w:color w:val="FF0000"/>
          <w:highlight w:val="none"/>
        </w:rPr>
        <w:t>严格按照</w:t>
      </w:r>
      <w:r>
        <w:rPr>
          <w:rFonts w:hint="eastAsia" w:ascii="宋体" w:hAnsi="宋体"/>
          <w:b/>
          <w:color w:val="FF0000"/>
          <w:highlight w:val="none"/>
          <w:lang w:val="en-US" w:eastAsia="zh-CN"/>
        </w:rPr>
        <w:t>响应</w:t>
      </w:r>
      <w:r>
        <w:rPr>
          <w:rFonts w:hint="eastAsia" w:ascii="宋体" w:hAnsi="宋体"/>
          <w:b/>
          <w:color w:val="FF0000"/>
          <w:highlight w:val="none"/>
        </w:rPr>
        <w:t>文件格式编制</w:t>
      </w:r>
      <w:r>
        <w:rPr>
          <w:rFonts w:hint="eastAsia" w:ascii="宋体" w:hAnsi="宋体"/>
          <w:b/>
          <w:color w:val="FF0000"/>
          <w:highlight w:val="none"/>
          <w:lang w:val="en-US" w:eastAsia="zh-CN"/>
        </w:rPr>
        <w:t>响应</w:t>
      </w:r>
      <w:r>
        <w:rPr>
          <w:rFonts w:hint="eastAsia" w:ascii="宋体" w:hAnsi="宋体"/>
          <w:b/>
          <w:color w:val="FF0000"/>
          <w:highlight w:val="none"/>
        </w:rPr>
        <w:t>文件（包括封面、目录、章节），未按</w:t>
      </w:r>
      <w:r>
        <w:rPr>
          <w:rFonts w:hint="eastAsia" w:ascii="宋体" w:hAnsi="宋体"/>
          <w:b/>
          <w:color w:val="FF0000"/>
          <w:highlight w:val="none"/>
          <w:lang w:val="en-US" w:eastAsia="zh-CN"/>
        </w:rPr>
        <w:t>响应</w:t>
      </w:r>
      <w:r>
        <w:rPr>
          <w:rFonts w:hint="eastAsia" w:ascii="宋体" w:hAnsi="宋体"/>
          <w:b/>
          <w:color w:val="FF0000"/>
          <w:highlight w:val="none"/>
        </w:rPr>
        <w:t>文件格式编制的</w:t>
      </w:r>
      <w:r>
        <w:rPr>
          <w:rFonts w:hint="eastAsia" w:ascii="宋体" w:hAnsi="宋体"/>
          <w:b/>
          <w:color w:val="FF0000"/>
          <w:highlight w:val="none"/>
          <w:lang w:val="en-US" w:eastAsia="zh-CN"/>
        </w:rPr>
        <w:t>响应</w:t>
      </w:r>
      <w:r>
        <w:rPr>
          <w:rFonts w:hint="eastAsia" w:ascii="宋体" w:hAnsi="宋体"/>
          <w:b/>
          <w:color w:val="FF0000"/>
          <w:highlight w:val="none"/>
        </w:rPr>
        <w:t>文件引起的一切后果自负。</w:t>
      </w:r>
    </w:p>
    <w:p w14:paraId="2DFB8BC8">
      <w:pPr>
        <w:adjustRightInd w:val="0"/>
        <w:snapToGrid w:val="0"/>
        <w:spacing w:line="360" w:lineRule="auto"/>
        <w:ind w:firstLine="422" w:firstLineChars="200"/>
        <w:rPr>
          <w:rFonts w:ascii="宋体" w:hAnsi="宋体"/>
          <w:b/>
          <w:color w:val="FF0000"/>
          <w:highlight w:val="none"/>
        </w:rPr>
      </w:pPr>
      <w:r>
        <w:rPr>
          <w:rFonts w:hint="eastAsia" w:ascii="Times New Roman" w:hAnsi="Times New Roman" w:cs="Times New Roman"/>
          <w:b/>
          <w:color w:val="FF0000"/>
          <w:highlight w:val="none"/>
        </w:rPr>
        <w:t>1. Les soumissionnaires doivent préparer leur dossier de réponse strictement selon le format prescrit (y compris la couverture, la table des matières et les chapitres). Ils assument toutes les conséquences résultant du non-respect du format du dossier de réponse.</w:t>
      </w:r>
    </w:p>
    <w:p w14:paraId="1DF02930">
      <w:pPr>
        <w:adjustRightInd w:val="0"/>
        <w:snapToGrid w:val="0"/>
        <w:spacing w:line="360" w:lineRule="auto"/>
        <w:ind w:firstLine="422" w:firstLineChars="200"/>
        <w:rPr>
          <w:rFonts w:ascii="宋体" w:hAnsi="宋体"/>
          <w:b/>
          <w:highlight w:val="none"/>
        </w:rPr>
      </w:pPr>
      <w:r>
        <w:rPr>
          <w:rFonts w:hint="eastAsia" w:ascii="宋体" w:hAnsi="宋体"/>
          <w:b/>
          <w:color w:val="FF0000"/>
          <w:highlight w:val="none"/>
        </w:rPr>
        <w:t>2</w:t>
      </w:r>
      <w:r>
        <w:rPr>
          <w:rFonts w:ascii="宋体" w:hAnsi="宋体"/>
          <w:b/>
          <w:color w:val="FF0000"/>
          <w:highlight w:val="none"/>
        </w:rPr>
        <w:t>.</w:t>
      </w:r>
      <w:r>
        <w:rPr>
          <w:rFonts w:hint="eastAsia" w:ascii="宋体" w:hAnsi="宋体"/>
          <w:b/>
          <w:color w:val="FF0000"/>
          <w:highlight w:val="none"/>
        </w:rPr>
        <w:t>请各</w:t>
      </w:r>
      <w:r>
        <w:rPr>
          <w:rFonts w:hint="eastAsia" w:ascii="宋体" w:hAnsi="宋体"/>
          <w:b/>
          <w:color w:val="FF0000"/>
          <w:highlight w:val="none"/>
          <w:lang w:val="en-US" w:eastAsia="zh-CN"/>
        </w:rPr>
        <w:t>响应</w:t>
      </w:r>
      <w:r>
        <w:rPr>
          <w:rFonts w:hint="eastAsia" w:ascii="宋体" w:hAnsi="宋体"/>
          <w:b/>
          <w:color w:val="FF0000"/>
          <w:highlight w:val="none"/>
        </w:rPr>
        <w:t>人务必仔细阅读采购文件，编写有关内容。</w:t>
      </w:r>
    </w:p>
    <w:p w14:paraId="0AB07818">
      <w:pPr>
        <w:adjustRightInd w:val="0"/>
        <w:snapToGrid w:val="0"/>
        <w:spacing w:line="360" w:lineRule="auto"/>
        <w:ind w:firstLine="422" w:firstLineChars="200"/>
        <w:rPr>
          <w:rFonts w:ascii="宋体" w:hAnsi="宋体"/>
          <w:b/>
          <w:highlight w:val="none"/>
        </w:rPr>
      </w:pPr>
      <w:r>
        <w:rPr>
          <w:rFonts w:hint="eastAsia" w:ascii="Times New Roman" w:hAnsi="Times New Roman" w:cs="Times New Roman"/>
          <w:b/>
          <w:color w:val="FF0000"/>
          <w:highlight w:val="none"/>
        </w:rPr>
        <w:t>2. Les soumissionnaires doivent lire attentivement le dossier de consultation avant de rédiger les éléments correspondants.</w:t>
      </w:r>
    </w:p>
    <w:p w14:paraId="58E0A1AD">
      <w:pPr>
        <w:pStyle w:val="30"/>
        <w:widowControl/>
        <w:adjustRightInd w:val="0"/>
        <w:spacing w:before="0" w:beforeAutospacing="0" w:after="0" w:afterAutospacing="0" w:line="360" w:lineRule="auto"/>
        <w:rPr>
          <w:rFonts w:hint="eastAsia" w:ascii="Times New Roman" w:hAnsi="宋体" w:eastAsia="宋体" w:cs="宋体"/>
          <w:color w:val="000000"/>
          <w:sz w:val="24"/>
          <w:szCs w:val="24"/>
          <w:highlight w:val="none"/>
        </w:rPr>
      </w:pPr>
    </w:p>
    <w:p w14:paraId="127C399B">
      <w:pPr>
        <w:pStyle w:val="30"/>
        <w:widowControl/>
        <w:adjustRightInd w:val="0"/>
        <w:spacing w:before="0" w:beforeAutospacing="0" w:after="0" w:afterAutospacing="0" w:line="360" w:lineRule="auto"/>
        <w:ind w:firstLine="480" w:firstLineChars="200"/>
        <w:rPr>
          <w:rFonts w:hint="eastAsia" w:ascii="Times New Roman" w:hAnsi="宋体" w:eastAsia="宋体" w:cs="宋体"/>
          <w:color w:val="000000"/>
          <w:sz w:val="24"/>
          <w:szCs w:val="24"/>
          <w:highlight w:val="none"/>
        </w:rPr>
      </w:pPr>
    </w:p>
    <w:p w14:paraId="3885DDA5">
      <w:pPr>
        <w:pStyle w:val="30"/>
        <w:widowControl/>
        <w:adjustRightInd w:val="0"/>
        <w:spacing w:before="0" w:beforeAutospacing="0" w:after="0" w:afterAutospacing="0" w:line="360" w:lineRule="auto"/>
        <w:ind w:firstLine="480" w:firstLineChars="200"/>
        <w:rPr>
          <w:rFonts w:hint="eastAsia" w:ascii="Times New Roman" w:hAnsi="宋体" w:eastAsia="宋体" w:cs="宋体"/>
          <w:color w:val="000000"/>
          <w:sz w:val="24"/>
          <w:szCs w:val="24"/>
          <w:highlight w:val="none"/>
        </w:rPr>
      </w:pPr>
    </w:p>
    <w:p w14:paraId="38C162DB">
      <w:pPr>
        <w:pStyle w:val="30"/>
        <w:widowControl/>
        <w:adjustRightInd w:val="0"/>
        <w:spacing w:before="0" w:beforeAutospacing="0" w:after="0" w:afterAutospacing="0" w:line="360" w:lineRule="auto"/>
        <w:ind w:firstLine="480" w:firstLineChars="200"/>
        <w:rPr>
          <w:rFonts w:hint="eastAsia" w:ascii="Times New Roman" w:hAnsi="宋体" w:eastAsia="宋体" w:cs="宋体"/>
          <w:color w:val="000000"/>
          <w:sz w:val="24"/>
          <w:szCs w:val="24"/>
          <w:highlight w:val="none"/>
        </w:rPr>
      </w:pPr>
    </w:p>
    <w:p w14:paraId="63A90587">
      <w:pPr>
        <w:pStyle w:val="30"/>
        <w:widowControl/>
        <w:adjustRightInd w:val="0"/>
        <w:spacing w:before="0" w:beforeAutospacing="0" w:after="0" w:afterAutospacing="0" w:line="360" w:lineRule="auto"/>
        <w:ind w:firstLine="480" w:firstLineChars="200"/>
        <w:rPr>
          <w:rFonts w:hint="eastAsia" w:ascii="Times New Roman" w:hAnsi="宋体" w:eastAsia="宋体" w:cs="宋体"/>
          <w:color w:val="000000"/>
          <w:sz w:val="24"/>
          <w:szCs w:val="24"/>
          <w:highlight w:val="none"/>
        </w:rPr>
      </w:pPr>
    </w:p>
    <w:p w14:paraId="7B04B88A">
      <w:pPr>
        <w:pStyle w:val="30"/>
        <w:widowControl/>
        <w:adjustRightInd w:val="0"/>
        <w:spacing w:before="0" w:beforeAutospacing="0" w:after="0" w:afterAutospacing="0" w:line="360" w:lineRule="auto"/>
        <w:ind w:firstLine="480" w:firstLineChars="200"/>
        <w:rPr>
          <w:rFonts w:hint="eastAsia" w:ascii="Times New Roman" w:hAnsi="宋体" w:eastAsia="宋体" w:cs="宋体"/>
          <w:color w:val="000000"/>
          <w:sz w:val="24"/>
          <w:szCs w:val="24"/>
          <w:highlight w:val="none"/>
        </w:rPr>
      </w:pPr>
    </w:p>
    <w:p w14:paraId="370CEDC5">
      <w:pPr>
        <w:pStyle w:val="30"/>
        <w:widowControl/>
        <w:adjustRightInd w:val="0"/>
        <w:spacing w:before="0" w:beforeAutospacing="0" w:after="0" w:afterAutospacing="0" w:line="360" w:lineRule="auto"/>
        <w:ind w:firstLine="480" w:firstLineChars="200"/>
        <w:rPr>
          <w:rFonts w:hint="eastAsia" w:ascii="Times New Roman" w:hAnsi="宋体" w:eastAsia="宋体" w:cs="宋体"/>
          <w:color w:val="000000"/>
          <w:sz w:val="24"/>
          <w:szCs w:val="24"/>
          <w:highlight w:val="none"/>
        </w:rPr>
      </w:pPr>
    </w:p>
    <w:p w14:paraId="3BE3623F">
      <w:pPr>
        <w:pStyle w:val="30"/>
        <w:widowControl/>
        <w:adjustRightInd w:val="0"/>
        <w:spacing w:before="0" w:beforeAutospacing="0" w:after="0" w:afterAutospacing="0" w:line="360" w:lineRule="auto"/>
        <w:rPr>
          <w:rFonts w:hint="eastAsia" w:ascii="Times New Roman" w:hAnsi="宋体" w:eastAsia="宋体" w:cs="宋体"/>
          <w:color w:val="000000"/>
          <w:sz w:val="24"/>
          <w:szCs w:val="24"/>
          <w:highlight w:val="none"/>
        </w:rPr>
        <w:sectPr>
          <w:pgSz w:w="11906" w:h="16838"/>
          <w:pgMar w:top="1417" w:right="1134" w:bottom="1134" w:left="1417" w:header="851" w:footer="850" w:gutter="0"/>
          <w:pgBorders>
            <w:top w:val="none" w:sz="0" w:space="0"/>
            <w:left w:val="none" w:sz="0" w:space="0"/>
            <w:bottom w:val="none" w:sz="0" w:space="0"/>
            <w:right w:val="none" w:sz="0" w:space="0"/>
          </w:pgBorders>
          <w:pgNumType w:fmt="decimal"/>
          <w:cols w:space="720" w:num="1"/>
          <w:titlePg/>
          <w:rtlGutter w:val="0"/>
          <w:docGrid w:linePitch="312" w:charSpace="0"/>
        </w:sectPr>
      </w:pPr>
    </w:p>
    <w:p w14:paraId="20174B98">
      <w:pPr>
        <w:pStyle w:val="30"/>
        <w:widowControl/>
        <w:adjustRightInd w:val="0"/>
        <w:spacing w:before="0" w:beforeAutospacing="0" w:after="0" w:afterAutospacing="0" w:line="360" w:lineRule="auto"/>
        <w:rPr>
          <w:rFonts w:hint="eastAsia" w:ascii="Times New Roman" w:hAnsi="宋体" w:eastAsia="宋体" w:cs="宋体"/>
          <w:color w:val="000000"/>
          <w:sz w:val="24"/>
          <w:szCs w:val="24"/>
          <w:highlight w:val="none"/>
        </w:rPr>
      </w:pPr>
    </w:p>
    <w:p w14:paraId="18238829">
      <w:pPr>
        <w:pStyle w:val="30"/>
        <w:widowControl/>
        <w:adjustRightInd w:val="0"/>
        <w:spacing w:before="0" w:beforeAutospacing="0" w:after="0" w:afterAutospacing="0" w:line="360" w:lineRule="auto"/>
        <w:ind w:firstLine="480" w:firstLineChars="200"/>
        <w:rPr>
          <w:rFonts w:hint="eastAsia" w:ascii="Times New Roman" w:hAnsi="宋体" w:eastAsia="宋体" w:cs="宋体"/>
          <w:color w:val="000000"/>
          <w:sz w:val="24"/>
          <w:szCs w:val="24"/>
          <w:highlight w:val="none"/>
        </w:rPr>
      </w:pPr>
    </w:p>
    <w:p w14:paraId="3C6569F5">
      <w:pPr>
        <w:spacing w:line="200" w:lineRule="exact"/>
        <w:rPr>
          <w:rFonts w:hint="eastAsia" w:ascii="宋体" w:hAnsi="宋体" w:cs="宋体"/>
          <w:sz w:val="20"/>
          <w:szCs w:val="20"/>
          <w:highlight w:val="none"/>
        </w:rPr>
      </w:pPr>
    </w:p>
    <w:p w14:paraId="77340F52">
      <w:pPr>
        <w:pStyle w:val="8"/>
        <w:rPr>
          <w:rFonts w:hint="eastAsia"/>
          <w:highlight w:val="none"/>
        </w:rPr>
      </w:pPr>
    </w:p>
    <w:p w14:paraId="7ABD1879">
      <w:pPr>
        <w:adjustRightInd w:val="0"/>
        <w:snapToGrid w:val="0"/>
        <w:spacing w:line="360" w:lineRule="auto"/>
        <w:jc w:val="center"/>
        <w:rPr>
          <w:rFonts w:hint="eastAsia" w:ascii="宋体" w:hAnsi="宋体"/>
          <w:b/>
          <w:bCs/>
          <w:sz w:val="52"/>
          <w:szCs w:val="52"/>
          <w:highlight w:val="none"/>
          <w:lang w:val="en-US" w:eastAsia="zh-CN"/>
        </w:rPr>
      </w:pPr>
    </w:p>
    <w:p w14:paraId="7A4EB375">
      <w:pPr>
        <w:tabs>
          <w:tab w:val="left" w:pos="3780"/>
          <w:tab w:val="left" w:pos="4440"/>
          <w:tab w:val="left" w:pos="5100"/>
        </w:tabs>
        <w:ind w:right="11"/>
        <w:jc w:val="center"/>
        <w:outlineLvl w:val="1"/>
        <w:rPr>
          <w:rFonts w:hint="eastAsia" w:ascii="宋体" w:hAnsi="宋体"/>
          <w:b/>
          <w:bCs/>
          <w:sz w:val="40"/>
          <w:szCs w:val="40"/>
          <w:highlight w:val="none"/>
          <w:lang w:val="en-US" w:eastAsia="zh-CN"/>
        </w:rPr>
      </w:pPr>
      <w:bookmarkStart w:id="52" w:name="_Toc5088"/>
      <w:r>
        <w:rPr>
          <w:rFonts w:hint="eastAsia" w:ascii="宋体" w:hAnsi="宋体"/>
          <w:b/>
          <w:bCs/>
          <w:sz w:val="40"/>
          <w:szCs w:val="40"/>
          <w:highlight w:val="none"/>
          <w:lang w:val="en-US" w:eastAsia="zh-CN"/>
        </w:rPr>
        <w:t>国家电投国际投资开发（几内亚）</w:t>
      </w:r>
    </w:p>
    <w:p w14:paraId="42177560">
      <w:pPr>
        <w:tabs>
          <w:tab w:val="left" w:pos="3780"/>
          <w:tab w:val="left" w:pos="4440"/>
          <w:tab w:val="left" w:pos="5100"/>
        </w:tabs>
        <w:ind w:right="11"/>
        <w:jc w:val="center"/>
        <w:outlineLvl w:val="1"/>
        <w:rPr>
          <w:rFonts w:hint="eastAsia" w:ascii="宋体" w:hAnsi="宋体"/>
          <w:b/>
          <w:bCs/>
          <w:sz w:val="40"/>
          <w:szCs w:val="40"/>
          <w:highlight w:val="none"/>
          <w:lang w:val="en-US" w:eastAsia="zh-CN"/>
        </w:rPr>
      </w:pPr>
      <w:r>
        <w:rPr>
          <w:rFonts w:hint="eastAsia" w:ascii="Times New Roman" w:hAnsi="Times New Roman" w:cs="Times New Roman"/>
          <w:b/>
          <w:bCs/>
          <w:sz w:val="40"/>
          <w:szCs w:val="40"/>
          <w:highlight w:val="none"/>
          <w:lang w:val="en-US" w:eastAsia="zh-CN"/>
        </w:rPr>
        <w:t>SPIC International Investment &amp; Development(Guinea)</w:t>
      </w:r>
    </w:p>
    <w:p w14:paraId="402D7A53">
      <w:pPr>
        <w:tabs>
          <w:tab w:val="left" w:pos="3780"/>
          <w:tab w:val="left" w:pos="4440"/>
          <w:tab w:val="left" w:pos="5100"/>
        </w:tabs>
        <w:ind w:right="11"/>
        <w:jc w:val="center"/>
        <w:outlineLvl w:val="1"/>
        <w:rPr>
          <w:rFonts w:hint="eastAsia" w:ascii="宋体" w:hAnsi="宋体"/>
          <w:b/>
          <w:bCs/>
          <w:sz w:val="40"/>
          <w:szCs w:val="40"/>
          <w:highlight w:val="none"/>
          <w:lang w:val="en-US" w:eastAsia="zh-CN"/>
        </w:rPr>
      </w:pPr>
      <w:r>
        <w:rPr>
          <w:rFonts w:hint="eastAsia" w:ascii="宋体" w:hAnsi="宋体"/>
          <w:b/>
          <w:bCs/>
          <w:sz w:val="40"/>
          <w:szCs w:val="40"/>
          <w:highlight w:val="none"/>
          <w:lang w:val="en-US" w:eastAsia="zh-CN"/>
        </w:rPr>
        <w:t>有限责任公司</w:t>
      </w:r>
    </w:p>
    <w:p w14:paraId="314EAF0C">
      <w:pPr>
        <w:tabs>
          <w:tab w:val="left" w:pos="3780"/>
          <w:tab w:val="left" w:pos="4440"/>
          <w:tab w:val="left" w:pos="5100"/>
        </w:tabs>
        <w:ind w:right="11"/>
        <w:jc w:val="center"/>
        <w:outlineLvl w:val="1"/>
        <w:rPr>
          <w:rFonts w:hint="eastAsia" w:ascii="宋体" w:hAnsi="宋体"/>
          <w:b/>
          <w:bCs/>
          <w:sz w:val="40"/>
          <w:szCs w:val="40"/>
          <w:highlight w:val="none"/>
          <w:lang w:val="en-US" w:eastAsia="zh-CN"/>
        </w:rPr>
      </w:pPr>
      <w:r>
        <w:rPr>
          <w:rFonts w:hint="eastAsia" w:ascii="Times New Roman" w:hAnsi="Times New Roman" w:cs="Times New Roman"/>
          <w:b/>
          <w:bCs/>
          <w:sz w:val="40"/>
          <w:szCs w:val="40"/>
          <w:highlight w:val="none"/>
          <w:lang w:val="en-US" w:eastAsia="zh-CN"/>
        </w:rPr>
        <w:t>Co.,Ltd</w:t>
      </w:r>
    </w:p>
    <w:p w14:paraId="7414E3FB">
      <w:pPr>
        <w:tabs>
          <w:tab w:val="left" w:pos="3780"/>
          <w:tab w:val="left" w:pos="4440"/>
          <w:tab w:val="left" w:pos="5100"/>
        </w:tabs>
        <w:ind w:right="11"/>
        <w:jc w:val="center"/>
        <w:outlineLvl w:val="1"/>
        <w:rPr>
          <w:rFonts w:hint="eastAsia" w:ascii="宋体" w:hAnsi="宋体"/>
          <w:b/>
          <w:bCs/>
          <w:sz w:val="40"/>
          <w:szCs w:val="40"/>
          <w:highlight w:val="none"/>
          <w:lang w:val="en-US" w:eastAsia="zh-CN"/>
        </w:rPr>
      </w:pPr>
      <w:r>
        <w:rPr>
          <w:rFonts w:hint="eastAsia" w:ascii="宋体" w:hAnsi="宋体"/>
          <w:b/>
          <w:bCs/>
          <w:sz w:val="40"/>
          <w:szCs w:val="40"/>
          <w:highlight w:val="none"/>
          <w:lang w:val="en-US" w:eastAsia="zh-CN"/>
        </w:rPr>
        <w:t>国际机票代理服务采购项目（2026—2028年度）</w:t>
      </w:r>
    </w:p>
    <w:p w14:paraId="15F31176">
      <w:pPr>
        <w:tabs>
          <w:tab w:val="left" w:pos="3780"/>
          <w:tab w:val="left" w:pos="4440"/>
          <w:tab w:val="left" w:pos="5100"/>
        </w:tabs>
        <w:ind w:right="11"/>
        <w:jc w:val="center"/>
        <w:outlineLvl w:val="1"/>
        <w:rPr>
          <w:rFonts w:hint="eastAsia" w:ascii="宋体" w:hAnsi="宋体"/>
          <w:b/>
          <w:bCs/>
          <w:sz w:val="40"/>
          <w:szCs w:val="40"/>
          <w:highlight w:val="none"/>
          <w:lang w:val="en-US" w:eastAsia="zh-CN"/>
        </w:rPr>
      </w:pPr>
      <w:r>
        <w:rPr>
          <w:rFonts w:hint="eastAsia" w:ascii="Times New Roman" w:hAnsi="Times New Roman" w:cs="Times New Roman"/>
          <w:b/>
          <w:bCs/>
          <w:sz w:val="40"/>
          <w:szCs w:val="40"/>
          <w:highlight w:val="none"/>
          <w:lang w:val="en-US" w:eastAsia="zh-CN"/>
        </w:rPr>
        <w:t>Projet d’acquisition de services d’agence pour billets d’avion internationaux (2026-2028)</w:t>
      </w:r>
    </w:p>
    <w:p w14:paraId="12F1C21A">
      <w:pPr>
        <w:pStyle w:val="44"/>
        <w:rPr>
          <w:rFonts w:hint="eastAsia" w:ascii="宋体" w:hAnsi="宋体"/>
          <w:b/>
          <w:bCs/>
          <w:sz w:val="40"/>
          <w:szCs w:val="40"/>
          <w:highlight w:val="none"/>
          <w:lang w:val="en-US" w:eastAsia="zh-CN"/>
        </w:rPr>
      </w:pPr>
    </w:p>
    <w:p w14:paraId="3479C893">
      <w:pPr>
        <w:pStyle w:val="44"/>
        <w:rPr>
          <w:rFonts w:hint="default" w:ascii="宋体" w:hAnsi="宋体"/>
          <w:b/>
          <w:bCs/>
          <w:sz w:val="40"/>
          <w:szCs w:val="40"/>
          <w:highlight w:val="none"/>
          <w:lang w:val="en-US" w:eastAsia="zh-CN"/>
        </w:rPr>
      </w:pPr>
    </w:p>
    <w:p w14:paraId="47A64D4A">
      <w:pPr>
        <w:tabs>
          <w:tab w:val="left" w:pos="3780"/>
          <w:tab w:val="left" w:pos="4440"/>
          <w:tab w:val="left" w:pos="5100"/>
        </w:tabs>
        <w:ind w:right="11"/>
        <w:jc w:val="center"/>
        <w:outlineLvl w:val="1"/>
        <w:rPr>
          <w:rFonts w:hint="eastAsia" w:ascii="宋体" w:hAnsi="宋体" w:cs="宋体"/>
          <w:b/>
          <w:sz w:val="52"/>
          <w:szCs w:val="32"/>
          <w:highlight w:val="none"/>
        </w:rPr>
      </w:pPr>
      <w:r>
        <w:rPr>
          <w:rFonts w:hint="eastAsia" w:ascii="宋体" w:hAnsi="宋体"/>
          <w:b/>
          <w:bCs/>
          <w:sz w:val="40"/>
          <w:szCs w:val="40"/>
          <w:highlight w:val="none"/>
          <w:lang w:val="en-US" w:eastAsia="zh-CN"/>
        </w:rPr>
        <w:t>响应文件A</w:t>
      </w:r>
      <w:bookmarkEnd w:id="52"/>
    </w:p>
    <w:p w14:paraId="54BB4CE3">
      <w:pPr>
        <w:tabs>
          <w:tab w:val="left" w:pos="3780"/>
          <w:tab w:val="left" w:pos="4440"/>
          <w:tab w:val="left" w:pos="5100"/>
        </w:tabs>
        <w:ind w:right="11"/>
        <w:jc w:val="center"/>
        <w:outlineLvl w:val="1"/>
        <w:rPr>
          <w:rFonts w:hint="eastAsia" w:ascii="宋体" w:hAnsi="宋体" w:cs="宋体"/>
          <w:sz w:val="20"/>
          <w:szCs w:val="18"/>
          <w:highlight w:val="none"/>
        </w:rPr>
      </w:pPr>
      <w:r>
        <w:rPr>
          <w:rFonts w:hint="eastAsia" w:ascii="Times New Roman" w:hAnsi="Times New Roman" w:cs="Times New Roman"/>
          <w:b/>
          <w:bCs/>
          <w:sz w:val="40"/>
          <w:szCs w:val="40"/>
          <w:highlight w:val="none"/>
          <w:lang w:val="en-US" w:eastAsia="zh-CN"/>
        </w:rPr>
        <w:t>Dossier de réponse A</w:t>
      </w:r>
    </w:p>
    <w:p w14:paraId="166A398A">
      <w:pPr>
        <w:rPr>
          <w:rFonts w:hint="eastAsia" w:ascii="宋体" w:hAnsi="宋体" w:cs="宋体"/>
          <w:highlight w:val="none"/>
        </w:rPr>
      </w:pPr>
    </w:p>
    <w:p w14:paraId="48B53D8B">
      <w:pPr>
        <w:rPr>
          <w:rFonts w:hint="eastAsia" w:ascii="宋体" w:hAnsi="宋体" w:cs="宋体"/>
          <w:highlight w:val="none"/>
        </w:rPr>
      </w:pPr>
    </w:p>
    <w:p w14:paraId="0CE8B793">
      <w:pPr>
        <w:pStyle w:val="11"/>
        <w:rPr>
          <w:rFonts w:hint="eastAsia"/>
        </w:rPr>
      </w:pPr>
    </w:p>
    <w:p w14:paraId="4099783D">
      <w:pPr>
        <w:rPr>
          <w:rFonts w:hint="eastAsia" w:ascii="宋体" w:hAnsi="宋体" w:cs="宋体"/>
          <w:highlight w:val="none"/>
        </w:rPr>
      </w:pPr>
    </w:p>
    <w:p w14:paraId="1B1AD6B4">
      <w:pPr>
        <w:spacing w:line="360" w:lineRule="auto"/>
        <w:ind w:firstLine="1120" w:firstLineChars="400"/>
        <w:rPr>
          <w:rFonts w:hint="eastAsia" w:ascii="宋体" w:hAnsi="宋体" w:cs="宋体"/>
          <w:color w:val="000000"/>
          <w:sz w:val="28"/>
          <w:highlight w:val="none"/>
          <w:u w:val="single"/>
        </w:rPr>
      </w:pPr>
      <w:r>
        <w:rPr>
          <w:rFonts w:hint="eastAsia" w:ascii="宋体" w:hAnsi="宋体" w:eastAsia="宋体" w:cs="宋体"/>
          <w:color w:val="000000"/>
          <w:sz w:val="28"/>
          <w:highlight w:val="none"/>
          <w:lang w:eastAsia="zh-CN"/>
        </w:rPr>
        <w:t>响应</w:t>
      </w:r>
      <w:r>
        <w:rPr>
          <w:rFonts w:hint="eastAsia" w:ascii="宋体" w:hAnsi="宋体" w:cs="宋体"/>
          <w:color w:val="000000"/>
          <w:sz w:val="28"/>
          <w:highlight w:val="none"/>
        </w:rPr>
        <w:t>人：</w:t>
      </w:r>
      <w:r>
        <w:rPr>
          <w:rFonts w:hint="eastAsia" w:ascii="宋体" w:hAnsi="宋体" w:cs="宋体"/>
          <w:color w:val="000000"/>
          <w:highlight w:val="none"/>
          <w:u w:val="single"/>
        </w:rPr>
        <w:t xml:space="preserve">                                            </w:t>
      </w:r>
      <w:r>
        <w:rPr>
          <w:rFonts w:hint="eastAsia" w:ascii="宋体" w:hAnsi="宋体" w:cs="宋体"/>
          <w:color w:val="000000"/>
          <w:sz w:val="28"/>
          <w:highlight w:val="none"/>
        </w:rPr>
        <w:t>（盖单位章）</w:t>
      </w:r>
    </w:p>
    <w:p w14:paraId="7CEC0DC5">
      <w:pPr>
        <w:spacing w:line="360" w:lineRule="auto"/>
        <w:ind w:firstLine="1120" w:firstLineChars="400"/>
        <w:rPr>
          <w:rFonts w:hint="eastAsia" w:ascii="宋体" w:hAnsi="宋体" w:cs="宋体"/>
          <w:color w:val="000000"/>
          <w:sz w:val="28"/>
          <w:highlight w:val="none"/>
          <w:u w:val="single"/>
        </w:rPr>
      </w:pPr>
      <w:r>
        <w:rPr>
          <w:rFonts w:hint="eastAsia" w:ascii="Times New Roman" w:hAnsi="Times New Roman" w:eastAsia="宋体" w:cs="Times New Roman"/>
          <w:color w:val="000000"/>
          <w:sz w:val="28"/>
          <w:highlight w:val="none"/>
          <w:lang w:eastAsia="zh-CN"/>
        </w:rPr>
        <w:t>Soumissionnaire : ____________________ (cachet de l’entreprise)</w:t>
      </w:r>
    </w:p>
    <w:p w14:paraId="74E92B86">
      <w:pPr>
        <w:spacing w:line="360" w:lineRule="auto"/>
        <w:ind w:firstLine="1120" w:firstLineChars="400"/>
        <w:jc w:val="left"/>
        <w:rPr>
          <w:rFonts w:hint="eastAsia" w:ascii="宋体" w:hAnsi="宋体" w:cs="宋体"/>
          <w:color w:val="000000"/>
          <w:sz w:val="28"/>
          <w:highlight w:val="none"/>
        </w:rPr>
      </w:pPr>
      <w:r>
        <w:rPr>
          <w:rFonts w:hint="eastAsia" w:ascii="宋体" w:hAnsi="宋体" w:cs="宋体"/>
          <w:color w:val="000000"/>
          <w:sz w:val="28"/>
          <w:highlight w:val="none"/>
        </w:rPr>
        <w:t>法定代表人或其委托代理人：</w:t>
      </w:r>
      <w:r>
        <w:rPr>
          <w:rFonts w:hint="eastAsia" w:ascii="宋体" w:hAnsi="宋体" w:cs="宋体"/>
          <w:color w:val="000000"/>
          <w:highlight w:val="none"/>
          <w:u w:val="single"/>
        </w:rPr>
        <w:t xml:space="preserve">       </w:t>
      </w:r>
      <w:r>
        <w:rPr>
          <w:rFonts w:hint="eastAsia" w:ascii="宋体" w:hAnsi="宋体" w:cs="宋体"/>
          <w:color w:val="000000"/>
          <w:sz w:val="28"/>
          <w:highlight w:val="none"/>
        </w:rPr>
        <w:t>（签字）</w:t>
      </w:r>
    </w:p>
    <w:p w14:paraId="370B5186">
      <w:pPr>
        <w:spacing w:line="360" w:lineRule="auto"/>
        <w:ind w:firstLine="1120" w:firstLineChars="400"/>
        <w:jc w:val="left"/>
        <w:rPr>
          <w:rFonts w:hint="eastAsia" w:ascii="宋体" w:hAnsi="宋体" w:cs="宋体"/>
          <w:color w:val="000000"/>
          <w:sz w:val="28"/>
          <w:highlight w:val="none"/>
        </w:rPr>
      </w:pPr>
      <w:r>
        <w:rPr>
          <w:rFonts w:hint="eastAsia" w:ascii="Times New Roman" w:hAnsi="Times New Roman" w:cs="Times New Roman"/>
          <w:color w:val="000000"/>
          <w:sz w:val="28"/>
          <w:highlight w:val="none"/>
        </w:rPr>
        <w:t>Représentant légal ou son mandataire : ____________________ (signature)</w:t>
      </w:r>
    </w:p>
    <w:p w14:paraId="112190C9">
      <w:pPr>
        <w:jc w:val="center"/>
        <w:rPr>
          <w:rFonts w:hint="eastAsia" w:ascii="宋体" w:hAnsi="宋体" w:cs="宋体"/>
          <w:highlight w:val="none"/>
        </w:rPr>
      </w:pPr>
    </w:p>
    <w:p w14:paraId="507578F5">
      <w:pPr>
        <w:jc w:val="center"/>
        <w:rPr>
          <w:rFonts w:hint="eastAsia" w:ascii="宋体" w:hAnsi="宋体" w:cs="宋体"/>
          <w:color w:val="000000"/>
          <w:sz w:val="28"/>
          <w:highlight w:val="none"/>
        </w:rPr>
      </w:pPr>
      <w:r>
        <w:rPr>
          <w:rFonts w:hint="eastAsia" w:ascii="宋体" w:hAnsi="宋体" w:cs="宋体"/>
          <w:color w:val="000000"/>
          <w:highlight w:val="none"/>
          <w:u w:val="single"/>
        </w:rPr>
        <w:t xml:space="preserve">       </w:t>
      </w:r>
      <w:r>
        <w:rPr>
          <w:rFonts w:hint="eastAsia" w:ascii="宋体" w:hAnsi="宋体" w:cs="宋体"/>
          <w:color w:val="000000"/>
          <w:sz w:val="28"/>
          <w:highlight w:val="none"/>
        </w:rPr>
        <w:t>年</w:t>
      </w:r>
      <w:r>
        <w:rPr>
          <w:rFonts w:hint="eastAsia" w:ascii="宋体" w:hAnsi="宋体" w:cs="宋体"/>
          <w:color w:val="000000"/>
          <w:highlight w:val="none"/>
          <w:u w:val="single"/>
        </w:rPr>
        <w:t xml:space="preserve">       </w:t>
      </w:r>
      <w:r>
        <w:rPr>
          <w:rFonts w:hint="eastAsia" w:ascii="宋体" w:hAnsi="宋体" w:cs="宋体"/>
          <w:color w:val="000000"/>
          <w:sz w:val="28"/>
          <w:highlight w:val="none"/>
        </w:rPr>
        <w:t>月</w:t>
      </w:r>
      <w:r>
        <w:rPr>
          <w:rFonts w:hint="eastAsia" w:ascii="宋体" w:hAnsi="宋体" w:cs="宋体"/>
          <w:color w:val="000000"/>
          <w:highlight w:val="none"/>
          <w:u w:val="single"/>
        </w:rPr>
        <w:t xml:space="preserve">       </w:t>
      </w:r>
      <w:r>
        <w:rPr>
          <w:rFonts w:hint="eastAsia" w:ascii="宋体" w:hAnsi="宋体" w:cs="宋体"/>
          <w:color w:val="000000"/>
          <w:sz w:val="28"/>
          <w:highlight w:val="none"/>
        </w:rPr>
        <w:t>日</w:t>
      </w:r>
    </w:p>
    <w:p w14:paraId="4D02AFFC">
      <w:pPr>
        <w:jc w:val="center"/>
        <w:rPr>
          <w:rFonts w:hint="eastAsia" w:ascii="宋体" w:hAnsi="宋体" w:cs="宋体"/>
          <w:color w:val="000000"/>
          <w:sz w:val="28"/>
          <w:highlight w:val="none"/>
        </w:rPr>
      </w:pPr>
      <w:r>
        <w:rPr>
          <w:rFonts w:hint="eastAsia" w:ascii="Times New Roman" w:hAnsi="Times New Roman" w:cs="Times New Roman"/>
          <w:color w:val="000000"/>
          <w:sz w:val="28"/>
          <w:highlight w:val="none"/>
        </w:rPr>
        <w:t>____ / ____ / ______</w:t>
      </w:r>
    </w:p>
    <w:p w14:paraId="4B76090C">
      <w:pPr>
        <w:pStyle w:val="13"/>
        <w:rPr>
          <w:rFonts w:hint="eastAsia" w:ascii="宋体" w:hAnsi="宋体" w:cs="宋体"/>
          <w:b/>
          <w:bCs/>
          <w:sz w:val="52"/>
          <w:szCs w:val="52"/>
          <w:highlight w:val="none"/>
        </w:rPr>
        <w:sectPr>
          <w:pgSz w:w="11906" w:h="16838"/>
          <w:pgMar w:top="1417" w:right="1134" w:bottom="1134" w:left="1417" w:header="851" w:footer="850" w:gutter="0"/>
          <w:pgNumType w:fmt="decimal"/>
          <w:cols w:space="720" w:num="1"/>
          <w:titlePg/>
          <w:rtlGutter w:val="0"/>
          <w:docGrid w:linePitch="319" w:charSpace="0"/>
        </w:sectPr>
      </w:pPr>
    </w:p>
    <w:p w14:paraId="1E056DA9">
      <w:pPr>
        <w:pStyle w:val="3"/>
        <w:adjustRightInd w:val="0"/>
        <w:snapToGrid w:val="0"/>
        <w:spacing w:before="0" w:after="0" w:line="360" w:lineRule="auto"/>
        <w:jc w:val="center"/>
        <w:rPr>
          <w:rFonts w:ascii="Times New Roman" w:hAnsi="Times New Roman" w:eastAsia="宋体"/>
          <w:color w:val="auto"/>
          <w:sz w:val="28"/>
          <w:szCs w:val="28"/>
          <w:highlight w:val="none"/>
        </w:rPr>
      </w:pPr>
      <w:bookmarkStart w:id="53" w:name="_Toc31555"/>
      <w:bookmarkStart w:id="54" w:name="_Toc492288513"/>
      <w:bookmarkStart w:id="55" w:name="_Toc17550"/>
      <w:bookmarkStart w:id="56" w:name="_Toc6561425"/>
    </w:p>
    <w:p w14:paraId="145752DF">
      <w:pPr>
        <w:pStyle w:val="3"/>
        <w:adjustRightInd w:val="0"/>
        <w:snapToGrid w:val="0"/>
        <w:spacing w:before="0" w:after="0" w:line="360" w:lineRule="auto"/>
        <w:jc w:val="center"/>
        <w:rPr>
          <w:rFonts w:ascii="Times New Roman" w:hAnsi="Times New Roman" w:eastAsia="宋体"/>
          <w:color w:val="auto"/>
          <w:sz w:val="28"/>
          <w:szCs w:val="28"/>
          <w:highlight w:val="none"/>
        </w:rPr>
      </w:pPr>
      <w:bookmarkStart w:id="57" w:name="_Toc26668"/>
      <w:r>
        <w:rPr>
          <w:rFonts w:ascii="Times New Roman" w:hAnsi="Times New Roman" w:eastAsia="宋体"/>
          <w:color w:val="auto"/>
          <w:sz w:val="28"/>
          <w:szCs w:val="28"/>
          <w:highlight w:val="none"/>
        </w:rPr>
        <w:t>目</w:t>
      </w:r>
      <w:r>
        <w:rPr>
          <w:rFonts w:hint="eastAsia" w:ascii="Times New Roman" w:hAnsi="Times New Roman" w:eastAsia="宋体"/>
          <w:color w:val="auto"/>
          <w:sz w:val="28"/>
          <w:szCs w:val="28"/>
          <w:highlight w:val="none"/>
        </w:rPr>
        <w:t xml:space="preserve"> </w:t>
      </w:r>
      <w:r>
        <w:rPr>
          <w:rFonts w:ascii="Times New Roman" w:hAnsi="Times New Roman" w:eastAsia="宋体"/>
          <w:color w:val="auto"/>
          <w:sz w:val="28"/>
          <w:szCs w:val="28"/>
          <w:highlight w:val="none"/>
        </w:rPr>
        <w:t xml:space="preserve"> 录</w:t>
      </w:r>
      <w:bookmarkEnd w:id="53"/>
      <w:bookmarkEnd w:id="54"/>
      <w:bookmarkEnd w:id="55"/>
      <w:bookmarkEnd w:id="56"/>
      <w:bookmarkEnd w:id="57"/>
    </w:p>
    <w:p w14:paraId="5BF13ABA">
      <w:pPr>
        <w:adjustRightInd w:val="0"/>
        <w:snapToGrid w:val="0"/>
        <w:spacing w:before="0" w:after="0" w:line="360" w:lineRule="auto"/>
        <w:jc w:val="center"/>
        <w:rPr>
          <w:rFonts w:ascii="Times New Roman" w:hAnsi="Times New Roman" w:eastAsia="宋体"/>
          <w:color w:val="auto"/>
          <w:sz w:val="28"/>
          <w:szCs w:val="28"/>
          <w:highlight w:val="none"/>
        </w:rPr>
      </w:pPr>
      <w:r>
        <w:rPr>
          <w:rFonts w:ascii="Times New Roman" w:hAnsi="Times New Roman" w:eastAsia="宋体" w:cs="Times New Roman"/>
          <w:color w:val="auto"/>
          <w:sz w:val="28"/>
          <w:szCs w:val="28"/>
          <w:highlight w:val="none"/>
        </w:rPr>
        <w:t>TABLE DES MATIÈRES</w:t>
      </w:r>
    </w:p>
    <w:p w14:paraId="4A146E83">
      <w:pPr>
        <w:rPr>
          <w:highlight w:val="none"/>
        </w:rPr>
      </w:pPr>
    </w:p>
    <w:p w14:paraId="2012990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ascii="Times New Roman" w:hAnsi="Times New Roman"/>
          <w:color w:val="auto"/>
          <w:highlight w:val="none"/>
        </w:rPr>
      </w:pPr>
      <w:r>
        <w:rPr>
          <w:rFonts w:hint="eastAsia" w:ascii="Times New Roman" w:hAnsi="Times New Roman"/>
          <w:color w:val="auto"/>
          <w:highlight w:val="none"/>
          <w:lang w:val="en-US" w:eastAsia="zh-CN"/>
        </w:rPr>
        <w:t>一</w:t>
      </w:r>
      <w:r>
        <w:rPr>
          <w:rFonts w:ascii="Times New Roman" w:hAnsi="Times New Roman"/>
          <w:color w:val="auto"/>
          <w:highlight w:val="none"/>
        </w:rPr>
        <w:t>、法定代表人（单位负责人）身份证明（适用于无委托代理人的情况）</w:t>
      </w:r>
    </w:p>
    <w:p w14:paraId="72F5C8AD">
      <w:pPr>
        <w:keepLines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ascii="Times New Roman" w:hAnsi="Times New Roman"/>
          <w:color w:val="auto"/>
          <w:highlight w:val="none"/>
        </w:rPr>
      </w:pPr>
      <w:r>
        <w:rPr>
          <w:rFonts w:hint="eastAsia" w:ascii="Times New Roman" w:hAnsi="Times New Roman" w:cs="Times New Roman"/>
          <w:color w:val="auto"/>
          <w:highlight w:val="none"/>
          <w:lang w:val="en-US" w:eastAsia="zh-CN"/>
        </w:rPr>
        <w:t>I. Attestation d’identité du représentant légal (responsable de l’entité) (applicable en l’absence de mandataire)</w:t>
      </w:r>
    </w:p>
    <w:p w14:paraId="0CDB482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ascii="Times New Roman" w:hAnsi="Times New Roman"/>
          <w:color w:val="auto"/>
          <w:highlight w:val="none"/>
        </w:rPr>
      </w:pPr>
      <w:r>
        <w:rPr>
          <w:rFonts w:hint="eastAsia" w:ascii="Times New Roman" w:hAnsi="Times New Roman"/>
          <w:color w:val="auto"/>
          <w:highlight w:val="none"/>
          <w:lang w:val="en-US" w:eastAsia="zh-CN"/>
        </w:rPr>
        <w:t>二、</w:t>
      </w:r>
      <w:r>
        <w:rPr>
          <w:rFonts w:ascii="Times New Roman" w:hAnsi="Times New Roman"/>
          <w:color w:val="auto"/>
          <w:highlight w:val="none"/>
        </w:rPr>
        <w:t>授权委托书（适用于有委托代理人的情况）</w:t>
      </w:r>
    </w:p>
    <w:p w14:paraId="1FD23BEA">
      <w:pPr>
        <w:keepLines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ascii="Times New Roman" w:hAnsi="Times New Roman"/>
          <w:color w:val="auto"/>
          <w:highlight w:val="none"/>
        </w:rPr>
      </w:pPr>
      <w:r>
        <w:rPr>
          <w:rFonts w:hint="eastAsia" w:ascii="Times New Roman" w:hAnsi="Times New Roman" w:cs="Times New Roman"/>
          <w:color w:val="auto"/>
          <w:highlight w:val="none"/>
          <w:lang w:val="en-US" w:eastAsia="zh-CN"/>
        </w:rPr>
        <w:t>II. Procuration (applicable en cas de mandataire)</w:t>
      </w:r>
    </w:p>
    <w:p w14:paraId="527E30C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ascii="宋体" w:hAnsi="宋体"/>
          <w:szCs w:val="21"/>
          <w:highlight w:val="none"/>
        </w:rPr>
      </w:pPr>
      <w:r>
        <w:rPr>
          <w:rFonts w:hint="eastAsia" w:ascii="Times New Roman" w:hAnsi="Times New Roman"/>
          <w:color w:val="auto"/>
          <w:highlight w:val="none"/>
          <w:lang w:val="en-US" w:eastAsia="zh-CN"/>
        </w:rPr>
        <w:t>三</w:t>
      </w:r>
      <w:r>
        <w:rPr>
          <w:rFonts w:ascii="Times New Roman" w:hAnsi="Times New Roman"/>
          <w:color w:val="auto"/>
          <w:highlight w:val="none"/>
        </w:rPr>
        <w:t>、商务和技术偏差表</w:t>
      </w:r>
    </w:p>
    <w:p w14:paraId="7902BFFE">
      <w:pPr>
        <w:keepLines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ascii="宋体" w:hAnsi="宋体"/>
          <w:szCs w:val="21"/>
          <w:highlight w:val="none"/>
        </w:rPr>
      </w:pPr>
      <w:r>
        <w:rPr>
          <w:rFonts w:hint="eastAsia" w:ascii="Times New Roman" w:hAnsi="Times New Roman" w:cs="Times New Roman"/>
          <w:color w:val="auto"/>
          <w:highlight w:val="none"/>
          <w:lang w:val="en-US" w:eastAsia="zh-CN"/>
        </w:rPr>
        <w:t>III. Tableau des écarts commerciaux et techniques</w:t>
      </w:r>
    </w:p>
    <w:p w14:paraId="0B0AAA9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Times New Roman" w:hAnsi="Times New Roman" w:eastAsia="宋体" w:cs="Times New Roman"/>
          <w:color w:val="auto"/>
          <w:highlight w:val="none"/>
          <w:lang w:val="en-US" w:eastAsia="zh-CN"/>
        </w:rPr>
      </w:pPr>
      <w:r>
        <w:rPr>
          <w:rFonts w:hint="eastAsia" w:ascii="Times New Roman" w:hAnsi="Times New Roman"/>
          <w:color w:val="auto"/>
          <w:highlight w:val="none"/>
          <w:lang w:val="en-US" w:eastAsia="zh-CN"/>
        </w:rPr>
        <w:t>四、</w:t>
      </w:r>
      <w:r>
        <w:rPr>
          <w:rFonts w:hint="eastAsia" w:ascii="Times New Roman" w:hAnsi="Times New Roman" w:eastAsia="宋体" w:cs="Times New Roman"/>
          <w:color w:val="auto"/>
          <w:highlight w:val="none"/>
          <w:lang w:val="en-US" w:eastAsia="zh-CN"/>
        </w:rPr>
        <w:t>资格审查资料</w:t>
      </w:r>
    </w:p>
    <w:p w14:paraId="41D845FC">
      <w:pPr>
        <w:keepLines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IV. Documents de qualification</w:t>
      </w:r>
    </w:p>
    <w:p w14:paraId="4A3008F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default" w:ascii="Times New Roman" w:hAnsi="Times New Roman" w:eastAsia="宋体" w:cs="Times New Roman"/>
          <w:color w:val="auto"/>
          <w:highlight w:val="none"/>
          <w:lang w:val="en-US" w:eastAsia="zh-CN"/>
        </w:rPr>
      </w:pPr>
    </w:p>
    <w:p w14:paraId="25437608">
      <w:pPr>
        <w:spacing w:before="0" w:after="0" w:line="360" w:lineRule="auto"/>
        <w:jc w:val="center"/>
        <w:outlineLvl w:val="1"/>
        <w:rPr>
          <w:rFonts w:hint="eastAsia" w:ascii="宋体" w:hAnsi="宋体" w:eastAsia="宋体" w:cs="宋体"/>
          <w:b/>
          <w:bCs w:val="0"/>
          <w:kern w:val="2"/>
          <w:sz w:val="28"/>
          <w:szCs w:val="21"/>
          <w:highlight w:val="none"/>
          <w:lang w:val="en-US" w:eastAsia="zh-CN" w:bidi="ar-SA"/>
        </w:rPr>
      </w:pPr>
      <w:r>
        <w:rPr>
          <w:rFonts w:ascii="Times New Roman" w:hAnsi="Times New Roman"/>
          <w:color w:val="auto"/>
          <w:highlight w:val="none"/>
        </w:rPr>
        <w:br w:type="page"/>
      </w:r>
      <w:bookmarkStart w:id="58" w:name="_Toc6702503"/>
      <w:bookmarkStart w:id="59" w:name="_Toc565"/>
      <w:bookmarkStart w:id="60" w:name="_Toc184635139"/>
      <w:bookmarkStart w:id="61" w:name="_Toc30650"/>
      <w:bookmarkStart w:id="62" w:name="_Toc23596"/>
      <w:bookmarkStart w:id="63" w:name="_Toc27306"/>
      <w:bookmarkStart w:id="64" w:name="_Toc22672"/>
      <w:bookmarkStart w:id="65" w:name="_Toc17962"/>
      <w:bookmarkStart w:id="66" w:name="_Toc19341"/>
      <w:bookmarkStart w:id="67" w:name="_Toc8873"/>
      <w:bookmarkStart w:id="68" w:name="_Toc6701346"/>
      <w:bookmarkStart w:id="69" w:name="_Toc26891"/>
      <w:bookmarkStart w:id="70" w:name="_Toc8105"/>
      <w:bookmarkStart w:id="71" w:name="_Toc5714784"/>
      <w:bookmarkStart w:id="72" w:name="_Toc3"/>
      <w:bookmarkStart w:id="73" w:name="_Toc14466"/>
      <w:bookmarkStart w:id="74" w:name="_Toc64635492"/>
      <w:bookmarkStart w:id="75" w:name="_Toc24305"/>
      <w:r>
        <w:rPr>
          <w:rFonts w:hint="eastAsia" w:ascii="宋体" w:hAnsi="宋体" w:eastAsia="宋体" w:cs="宋体"/>
          <w:b/>
          <w:bCs w:val="0"/>
          <w:kern w:val="2"/>
          <w:sz w:val="28"/>
          <w:szCs w:val="21"/>
          <w:highlight w:val="none"/>
          <w:lang w:val="en-US" w:eastAsia="zh-CN" w:bidi="ar-SA"/>
        </w:rPr>
        <w:t>一、法定代表人（单位负责人）身份证明</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264CF8B7">
      <w:pPr>
        <w:spacing w:before="0" w:after="0" w:line="360" w:lineRule="auto"/>
        <w:jc w:val="center"/>
        <w:outlineLvl w:val="1"/>
        <w:rPr>
          <w:rFonts w:hint="eastAsia" w:ascii="宋体" w:hAnsi="宋体" w:eastAsia="宋体" w:cs="宋体"/>
          <w:b/>
          <w:bCs w:val="0"/>
          <w:kern w:val="2"/>
          <w:sz w:val="28"/>
          <w:szCs w:val="21"/>
          <w:highlight w:val="none"/>
          <w:lang w:val="en-US" w:eastAsia="zh-CN" w:bidi="ar-SA"/>
        </w:rPr>
      </w:pPr>
      <w:r>
        <w:rPr>
          <w:rFonts w:hint="eastAsia" w:ascii="Times New Roman" w:hAnsi="Times New Roman" w:eastAsia="宋体" w:cs="Times New Roman"/>
          <w:b/>
          <w:bCs w:val="0"/>
          <w:kern w:val="2"/>
          <w:sz w:val="28"/>
          <w:szCs w:val="21"/>
          <w:highlight w:val="none"/>
          <w:lang w:val="en-US" w:eastAsia="zh-CN" w:bidi="ar-SA"/>
        </w:rPr>
        <w:t>I. Attestation d’identité du représentant légal (responsable de l’entité)</w:t>
      </w:r>
    </w:p>
    <w:p w14:paraId="7C866187">
      <w:pPr>
        <w:spacing w:line="440" w:lineRule="exact"/>
        <w:jc w:val="center"/>
        <w:rPr>
          <w:szCs w:val="22"/>
          <w:highlight w:val="none"/>
        </w:rPr>
      </w:pPr>
      <w:r>
        <w:rPr>
          <w:rFonts w:hint="eastAsia"/>
          <w:highlight w:val="none"/>
        </w:rPr>
        <w:t>（适用于无委托代理人的情况）</w:t>
      </w:r>
    </w:p>
    <w:p w14:paraId="367B11DD">
      <w:pPr>
        <w:spacing w:line="440" w:lineRule="exact"/>
        <w:jc w:val="center"/>
        <w:rPr>
          <w:szCs w:val="22"/>
          <w:highlight w:val="none"/>
        </w:rPr>
      </w:pPr>
      <w:r>
        <w:rPr>
          <w:rFonts w:hint="eastAsia" w:ascii="Times New Roman" w:hAnsi="Times New Roman" w:cs="Times New Roman"/>
          <w:highlight w:val="none"/>
        </w:rPr>
        <w:t>(Applicable en l’absence de mandataire)</w:t>
      </w:r>
    </w:p>
    <w:p w14:paraId="7D8A7B78">
      <w:pPr>
        <w:spacing w:line="360" w:lineRule="auto"/>
        <w:ind w:firstLine="420" w:firstLineChars="200"/>
        <w:rPr>
          <w:rFonts w:hint="eastAsia" w:ascii="宋体" w:hAnsi="宋体" w:cs="宋体"/>
          <w:szCs w:val="21"/>
          <w:highlight w:val="none"/>
        </w:rPr>
      </w:pPr>
    </w:p>
    <w:p w14:paraId="27E4C0C4">
      <w:pPr>
        <w:adjustRightInd w:val="0"/>
        <w:snapToGrid w:val="0"/>
        <w:spacing w:line="360" w:lineRule="auto"/>
        <w:ind w:firstLine="420" w:firstLineChars="200"/>
        <w:rPr>
          <w:rFonts w:hint="eastAsia" w:ascii="宋体" w:hAnsi="宋体" w:cs="宋体"/>
          <w:szCs w:val="21"/>
          <w:highlight w:val="none"/>
        </w:rPr>
      </w:pPr>
      <w:r>
        <w:rPr>
          <w:rFonts w:hint="eastAsia" w:ascii="宋体" w:hAnsi="宋体" w:eastAsia="宋体" w:cs="宋体"/>
          <w:szCs w:val="21"/>
          <w:highlight w:val="none"/>
          <w:lang w:eastAsia="zh-CN"/>
        </w:rPr>
        <w:t>响应</w:t>
      </w:r>
      <w:r>
        <w:rPr>
          <w:rFonts w:hint="eastAsia" w:ascii="宋体" w:hAnsi="宋体" w:cs="宋体"/>
          <w:szCs w:val="21"/>
          <w:highlight w:val="none"/>
        </w:rPr>
        <w:t>人名称：</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p>
    <w:p w14:paraId="6FFF5C7A">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eastAsia="宋体" w:cs="Times New Roman"/>
          <w:szCs w:val="21"/>
          <w:highlight w:val="none"/>
          <w:lang w:eastAsia="zh-CN"/>
        </w:rPr>
        <w:t>Nom du soumissionnaire :</w:t>
      </w:r>
    </w:p>
    <w:p w14:paraId="2C00EDF1">
      <w:pPr>
        <w:keepNext w:val="0"/>
        <w:keepLines w:val="0"/>
        <w:pageBreakBefore w:val="0"/>
        <w:widowControl w:val="0"/>
        <w:kinsoku/>
        <w:wordWrap/>
        <w:overflowPunct w:val="0"/>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eastAsia" w:ascii="宋体" w:hAnsi="宋体" w:cs="宋体"/>
          <w:szCs w:val="21"/>
          <w:highlight w:val="none"/>
          <w:u w:val="single"/>
          <w:lang w:val="en-US" w:eastAsia="zh-CN"/>
        </w:rPr>
      </w:pPr>
      <w:r>
        <w:rPr>
          <w:rFonts w:hint="eastAsia" w:ascii="宋体" w:hAnsi="宋体" w:cs="宋体"/>
          <w:szCs w:val="21"/>
          <w:highlight w:val="none"/>
        </w:rPr>
        <w:t>姓名：</w:t>
      </w:r>
      <w:r>
        <w:rPr>
          <w:rFonts w:hint="eastAsia" w:ascii="宋体" w:hAnsi="宋体" w:cs="宋体"/>
          <w:szCs w:val="21"/>
          <w:highlight w:val="none"/>
          <w:u w:val="single"/>
        </w:rPr>
        <w:t xml:space="preserve">          </w:t>
      </w:r>
      <w:r>
        <w:rPr>
          <w:rFonts w:hint="eastAsia" w:ascii="宋体" w:hAnsi="宋体" w:cs="宋体"/>
          <w:szCs w:val="21"/>
          <w:highlight w:val="none"/>
        </w:rPr>
        <w:t>性别：</w:t>
      </w:r>
      <w:r>
        <w:rPr>
          <w:rFonts w:hint="eastAsia" w:ascii="宋体" w:hAnsi="宋体" w:cs="宋体"/>
          <w:szCs w:val="21"/>
          <w:highlight w:val="none"/>
          <w:u w:val="single"/>
        </w:rPr>
        <w:t xml:space="preserve">        </w:t>
      </w:r>
      <w:r>
        <w:rPr>
          <w:rFonts w:hint="eastAsia" w:ascii="宋体" w:hAnsi="宋体" w:cs="宋体"/>
          <w:szCs w:val="21"/>
          <w:highlight w:val="none"/>
        </w:rPr>
        <w:t>年龄：</w:t>
      </w:r>
      <w:r>
        <w:rPr>
          <w:rFonts w:hint="eastAsia" w:ascii="宋体" w:hAnsi="宋体" w:cs="宋体"/>
          <w:szCs w:val="21"/>
          <w:highlight w:val="none"/>
          <w:u w:val="single"/>
        </w:rPr>
        <w:t xml:space="preserve">        </w:t>
      </w:r>
      <w:r>
        <w:rPr>
          <w:rFonts w:hint="eastAsia" w:ascii="宋体" w:hAnsi="宋体" w:cs="宋体"/>
          <w:szCs w:val="21"/>
          <w:highlight w:val="none"/>
        </w:rPr>
        <w:t>职务</w:t>
      </w:r>
      <w:r>
        <w:rPr>
          <w:rFonts w:hint="eastAsia" w:ascii="宋体" w:hAnsi="宋体" w:cs="宋体"/>
          <w:szCs w:val="21"/>
          <w:highlight w:val="none"/>
          <w:lang w:eastAsia="zh-CN"/>
        </w:rPr>
        <w:t>：</w:t>
      </w:r>
      <w:r>
        <w:rPr>
          <w:rFonts w:hint="eastAsia" w:ascii="宋体" w:hAnsi="宋体" w:cs="宋体"/>
          <w:szCs w:val="21"/>
          <w:highlight w:val="none"/>
          <w:u w:val="single"/>
          <w:lang w:val="en-US" w:eastAsia="zh-CN"/>
        </w:rPr>
        <w:t xml:space="preserve">         </w:t>
      </w:r>
      <w:r>
        <w:rPr>
          <w:rFonts w:hint="eastAsia" w:ascii="宋体" w:hAnsi="宋体" w:cs="宋体"/>
          <w:szCs w:val="21"/>
          <w:highlight w:val="none"/>
          <w:lang w:val="en-US" w:eastAsia="zh-CN"/>
        </w:rPr>
        <w:t>联系电话：</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p>
    <w:p w14:paraId="17658476">
      <w:pPr>
        <w:keepLines w:val="0"/>
        <w:widowControl w:val="0"/>
        <w:kinsoku/>
        <w:wordWrap/>
        <w:overflowPunct w:val="0"/>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eastAsia" w:ascii="宋体" w:hAnsi="宋体" w:cs="宋体"/>
          <w:szCs w:val="21"/>
          <w:highlight w:val="none"/>
          <w:u w:val="single"/>
          <w:lang w:val="en-US" w:eastAsia="zh-CN"/>
        </w:rPr>
      </w:pPr>
      <w:r>
        <w:rPr>
          <w:rFonts w:hint="eastAsia" w:ascii="Times New Roman" w:hAnsi="Times New Roman" w:cs="Times New Roman"/>
          <w:szCs w:val="21"/>
          <w:highlight w:val="none"/>
        </w:rPr>
        <w:t>Nom : __________  Sexe : ______  Âge : ______  Fonction : ______  Téléphone : __________</w:t>
      </w:r>
    </w:p>
    <w:p w14:paraId="3E2E7214">
      <w:pPr>
        <w:keepNext w:val="0"/>
        <w:keepLines w:val="0"/>
        <w:pageBreakBefore w:val="0"/>
        <w:widowControl w:val="0"/>
        <w:kinsoku/>
        <w:wordWrap/>
        <w:overflowPunct w:val="0"/>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eastAsia" w:ascii="宋体" w:hAnsi="宋体" w:cs="宋体"/>
          <w:szCs w:val="21"/>
          <w:highlight w:val="none"/>
        </w:rPr>
      </w:pPr>
      <w:r>
        <w:rPr>
          <w:rFonts w:hint="eastAsia" w:ascii="宋体" w:hAnsi="宋体" w:cs="宋体"/>
          <w:szCs w:val="21"/>
          <w:highlight w:val="none"/>
        </w:rPr>
        <w:t>系</w:t>
      </w:r>
      <w:r>
        <w:rPr>
          <w:rFonts w:hint="eastAsia" w:ascii="宋体" w:hAnsi="宋体" w:cs="宋体"/>
          <w:szCs w:val="21"/>
          <w:highlight w:val="none"/>
          <w:u w:val="single"/>
        </w:rPr>
        <w:t xml:space="preserve">                       </w:t>
      </w:r>
      <w:r>
        <w:rPr>
          <w:rFonts w:hint="eastAsia" w:ascii="宋体" w:hAnsi="宋体" w:cs="宋体"/>
          <w:szCs w:val="21"/>
          <w:highlight w:val="none"/>
        </w:rPr>
        <w:t>（</w:t>
      </w:r>
      <w:r>
        <w:rPr>
          <w:rFonts w:hint="eastAsia" w:ascii="宋体" w:hAnsi="宋体" w:eastAsia="宋体" w:cs="宋体"/>
          <w:szCs w:val="21"/>
          <w:highlight w:val="none"/>
          <w:lang w:eastAsia="zh-CN"/>
        </w:rPr>
        <w:t>响应</w:t>
      </w:r>
      <w:r>
        <w:rPr>
          <w:rFonts w:hint="eastAsia" w:ascii="宋体" w:hAnsi="宋体" w:cs="宋体"/>
          <w:szCs w:val="21"/>
          <w:highlight w:val="none"/>
        </w:rPr>
        <w:t>人名称）的法定代表人（单位负责人）。</w:t>
      </w:r>
    </w:p>
    <w:p w14:paraId="0CE83896">
      <w:pPr>
        <w:keepLines w:val="0"/>
        <w:widowControl w:val="0"/>
        <w:kinsoku/>
        <w:wordWrap/>
        <w:overflowPunct w:val="0"/>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eastAsia" w:ascii="宋体" w:hAnsi="宋体" w:cs="宋体"/>
          <w:szCs w:val="21"/>
          <w:highlight w:val="none"/>
        </w:rPr>
      </w:pPr>
      <w:r>
        <w:rPr>
          <w:rFonts w:hint="eastAsia" w:ascii="Times New Roman" w:hAnsi="Times New Roman" w:cs="Times New Roman"/>
          <w:szCs w:val="21"/>
          <w:highlight w:val="none"/>
        </w:rPr>
        <w:t>Est le représentant légal (responsable de l’entité) de ____________________ (nom du soumissionnaire).</w:t>
      </w:r>
    </w:p>
    <w:p w14:paraId="4EAC15B9">
      <w:pPr>
        <w:adjustRightInd w:val="0"/>
        <w:snapToGrid w:val="0"/>
        <w:spacing w:line="360" w:lineRule="auto"/>
        <w:ind w:firstLine="840" w:firstLineChars="400"/>
        <w:rPr>
          <w:rFonts w:hint="eastAsia" w:ascii="宋体" w:hAnsi="宋体" w:cs="宋体"/>
          <w:szCs w:val="21"/>
          <w:highlight w:val="none"/>
        </w:rPr>
      </w:pPr>
      <w:r>
        <w:rPr>
          <w:rFonts w:hint="eastAsia" w:ascii="宋体" w:hAnsi="宋体" w:cs="宋体"/>
          <w:szCs w:val="21"/>
          <w:highlight w:val="none"/>
        </w:rPr>
        <w:t>特此证明。</w:t>
      </w:r>
    </w:p>
    <w:p w14:paraId="712CD4B7">
      <w:pPr>
        <w:adjustRightInd w:val="0"/>
        <w:snapToGrid w:val="0"/>
        <w:spacing w:line="360" w:lineRule="auto"/>
        <w:ind w:firstLine="840" w:firstLineChars="400"/>
        <w:rPr>
          <w:rFonts w:hint="eastAsia" w:ascii="宋体" w:hAnsi="宋体" w:cs="宋体"/>
          <w:szCs w:val="21"/>
          <w:highlight w:val="none"/>
        </w:rPr>
      </w:pPr>
      <w:r>
        <w:rPr>
          <w:rFonts w:hint="eastAsia" w:ascii="Times New Roman" w:hAnsi="Times New Roman" w:cs="Times New Roman"/>
          <w:szCs w:val="21"/>
          <w:highlight w:val="none"/>
        </w:rPr>
        <w:t>La présente attestation est établie à cet effet.</w:t>
      </w:r>
    </w:p>
    <w:p w14:paraId="4930F15C">
      <w:pPr>
        <w:spacing w:line="360" w:lineRule="auto"/>
        <w:ind w:firstLine="420" w:firstLineChars="200"/>
        <w:rPr>
          <w:rFonts w:hint="eastAsia"/>
          <w:highlight w:val="none"/>
        </w:rPr>
      </w:pPr>
    </w:p>
    <w:p w14:paraId="792FEA08">
      <w:pPr>
        <w:spacing w:line="360" w:lineRule="auto"/>
        <w:ind w:firstLine="420" w:firstLineChars="200"/>
        <w:rPr>
          <w:rFonts w:hint="eastAsia"/>
          <w:highlight w:val="none"/>
        </w:rPr>
      </w:pPr>
    </w:p>
    <w:p w14:paraId="196EEABB">
      <w:pPr>
        <w:spacing w:line="360" w:lineRule="auto"/>
        <w:ind w:firstLine="420" w:firstLineChars="200"/>
        <w:rPr>
          <w:highlight w:val="none"/>
        </w:rPr>
      </w:pPr>
      <w:r>
        <w:rPr>
          <w:rFonts w:hint="eastAsia"/>
          <w:highlight w:val="none"/>
        </w:rPr>
        <w:t>附：法定代表人（单位负责人）身份证或护照等有效身份证明文件复印件。</w:t>
      </w:r>
    </w:p>
    <w:p w14:paraId="15ED6FCA">
      <w:pPr>
        <w:spacing w:line="360" w:lineRule="auto"/>
        <w:ind w:firstLine="420" w:firstLineChars="200"/>
        <w:rPr>
          <w:highlight w:val="none"/>
        </w:rPr>
      </w:pPr>
      <w:r>
        <w:rPr>
          <w:rFonts w:hint="eastAsia" w:ascii="Times New Roman" w:hAnsi="Times New Roman" w:cs="Times New Roman"/>
          <w:highlight w:val="none"/>
        </w:rPr>
        <w:t>Pièce jointe : copie de la carte d’identité, du passeport ou de tout autre document d’identité valide du représentant légal (responsable de l’entité).</w:t>
      </w:r>
    </w:p>
    <w:p w14:paraId="2AD760F3">
      <w:pPr>
        <w:adjustRightInd w:val="0"/>
        <w:snapToGrid w:val="0"/>
        <w:spacing w:line="360" w:lineRule="auto"/>
        <w:ind w:firstLine="420" w:firstLineChars="200"/>
        <w:rPr>
          <w:rFonts w:hint="eastAsia" w:ascii="宋体" w:hAnsi="宋体" w:cs="宋体"/>
          <w:szCs w:val="21"/>
          <w:highlight w:val="none"/>
        </w:rPr>
      </w:pPr>
      <w:r>
        <w:rPr>
          <w:rFonts w:hint="eastAsia"/>
          <w:highlight w:val="none"/>
        </w:rPr>
        <w:t>注：本身份证明需由</w:t>
      </w:r>
      <w:r>
        <w:rPr>
          <w:rFonts w:hint="eastAsia"/>
          <w:highlight w:val="none"/>
          <w:lang w:val="en-US" w:eastAsia="zh-CN"/>
        </w:rPr>
        <w:t>响应</w:t>
      </w:r>
      <w:r>
        <w:rPr>
          <w:rFonts w:hint="eastAsia"/>
          <w:highlight w:val="none"/>
        </w:rPr>
        <w:t>人加盖单位公章。</w:t>
      </w:r>
    </w:p>
    <w:p w14:paraId="5F2457B1">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highlight w:val="none"/>
        </w:rPr>
        <w:t>Note : la présente attestation doit porter le cachet officiel du soumissionnaire.</w:t>
      </w:r>
    </w:p>
    <w:p w14:paraId="59498BA0">
      <w:pPr>
        <w:adjustRightInd w:val="0"/>
        <w:snapToGrid w:val="0"/>
        <w:spacing w:line="360" w:lineRule="auto"/>
        <w:ind w:firstLine="420" w:firstLineChars="200"/>
        <w:rPr>
          <w:rFonts w:hint="eastAsia" w:ascii="宋体" w:hAnsi="宋体" w:cs="宋体"/>
          <w:szCs w:val="21"/>
          <w:highlight w:val="none"/>
        </w:rPr>
      </w:pPr>
    </w:p>
    <w:p w14:paraId="3CFD25C9">
      <w:pPr>
        <w:adjustRightInd w:val="0"/>
        <w:snapToGrid w:val="0"/>
        <w:spacing w:line="360" w:lineRule="auto"/>
        <w:ind w:firstLine="420" w:firstLineChars="200"/>
        <w:rPr>
          <w:rFonts w:hint="eastAsia" w:ascii="宋体" w:hAnsi="宋体" w:cs="宋体"/>
          <w:szCs w:val="21"/>
          <w:highlight w:val="none"/>
        </w:rPr>
      </w:pPr>
    </w:p>
    <w:p w14:paraId="0E15BEDB">
      <w:pPr>
        <w:adjustRightInd w:val="0"/>
        <w:snapToGrid w:val="0"/>
        <w:spacing w:line="360" w:lineRule="auto"/>
        <w:ind w:firstLine="4200" w:firstLineChars="2000"/>
        <w:rPr>
          <w:rFonts w:hint="eastAsia" w:ascii="宋体" w:hAnsi="宋体" w:cs="宋体"/>
          <w:szCs w:val="21"/>
          <w:highlight w:val="none"/>
        </w:rPr>
      </w:pPr>
      <w:r>
        <w:rPr>
          <w:rFonts w:hint="eastAsia" w:ascii="宋体" w:hAnsi="宋体" w:eastAsia="宋体" w:cs="宋体"/>
          <w:szCs w:val="21"/>
          <w:highlight w:val="none"/>
          <w:lang w:eastAsia="zh-CN"/>
        </w:rPr>
        <w:t>响应</w:t>
      </w:r>
      <w:r>
        <w:rPr>
          <w:rFonts w:hint="eastAsia" w:ascii="宋体" w:hAnsi="宋体" w:cs="宋体"/>
          <w:szCs w:val="21"/>
          <w:highlight w:val="none"/>
        </w:rPr>
        <w:t>人：</w:t>
      </w:r>
      <w:r>
        <w:rPr>
          <w:rFonts w:hint="eastAsia" w:ascii="宋体" w:hAnsi="宋体" w:cs="宋体"/>
          <w:szCs w:val="21"/>
          <w:highlight w:val="none"/>
          <w:u w:val="single"/>
        </w:rPr>
        <w:t xml:space="preserve">                      </w:t>
      </w:r>
      <w:r>
        <w:rPr>
          <w:rFonts w:hint="eastAsia" w:ascii="宋体" w:hAnsi="宋体" w:cs="宋体"/>
          <w:szCs w:val="21"/>
          <w:highlight w:val="none"/>
        </w:rPr>
        <w:t>（盖单位章）</w:t>
      </w:r>
    </w:p>
    <w:p w14:paraId="6F193426">
      <w:pPr>
        <w:adjustRightInd w:val="0"/>
        <w:snapToGrid w:val="0"/>
        <w:spacing w:line="360" w:lineRule="auto"/>
        <w:ind w:firstLine="4200" w:firstLineChars="2000"/>
        <w:rPr>
          <w:rFonts w:hint="eastAsia" w:ascii="宋体" w:hAnsi="宋体" w:cs="宋体"/>
          <w:szCs w:val="21"/>
          <w:highlight w:val="none"/>
        </w:rPr>
      </w:pPr>
      <w:r>
        <w:rPr>
          <w:rFonts w:hint="eastAsia" w:ascii="Times New Roman" w:hAnsi="Times New Roman" w:eastAsia="宋体" w:cs="Times New Roman"/>
          <w:szCs w:val="21"/>
          <w:highlight w:val="none"/>
          <w:lang w:eastAsia="zh-CN"/>
        </w:rPr>
        <w:t>Soumissionnaire : ____________________ (cachet de l’entreprise)</w:t>
      </w:r>
    </w:p>
    <w:p w14:paraId="4D50D7BB">
      <w:pPr>
        <w:adjustRightInd w:val="0"/>
        <w:snapToGrid w:val="0"/>
        <w:spacing w:line="360" w:lineRule="auto"/>
        <w:ind w:firstLine="4515" w:firstLineChars="2150"/>
        <w:rPr>
          <w:rFonts w:hint="eastAsia" w:ascii="宋体" w:hAnsi="宋体" w:cs="宋体"/>
          <w:szCs w:val="21"/>
          <w:highlight w:val="none"/>
          <w:u w:val="single"/>
        </w:rPr>
      </w:pPr>
    </w:p>
    <w:p w14:paraId="4DB20F80">
      <w:pPr>
        <w:adjustRightInd w:val="0"/>
        <w:snapToGrid w:val="0"/>
        <w:spacing w:line="360" w:lineRule="auto"/>
        <w:ind w:firstLine="4935" w:firstLineChars="2350"/>
        <w:rPr>
          <w:rFonts w:hint="eastAsia" w:ascii="宋体" w:hAnsi="宋体" w:cs="宋体"/>
          <w:szCs w:val="21"/>
          <w:highlight w:val="none"/>
        </w:rPr>
      </w:pP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038ADAC6">
      <w:pPr>
        <w:adjustRightInd w:val="0"/>
        <w:snapToGrid w:val="0"/>
        <w:spacing w:line="360" w:lineRule="auto"/>
        <w:ind w:firstLine="4935" w:firstLineChars="2350"/>
        <w:rPr>
          <w:rFonts w:hint="eastAsia" w:ascii="Times New Roman" w:hAnsi="Times New Roman" w:cs="Times New Roman"/>
          <w:szCs w:val="21"/>
          <w:highlight w:val="none"/>
        </w:rPr>
      </w:pPr>
      <w:r>
        <w:rPr>
          <w:rFonts w:hint="eastAsia" w:ascii="Times New Roman" w:hAnsi="Times New Roman" w:cs="Times New Roman"/>
          <w:szCs w:val="21"/>
          <w:highlight w:val="none"/>
        </w:rPr>
        <w:t>____ / ____ / ______</w:t>
      </w:r>
    </w:p>
    <w:p w14:paraId="3587F037">
      <w:pPr>
        <w:pStyle w:val="11"/>
        <w:rPr>
          <w:rFonts w:hint="eastAsia" w:ascii="Times New Roman" w:hAnsi="Times New Roman" w:cs="Times New Roman"/>
          <w:szCs w:val="21"/>
          <w:highlight w:val="none"/>
        </w:rPr>
      </w:pPr>
    </w:p>
    <w:p w14:paraId="6FC00918">
      <w:pPr>
        <w:rPr>
          <w:rFonts w:hint="eastAsia" w:ascii="Times New Roman" w:hAnsi="Times New Roman" w:cs="Times New Roman"/>
          <w:szCs w:val="21"/>
          <w:highlight w:val="none"/>
        </w:rPr>
      </w:pPr>
    </w:p>
    <w:p w14:paraId="57B239ED">
      <w:pPr>
        <w:pStyle w:val="11"/>
        <w:rPr>
          <w:rFonts w:hint="eastAsia" w:ascii="Times New Roman" w:hAnsi="Times New Roman" w:cs="Times New Roman"/>
          <w:szCs w:val="21"/>
          <w:highlight w:val="none"/>
        </w:rPr>
      </w:pPr>
    </w:p>
    <w:p w14:paraId="448B5B6C">
      <w:pPr>
        <w:rPr>
          <w:rFonts w:hint="eastAsia" w:ascii="Times New Roman" w:hAnsi="Times New Roman" w:cs="Times New Roman"/>
          <w:szCs w:val="21"/>
          <w:highlight w:val="none"/>
        </w:rPr>
      </w:pPr>
    </w:p>
    <w:p w14:paraId="31B11ED3">
      <w:pPr>
        <w:pStyle w:val="11"/>
        <w:rPr>
          <w:rFonts w:hint="eastAsia"/>
        </w:rPr>
      </w:pPr>
    </w:p>
    <w:p w14:paraId="64BCB682">
      <w:pPr>
        <w:adjustRightInd w:val="0"/>
        <w:snapToGrid w:val="0"/>
        <w:spacing w:line="360" w:lineRule="auto"/>
        <w:ind w:firstLine="420" w:firstLineChars="200"/>
        <w:rPr>
          <w:rFonts w:hint="eastAsia" w:ascii="宋体" w:hAnsi="宋体" w:cs="宋体"/>
          <w:szCs w:val="21"/>
          <w:highlight w:val="none"/>
        </w:rPr>
      </w:pPr>
    </w:p>
    <w:tbl>
      <w:tblPr>
        <w:tblStyle w:val="33"/>
        <w:tblpPr w:leftFromText="180" w:rightFromText="180" w:vertAnchor="text" w:horzAnchor="page" w:tblpXSpec="center" w:tblpY="42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1"/>
      </w:tblGrid>
      <w:tr w14:paraId="2989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248" w:hRule="atLeast"/>
          <w:jc w:val="center"/>
        </w:trPr>
        <w:tc>
          <w:tcPr>
            <w:tcW w:w="9571" w:type="dxa"/>
            <w:tcBorders>
              <w:top w:val="single" w:color="auto" w:sz="4" w:space="0"/>
              <w:left w:val="single" w:color="auto" w:sz="4" w:space="0"/>
              <w:bottom w:val="single" w:color="auto" w:sz="4" w:space="0"/>
              <w:right w:val="single" w:color="auto" w:sz="4" w:space="0"/>
            </w:tcBorders>
            <w:noWrap w:val="0"/>
            <w:vAlign w:val="center"/>
          </w:tcPr>
          <w:p w14:paraId="08232EF7">
            <w:pPr>
              <w:adjustRightInd w:val="0"/>
              <w:snapToGrid w:val="0"/>
              <w:spacing w:line="360" w:lineRule="auto"/>
              <w:jc w:val="center"/>
              <w:rPr>
                <w:rFonts w:ascii="Calibri" w:hAnsi="Calibri"/>
                <w:szCs w:val="21"/>
                <w:highlight w:val="none"/>
              </w:rPr>
            </w:pPr>
            <w:r>
              <w:rPr>
                <w:rFonts w:hint="eastAsia"/>
                <w:szCs w:val="21"/>
                <w:highlight w:val="none"/>
              </w:rPr>
              <w:t>法定代表人身份证或护照等有效身份证明文件扫描件粘贴处</w:t>
            </w:r>
          </w:p>
          <w:p w14:paraId="7F8098D2">
            <w:pPr>
              <w:adjustRightInd w:val="0"/>
              <w:snapToGrid w:val="0"/>
              <w:spacing w:line="360" w:lineRule="auto"/>
              <w:jc w:val="center"/>
              <w:rPr>
                <w:rFonts w:ascii="Calibri" w:hAnsi="Calibri"/>
                <w:szCs w:val="21"/>
                <w:highlight w:val="none"/>
              </w:rPr>
            </w:pPr>
            <w:r>
              <w:rPr>
                <w:rFonts w:hint="eastAsia" w:ascii="Times New Roman" w:hAnsi="Times New Roman" w:cs="Times New Roman"/>
                <w:szCs w:val="21"/>
                <w:highlight w:val="none"/>
              </w:rPr>
              <w:t>Emplacement réservé au scan de la carte d’identité, du passeport ou de tout autre document d’identité valide du représentant légal</w:t>
            </w:r>
          </w:p>
        </w:tc>
      </w:tr>
    </w:tbl>
    <w:p w14:paraId="273435A4">
      <w:pPr>
        <w:pStyle w:val="164"/>
        <w:rPr>
          <w:rFonts w:hint="eastAsia"/>
          <w:highlight w:val="none"/>
        </w:rPr>
        <w:sectPr>
          <w:pgSz w:w="11906" w:h="16838"/>
          <w:pgMar w:top="1417" w:right="1134" w:bottom="1134" w:left="1417" w:header="851" w:footer="850" w:gutter="0"/>
          <w:pgBorders>
            <w:top w:val="none" w:sz="0" w:space="0"/>
            <w:left w:val="none" w:sz="0" w:space="0"/>
            <w:bottom w:val="none" w:sz="0" w:space="0"/>
            <w:right w:val="none" w:sz="0" w:space="0"/>
          </w:pgBorders>
          <w:pgNumType w:fmt="decimal"/>
          <w:cols w:space="720" w:num="1"/>
          <w:titlePg/>
          <w:rtlGutter w:val="0"/>
          <w:docGrid w:linePitch="312" w:charSpace="0"/>
        </w:sectPr>
      </w:pPr>
    </w:p>
    <w:p w14:paraId="1B83671E">
      <w:pPr>
        <w:spacing w:before="0" w:after="0" w:line="360" w:lineRule="auto"/>
        <w:jc w:val="center"/>
        <w:outlineLvl w:val="1"/>
        <w:rPr>
          <w:rFonts w:hint="eastAsia" w:ascii="宋体" w:hAnsi="宋体" w:eastAsia="宋体" w:cs="宋体"/>
          <w:b/>
          <w:bCs w:val="0"/>
          <w:kern w:val="2"/>
          <w:sz w:val="28"/>
          <w:szCs w:val="21"/>
          <w:highlight w:val="none"/>
          <w:lang w:val="en-US" w:eastAsia="zh-CN" w:bidi="ar-SA"/>
        </w:rPr>
      </w:pPr>
      <w:bookmarkStart w:id="76" w:name="_Toc105679037"/>
      <w:bookmarkStart w:id="77" w:name="_Toc107567207"/>
      <w:bookmarkStart w:id="78" w:name="_Toc14998"/>
      <w:bookmarkStart w:id="79" w:name="_Toc6561271"/>
      <w:bookmarkStart w:id="80" w:name="_Toc2537"/>
      <w:r>
        <w:rPr>
          <w:rFonts w:hint="eastAsia" w:ascii="宋体" w:hAnsi="宋体" w:eastAsia="宋体" w:cs="宋体"/>
          <w:b/>
          <w:bCs w:val="0"/>
          <w:kern w:val="2"/>
          <w:sz w:val="28"/>
          <w:szCs w:val="21"/>
          <w:highlight w:val="none"/>
          <w:lang w:val="en-US" w:eastAsia="zh-CN" w:bidi="ar-SA"/>
        </w:rPr>
        <w:t>二、授权委托书</w:t>
      </w:r>
      <w:bookmarkEnd w:id="76"/>
      <w:bookmarkEnd w:id="77"/>
      <w:bookmarkEnd w:id="78"/>
      <w:bookmarkEnd w:id="79"/>
      <w:bookmarkEnd w:id="80"/>
    </w:p>
    <w:p w14:paraId="192A0B8B">
      <w:pPr>
        <w:spacing w:before="0" w:after="0" w:line="360" w:lineRule="auto"/>
        <w:jc w:val="center"/>
        <w:outlineLvl w:val="1"/>
        <w:rPr>
          <w:rFonts w:hint="eastAsia" w:ascii="宋体" w:hAnsi="宋体" w:eastAsia="宋体" w:cs="宋体"/>
          <w:b/>
          <w:bCs w:val="0"/>
          <w:kern w:val="2"/>
          <w:sz w:val="28"/>
          <w:szCs w:val="21"/>
          <w:highlight w:val="none"/>
          <w:lang w:val="en-US" w:eastAsia="zh-CN" w:bidi="ar-SA"/>
        </w:rPr>
      </w:pPr>
      <w:r>
        <w:rPr>
          <w:rFonts w:hint="eastAsia" w:ascii="Times New Roman" w:hAnsi="Times New Roman" w:eastAsia="宋体" w:cs="Times New Roman"/>
          <w:b/>
          <w:bCs w:val="0"/>
          <w:kern w:val="2"/>
          <w:sz w:val="28"/>
          <w:szCs w:val="21"/>
          <w:highlight w:val="none"/>
          <w:lang w:val="en-US" w:eastAsia="zh-CN" w:bidi="ar-SA"/>
        </w:rPr>
        <w:t>II. Procuration</w:t>
      </w:r>
    </w:p>
    <w:p w14:paraId="6B93941E">
      <w:pPr>
        <w:spacing w:line="360" w:lineRule="auto"/>
        <w:rPr>
          <w:rFonts w:ascii="Calibri" w:hAnsi="Calibri"/>
          <w:szCs w:val="22"/>
          <w:highlight w:val="none"/>
        </w:rPr>
      </w:pPr>
    </w:p>
    <w:p w14:paraId="646DF77C">
      <w:pPr>
        <w:tabs>
          <w:tab w:val="left" w:pos="630"/>
        </w:tabs>
        <w:spacing w:line="360" w:lineRule="auto"/>
        <w:jc w:val="center"/>
        <w:rPr>
          <w:sz w:val="24"/>
          <w:highlight w:val="none"/>
        </w:rPr>
      </w:pPr>
      <w:r>
        <w:rPr>
          <w:rFonts w:hint="eastAsia"/>
          <w:sz w:val="24"/>
          <w:highlight w:val="none"/>
          <w:lang w:val="en-US" w:eastAsia="zh-CN"/>
        </w:rPr>
        <w:t>响应</w:t>
      </w:r>
      <w:r>
        <w:rPr>
          <w:rFonts w:hint="eastAsia"/>
          <w:sz w:val="24"/>
          <w:highlight w:val="none"/>
        </w:rPr>
        <w:t>人法定代表人授权书（格式）</w:t>
      </w:r>
    </w:p>
    <w:p w14:paraId="1D869B16">
      <w:pPr>
        <w:tabs>
          <w:tab w:val="left" w:pos="630"/>
        </w:tabs>
        <w:spacing w:line="360" w:lineRule="auto"/>
        <w:jc w:val="center"/>
        <w:rPr>
          <w:sz w:val="24"/>
          <w:highlight w:val="none"/>
        </w:rPr>
      </w:pPr>
      <w:r>
        <w:rPr>
          <w:rFonts w:hint="eastAsia" w:ascii="Times New Roman" w:hAnsi="Times New Roman" w:cs="Times New Roman"/>
          <w:sz w:val="24"/>
          <w:highlight w:val="none"/>
          <w:lang w:val="en-US" w:eastAsia="zh-CN"/>
        </w:rPr>
        <w:t>Pouvoir du représentant légal du soumissionnaire (modèle)</w:t>
      </w:r>
    </w:p>
    <w:p w14:paraId="447B1A3D">
      <w:pPr>
        <w:tabs>
          <w:tab w:val="left" w:pos="630"/>
          <w:tab w:val="left" w:pos="7350"/>
        </w:tabs>
        <w:spacing w:line="360" w:lineRule="auto"/>
        <w:jc w:val="center"/>
        <w:rPr>
          <w:highlight w:val="none"/>
        </w:rPr>
      </w:pPr>
      <w:r>
        <w:rPr>
          <w:rFonts w:hint="eastAsia"/>
          <w:highlight w:val="none"/>
        </w:rPr>
        <w:t>（适用于有委托代理人的情况）</w:t>
      </w:r>
    </w:p>
    <w:p w14:paraId="21296FF3">
      <w:pPr>
        <w:tabs>
          <w:tab w:val="left" w:pos="630"/>
          <w:tab w:val="left" w:pos="7350"/>
        </w:tabs>
        <w:spacing w:line="360" w:lineRule="auto"/>
        <w:jc w:val="center"/>
        <w:rPr>
          <w:highlight w:val="none"/>
        </w:rPr>
      </w:pPr>
      <w:r>
        <w:rPr>
          <w:rFonts w:hint="eastAsia" w:ascii="Times New Roman" w:hAnsi="Times New Roman" w:cs="Times New Roman"/>
          <w:highlight w:val="none"/>
        </w:rPr>
        <w:t>(Applicable en cas de mandataire)</w:t>
      </w:r>
    </w:p>
    <w:p w14:paraId="215C66A0">
      <w:pPr>
        <w:tabs>
          <w:tab w:val="left" w:pos="630"/>
          <w:tab w:val="left" w:pos="7350"/>
        </w:tabs>
        <w:spacing w:line="360" w:lineRule="auto"/>
        <w:rPr>
          <w:highlight w:val="none"/>
          <w:u w:val="single"/>
        </w:rPr>
      </w:pPr>
      <w:r>
        <w:rPr>
          <w:rFonts w:hint="eastAsia"/>
          <w:highlight w:val="none"/>
        </w:rPr>
        <w:t>项目名称：</w:t>
      </w:r>
      <w:r>
        <w:rPr>
          <w:highlight w:val="none"/>
          <w:u w:val="single"/>
        </w:rPr>
        <w:t xml:space="preserve">                             </w:t>
      </w:r>
    </w:p>
    <w:p w14:paraId="6F622826">
      <w:pPr>
        <w:tabs>
          <w:tab w:val="left" w:pos="630"/>
          <w:tab w:val="left" w:pos="7350"/>
        </w:tabs>
        <w:spacing w:line="360" w:lineRule="auto"/>
        <w:rPr>
          <w:highlight w:val="none"/>
          <w:u w:val="single"/>
        </w:rPr>
      </w:pPr>
      <w:r>
        <w:rPr>
          <w:rFonts w:hint="eastAsia" w:ascii="Times New Roman" w:hAnsi="Times New Roman" w:cs="Times New Roman"/>
          <w:highlight w:val="none"/>
        </w:rPr>
        <w:t>Nom du projet :</w:t>
      </w:r>
    </w:p>
    <w:p w14:paraId="79419611">
      <w:pPr>
        <w:tabs>
          <w:tab w:val="left" w:pos="630"/>
          <w:tab w:val="left" w:pos="7920"/>
          <w:tab w:val="left" w:pos="8520"/>
        </w:tabs>
        <w:spacing w:line="360" w:lineRule="auto"/>
        <w:rPr>
          <w:highlight w:val="none"/>
          <w:u w:val="single"/>
        </w:rPr>
      </w:pPr>
      <w:r>
        <w:rPr>
          <w:rFonts w:hint="eastAsia"/>
          <w:highlight w:val="none"/>
        </w:rPr>
        <w:t>日</w:t>
      </w:r>
      <w:r>
        <w:rPr>
          <w:highlight w:val="none"/>
        </w:rPr>
        <w:t xml:space="preserve">    </w:t>
      </w:r>
      <w:r>
        <w:rPr>
          <w:rFonts w:hint="eastAsia"/>
          <w:highlight w:val="none"/>
        </w:rPr>
        <w:t>期：</w:t>
      </w:r>
      <w:r>
        <w:rPr>
          <w:highlight w:val="none"/>
          <w:u w:val="single"/>
        </w:rPr>
        <w:t xml:space="preserve">                             </w:t>
      </w:r>
    </w:p>
    <w:p w14:paraId="61EE930C">
      <w:pPr>
        <w:tabs>
          <w:tab w:val="left" w:pos="630"/>
          <w:tab w:val="left" w:pos="7920"/>
          <w:tab w:val="left" w:pos="8520"/>
        </w:tabs>
        <w:spacing w:line="360" w:lineRule="auto"/>
        <w:rPr>
          <w:highlight w:val="none"/>
          <w:u w:val="single"/>
        </w:rPr>
      </w:pPr>
      <w:r>
        <w:rPr>
          <w:rFonts w:hint="eastAsia" w:ascii="Times New Roman" w:hAnsi="Times New Roman" w:cs="Times New Roman"/>
          <w:highlight w:val="none"/>
        </w:rPr>
        <w:t>Date :</w:t>
      </w:r>
    </w:p>
    <w:p w14:paraId="0FBFA2E7">
      <w:pPr>
        <w:tabs>
          <w:tab w:val="left" w:pos="630"/>
          <w:tab w:val="left" w:pos="7920"/>
          <w:tab w:val="left" w:pos="8520"/>
        </w:tabs>
        <w:spacing w:line="360" w:lineRule="auto"/>
        <w:rPr>
          <w:highlight w:val="none"/>
          <w:u w:val="single"/>
        </w:rPr>
      </w:pPr>
    </w:p>
    <w:p w14:paraId="7E19957C">
      <w:pPr>
        <w:tabs>
          <w:tab w:val="left" w:pos="630"/>
        </w:tabs>
        <w:spacing w:line="360" w:lineRule="auto"/>
        <w:rPr>
          <w:highlight w:val="none"/>
        </w:rPr>
      </w:pPr>
      <w:r>
        <w:rPr>
          <w:rFonts w:hint="eastAsia" w:ascii="宋体" w:hAnsi="宋体" w:eastAsia="宋体"/>
          <w:highlight w:val="none"/>
        </w:rPr>
        <w:t xml:space="preserve">致：国家电投国际投资开发（几内亚）有限责任公司    </w:t>
      </w:r>
    </w:p>
    <w:p w14:paraId="0179C098">
      <w:pPr>
        <w:tabs>
          <w:tab w:val="left" w:pos="630"/>
        </w:tabs>
        <w:spacing w:line="360" w:lineRule="auto"/>
        <w:rPr>
          <w:highlight w:val="none"/>
        </w:rPr>
      </w:pPr>
      <w:r>
        <w:rPr>
          <w:rFonts w:hint="eastAsia" w:ascii="Times New Roman" w:hAnsi="Times New Roman" w:eastAsia="宋体" w:cs="Times New Roman"/>
          <w:highlight w:val="none"/>
        </w:rPr>
        <w:t>À : SPIC International Investment &amp; Development(Guinea) Co.,Ltd</w:t>
      </w:r>
    </w:p>
    <w:p w14:paraId="2B22E1E2">
      <w:pPr>
        <w:tabs>
          <w:tab w:val="left" w:pos="630"/>
        </w:tabs>
        <w:spacing w:line="360" w:lineRule="auto"/>
        <w:ind w:firstLine="420" w:firstLineChars="200"/>
        <w:rPr>
          <w:highlight w:val="none"/>
        </w:rPr>
      </w:pPr>
      <w:r>
        <w:rPr>
          <w:rFonts w:hint="eastAsia"/>
          <w:highlight w:val="none"/>
          <w:u w:val="single"/>
        </w:rPr>
        <w:t>（</w:t>
      </w:r>
      <w:r>
        <w:rPr>
          <w:rFonts w:hint="eastAsia"/>
          <w:highlight w:val="none"/>
          <w:u w:val="single"/>
          <w:lang w:val="en-US" w:eastAsia="zh-CN"/>
        </w:rPr>
        <w:t>响应</w:t>
      </w:r>
      <w:r>
        <w:rPr>
          <w:rFonts w:hint="eastAsia"/>
          <w:highlight w:val="none"/>
          <w:u w:val="single"/>
        </w:rPr>
        <w:t>人名称）</w:t>
      </w:r>
      <w:r>
        <w:rPr>
          <w:highlight w:val="none"/>
          <w:u w:val="single"/>
        </w:rPr>
        <w:t xml:space="preserve"> </w:t>
      </w:r>
      <w:r>
        <w:rPr>
          <w:rFonts w:hint="eastAsia"/>
          <w:highlight w:val="none"/>
        </w:rPr>
        <w:t>，</w:t>
      </w:r>
      <w:r>
        <w:rPr>
          <w:rFonts w:hint="eastAsia"/>
          <w:highlight w:val="none"/>
          <w:lang w:val="en-US" w:eastAsia="zh-CN"/>
        </w:rPr>
        <w:t>几内亚</w:t>
      </w:r>
      <w:r>
        <w:rPr>
          <w:rFonts w:hint="eastAsia"/>
          <w:highlight w:val="none"/>
        </w:rPr>
        <w:t>共和国合法企业，法定地址</w:t>
      </w:r>
      <w:r>
        <w:rPr>
          <w:highlight w:val="none"/>
          <w:u w:val="single"/>
        </w:rPr>
        <w:t xml:space="preserve">                        </w:t>
      </w:r>
      <w:r>
        <w:rPr>
          <w:rFonts w:hint="eastAsia"/>
          <w:highlight w:val="none"/>
        </w:rPr>
        <w:t>。</w:t>
      </w:r>
    </w:p>
    <w:p w14:paraId="489AEDFB">
      <w:pPr>
        <w:tabs>
          <w:tab w:val="left" w:pos="630"/>
        </w:tabs>
        <w:spacing w:line="360" w:lineRule="auto"/>
        <w:ind w:firstLine="420" w:firstLineChars="200"/>
        <w:rPr>
          <w:highlight w:val="none"/>
        </w:rPr>
      </w:pPr>
      <w:r>
        <w:rPr>
          <w:rFonts w:hint="eastAsia" w:ascii="Times New Roman" w:hAnsi="Times New Roman" w:cs="Times New Roman"/>
          <w:highlight w:val="none"/>
          <w:u w:val="single"/>
        </w:rPr>
        <w:t>(Nom du soumissionnaire), entreprise légalement constituée en République de Guinée, ayant son siège légal à ____________________.</w:t>
      </w:r>
    </w:p>
    <w:p w14:paraId="75949B1E">
      <w:pPr>
        <w:tabs>
          <w:tab w:val="left" w:pos="420"/>
        </w:tabs>
        <w:spacing w:line="360" w:lineRule="auto"/>
        <w:rPr>
          <w:highlight w:val="none"/>
        </w:rPr>
      </w:pPr>
      <w:r>
        <w:rPr>
          <w:highlight w:val="none"/>
        </w:rPr>
        <w:tab/>
      </w:r>
      <w:r>
        <w:rPr>
          <w:rFonts w:hint="eastAsia"/>
          <w:highlight w:val="none"/>
          <w:u w:val="single"/>
        </w:rPr>
        <w:t>（授权人姓名）</w:t>
      </w:r>
      <w:r>
        <w:rPr>
          <w:rFonts w:hint="eastAsia"/>
          <w:highlight w:val="none"/>
        </w:rPr>
        <w:t>特授权</w:t>
      </w:r>
      <w:r>
        <w:rPr>
          <w:rFonts w:hint="eastAsia"/>
          <w:highlight w:val="none"/>
          <w:u w:val="single"/>
        </w:rPr>
        <w:t>（被授权人姓名）</w:t>
      </w:r>
      <w:r>
        <w:rPr>
          <w:rFonts w:hint="eastAsia"/>
          <w:highlight w:val="none"/>
        </w:rPr>
        <w:t>代表我公司全权办理针对上述项目的报价、谈判、签约等具体工作，并签署全部有关的文件、协议及合同。</w:t>
      </w:r>
    </w:p>
    <w:p w14:paraId="30C97ADB">
      <w:pPr>
        <w:tabs>
          <w:tab w:val="left" w:pos="420"/>
        </w:tabs>
        <w:spacing w:line="360" w:lineRule="auto"/>
        <w:rPr>
          <w:highlight w:val="none"/>
        </w:rPr>
      </w:pPr>
      <w:r>
        <w:rPr>
          <w:rFonts w:hint="eastAsia" w:ascii="Times New Roman" w:hAnsi="Times New Roman" w:cs="Times New Roman"/>
          <w:highlight w:val="none"/>
          <w:u w:val="single"/>
        </w:rPr>
        <w:t>(Nom du mandant) autorise expressément (nom du mandataire) à représenter pleinement notre société pour toutes les démarches relatives au projet ci-dessus, notamment l’établissement de l’offre, les négociations et la signature du contrat, ainsi qu’à signer tous les documents, accords et contrats correspondants.</w:t>
      </w:r>
    </w:p>
    <w:p w14:paraId="7BBEB977">
      <w:pPr>
        <w:tabs>
          <w:tab w:val="left" w:pos="420"/>
        </w:tabs>
        <w:spacing w:line="360" w:lineRule="auto"/>
        <w:rPr>
          <w:highlight w:val="none"/>
        </w:rPr>
      </w:pPr>
      <w:r>
        <w:rPr>
          <w:highlight w:val="none"/>
        </w:rPr>
        <w:tab/>
      </w:r>
      <w:r>
        <w:rPr>
          <w:rFonts w:hint="eastAsia"/>
          <w:highlight w:val="none"/>
        </w:rPr>
        <w:t>我公司对被授权人的签名负全部责任。</w:t>
      </w:r>
    </w:p>
    <w:p w14:paraId="51660AB5">
      <w:pPr>
        <w:tabs>
          <w:tab w:val="left" w:pos="420"/>
        </w:tabs>
        <w:spacing w:line="360" w:lineRule="auto"/>
        <w:rPr>
          <w:highlight w:val="none"/>
        </w:rPr>
      </w:pPr>
      <w:r>
        <w:rPr>
          <w:rFonts w:hint="eastAsia" w:ascii="Times New Roman" w:hAnsi="Times New Roman" w:cs="Times New Roman"/>
          <w:highlight w:val="none"/>
        </w:rPr>
        <w:t>Notre société assume l’entière responsabilité des signatures apposées par le mandataire.</w:t>
      </w:r>
    </w:p>
    <w:p w14:paraId="6B915E9B">
      <w:pPr>
        <w:tabs>
          <w:tab w:val="left" w:pos="420"/>
        </w:tabs>
        <w:spacing w:line="360" w:lineRule="auto"/>
        <w:rPr>
          <w:highlight w:val="none"/>
        </w:rPr>
      </w:pPr>
      <w:r>
        <w:rPr>
          <w:highlight w:val="none"/>
        </w:rPr>
        <w:tab/>
      </w:r>
      <w:r>
        <w:rPr>
          <w:rFonts w:hint="eastAsia"/>
          <w:highlight w:val="none"/>
        </w:rPr>
        <w:t>在撤销授权的书面通知以前，本授权书一直有效。被授权人签署的所有文件（在授权书有效期内签署的）不因授权的撤消而失效。</w:t>
      </w:r>
    </w:p>
    <w:p w14:paraId="4EA8834B">
      <w:pPr>
        <w:tabs>
          <w:tab w:val="left" w:pos="420"/>
        </w:tabs>
        <w:spacing w:line="360" w:lineRule="auto"/>
        <w:rPr>
          <w:highlight w:val="none"/>
        </w:rPr>
      </w:pPr>
      <w:r>
        <w:rPr>
          <w:rFonts w:hint="eastAsia" w:ascii="Times New Roman" w:hAnsi="Times New Roman" w:cs="Times New Roman"/>
          <w:highlight w:val="none"/>
        </w:rPr>
        <w:t>La présente procuration demeure valable jusqu’à notification écrite de sa révocation. Les documents signés par le mandataire pendant la période de validité de la procuration ne perdent pas leur validité du fait de cette révocation.</w:t>
      </w:r>
    </w:p>
    <w:p w14:paraId="11FEDA9E">
      <w:pPr>
        <w:tabs>
          <w:tab w:val="left" w:pos="630"/>
          <w:tab w:val="left" w:pos="8160"/>
        </w:tabs>
        <w:spacing w:line="360" w:lineRule="auto"/>
        <w:rPr>
          <w:highlight w:val="none"/>
        </w:rPr>
      </w:pPr>
    </w:p>
    <w:p w14:paraId="7A47F188">
      <w:pPr>
        <w:tabs>
          <w:tab w:val="left" w:pos="210"/>
          <w:tab w:val="left" w:pos="7560"/>
        </w:tabs>
        <w:spacing w:line="360" w:lineRule="auto"/>
        <w:rPr>
          <w:highlight w:val="none"/>
        </w:rPr>
      </w:pPr>
      <w:r>
        <w:rPr>
          <w:highlight w:val="none"/>
        </w:rPr>
        <w:tab/>
      </w:r>
      <w:r>
        <w:rPr>
          <w:rFonts w:hint="eastAsia"/>
          <w:highlight w:val="none"/>
        </w:rPr>
        <w:t>被授权人签名：</w:t>
      </w:r>
      <w:r>
        <w:rPr>
          <w:highlight w:val="none"/>
          <w:u w:val="single"/>
        </w:rPr>
        <w:t xml:space="preserve">           </w:t>
      </w:r>
      <w:r>
        <w:rPr>
          <w:highlight w:val="none"/>
        </w:rPr>
        <w:t xml:space="preserve">                      </w:t>
      </w:r>
      <w:r>
        <w:rPr>
          <w:rFonts w:hint="eastAsia"/>
          <w:highlight w:val="none"/>
        </w:rPr>
        <w:t>授权人签名：</w:t>
      </w:r>
      <w:r>
        <w:rPr>
          <w:highlight w:val="none"/>
          <w:u w:val="single"/>
        </w:rPr>
        <w:tab/>
      </w:r>
    </w:p>
    <w:p w14:paraId="578D46A9">
      <w:pPr>
        <w:tabs>
          <w:tab w:val="left" w:pos="210"/>
          <w:tab w:val="left" w:pos="7560"/>
        </w:tabs>
        <w:spacing w:line="360" w:lineRule="auto"/>
        <w:rPr>
          <w:highlight w:val="none"/>
        </w:rPr>
      </w:pPr>
      <w:r>
        <w:rPr>
          <w:rFonts w:hint="eastAsia" w:ascii="Times New Roman" w:hAnsi="Times New Roman" w:cs="Times New Roman"/>
          <w:highlight w:val="none"/>
        </w:rPr>
        <w:t>Signature du mandataire : ____________________   Signature du mandant : ____________________</w:t>
      </w:r>
    </w:p>
    <w:p w14:paraId="6293A50B">
      <w:pPr>
        <w:tabs>
          <w:tab w:val="left" w:pos="210"/>
          <w:tab w:val="left" w:pos="7560"/>
        </w:tabs>
        <w:spacing w:line="360" w:lineRule="auto"/>
        <w:rPr>
          <w:highlight w:val="none"/>
          <w:u w:val="single"/>
        </w:rPr>
      </w:pPr>
      <w:r>
        <w:rPr>
          <w:highlight w:val="none"/>
        </w:rPr>
        <w:tab/>
      </w:r>
      <w:r>
        <w:rPr>
          <w:rFonts w:hint="eastAsia"/>
          <w:highlight w:val="none"/>
        </w:rPr>
        <w:t>职</w:t>
      </w:r>
      <w:r>
        <w:rPr>
          <w:highlight w:val="none"/>
        </w:rPr>
        <w:t xml:space="preserve">        </w:t>
      </w:r>
      <w:r>
        <w:rPr>
          <w:rFonts w:hint="eastAsia"/>
          <w:highlight w:val="none"/>
        </w:rPr>
        <w:t>务：</w:t>
      </w:r>
      <w:r>
        <w:rPr>
          <w:highlight w:val="none"/>
          <w:u w:val="single"/>
        </w:rPr>
        <w:t xml:space="preserve">           </w:t>
      </w:r>
      <w:r>
        <w:rPr>
          <w:highlight w:val="none"/>
        </w:rPr>
        <w:t xml:space="preserve">                      </w:t>
      </w:r>
      <w:r>
        <w:rPr>
          <w:rFonts w:hint="eastAsia"/>
          <w:highlight w:val="none"/>
        </w:rPr>
        <w:t>职</w:t>
      </w:r>
      <w:r>
        <w:rPr>
          <w:highlight w:val="none"/>
        </w:rPr>
        <w:t xml:space="preserve">      </w:t>
      </w:r>
      <w:r>
        <w:rPr>
          <w:rFonts w:hint="eastAsia"/>
          <w:highlight w:val="none"/>
        </w:rPr>
        <w:t>务：</w:t>
      </w:r>
      <w:r>
        <w:rPr>
          <w:highlight w:val="none"/>
          <w:u w:val="single"/>
        </w:rPr>
        <w:tab/>
      </w:r>
    </w:p>
    <w:p w14:paraId="196D1CFF">
      <w:pPr>
        <w:tabs>
          <w:tab w:val="left" w:pos="210"/>
          <w:tab w:val="left" w:pos="7560"/>
        </w:tabs>
        <w:spacing w:line="360" w:lineRule="auto"/>
        <w:rPr>
          <w:highlight w:val="none"/>
          <w:u w:val="single"/>
        </w:rPr>
      </w:pPr>
      <w:r>
        <w:rPr>
          <w:rFonts w:hint="eastAsia" w:ascii="Times New Roman" w:hAnsi="Times New Roman" w:cs="Times New Roman"/>
          <w:highlight w:val="none"/>
        </w:rPr>
        <w:t>Fonction : ____________________   Fonction : ____________________</w:t>
      </w:r>
    </w:p>
    <w:p w14:paraId="26883780">
      <w:pPr>
        <w:tabs>
          <w:tab w:val="left" w:pos="630"/>
          <w:tab w:val="left" w:pos="7560"/>
        </w:tabs>
        <w:spacing w:line="360" w:lineRule="auto"/>
        <w:ind w:firstLine="210" w:firstLineChars="100"/>
        <w:rPr>
          <w:highlight w:val="none"/>
        </w:rPr>
      </w:pPr>
      <w:r>
        <w:rPr>
          <w:rFonts w:hint="eastAsia"/>
          <w:highlight w:val="none"/>
          <w:lang w:val="en-US" w:eastAsia="zh-CN"/>
        </w:rPr>
        <w:t>联系电话（手机）</w:t>
      </w:r>
      <w:r>
        <w:rPr>
          <w:rFonts w:hint="eastAsia"/>
          <w:highlight w:val="none"/>
        </w:rPr>
        <w:t>：</w:t>
      </w:r>
      <w:r>
        <w:rPr>
          <w:highlight w:val="none"/>
          <w:u w:val="single"/>
        </w:rPr>
        <w:t xml:space="preserve">           </w:t>
      </w:r>
      <w:r>
        <w:rPr>
          <w:highlight w:val="none"/>
        </w:rPr>
        <w:t xml:space="preserve">                  </w:t>
      </w:r>
      <w:r>
        <w:rPr>
          <w:rFonts w:hint="eastAsia"/>
          <w:highlight w:val="none"/>
          <w:lang w:val="en-US" w:eastAsia="zh-CN"/>
        </w:rPr>
        <w:t>联系电话（手机）：</w:t>
      </w:r>
      <w:r>
        <w:rPr>
          <w:highlight w:val="none"/>
          <w:u w:val="single"/>
        </w:rPr>
        <w:tab/>
      </w:r>
      <w:r>
        <w:rPr>
          <w:rFonts w:hint="eastAsia"/>
          <w:highlight w:val="none"/>
          <w:u w:val="single"/>
          <w:lang w:val="en-US" w:eastAsia="zh-CN"/>
        </w:rPr>
        <w:t xml:space="preserve">      </w:t>
      </w:r>
    </w:p>
    <w:p w14:paraId="32232A36">
      <w:pPr>
        <w:tabs>
          <w:tab w:val="left" w:pos="630"/>
          <w:tab w:val="left" w:pos="7560"/>
        </w:tabs>
        <w:spacing w:line="360" w:lineRule="auto"/>
        <w:ind w:firstLine="210" w:firstLineChars="100"/>
        <w:rPr>
          <w:highlight w:val="none"/>
        </w:rPr>
      </w:pPr>
      <w:r>
        <w:rPr>
          <w:rFonts w:hint="eastAsia" w:ascii="Times New Roman" w:hAnsi="Times New Roman" w:cs="Times New Roman"/>
          <w:highlight w:val="none"/>
          <w:lang w:val="en-US" w:eastAsia="zh-CN"/>
        </w:rPr>
        <w:t>Téléphone portable : ____________________   Téléphone portable : ____________________</w:t>
      </w:r>
    </w:p>
    <w:p w14:paraId="3659AA7A">
      <w:pPr>
        <w:spacing w:line="360" w:lineRule="auto"/>
        <w:jc w:val="center"/>
        <w:rPr>
          <w:highlight w:val="none"/>
        </w:rPr>
      </w:pPr>
      <w:r>
        <w:rPr>
          <w:highlight w:val="none"/>
        </w:rPr>
        <w:t xml:space="preserve">                                 </w:t>
      </w:r>
    </w:p>
    <w:p w14:paraId="31A5CF41">
      <w:pPr>
        <w:spacing w:line="360" w:lineRule="auto"/>
        <w:jc w:val="center"/>
        <w:rPr>
          <w:highlight w:val="none"/>
        </w:rPr>
      </w:pPr>
    </w:p>
    <w:p w14:paraId="453A7E10">
      <w:pPr>
        <w:spacing w:line="360" w:lineRule="auto"/>
        <w:jc w:val="center"/>
        <w:rPr>
          <w:szCs w:val="22"/>
          <w:highlight w:val="none"/>
        </w:rPr>
      </w:pPr>
      <w:r>
        <w:rPr>
          <w:rFonts w:hint="eastAsia"/>
          <w:highlight w:val="none"/>
          <w:lang w:val="en-US" w:eastAsia="zh-CN"/>
        </w:rPr>
        <w:t xml:space="preserve">                          响应</w:t>
      </w:r>
      <w:r>
        <w:rPr>
          <w:rFonts w:hint="eastAsia"/>
          <w:highlight w:val="none"/>
        </w:rPr>
        <w:t>人：</w:t>
      </w:r>
      <w:r>
        <w:rPr>
          <w:szCs w:val="21"/>
          <w:highlight w:val="none"/>
          <w:u w:val="single"/>
        </w:rPr>
        <w:t xml:space="preserve">           </w:t>
      </w:r>
      <w:r>
        <w:rPr>
          <w:szCs w:val="21"/>
          <w:highlight w:val="none"/>
          <w:u w:val="single"/>
        </w:rPr>
        <w:tab/>
      </w:r>
      <w:r>
        <w:rPr>
          <w:rFonts w:hint="eastAsia" w:ascii="宋体" w:hAnsi="宋体" w:cs="宋体"/>
          <w:szCs w:val="21"/>
          <w:highlight w:val="none"/>
        </w:rPr>
        <w:t>（盖单位章）</w:t>
      </w:r>
    </w:p>
    <w:p w14:paraId="53E7D1B5">
      <w:pPr>
        <w:spacing w:line="360" w:lineRule="auto"/>
        <w:jc w:val="center"/>
        <w:rPr>
          <w:szCs w:val="22"/>
          <w:highlight w:val="none"/>
        </w:rPr>
      </w:pPr>
      <w:r>
        <w:rPr>
          <w:rFonts w:hint="eastAsia" w:ascii="Times New Roman" w:hAnsi="Times New Roman" w:cs="Times New Roman"/>
          <w:highlight w:val="none"/>
          <w:lang w:val="en-US" w:eastAsia="zh-CN"/>
        </w:rPr>
        <w:t>Soumissionnaire : ____________________ (cachet de l’entreprise)</w:t>
      </w:r>
    </w:p>
    <w:p w14:paraId="35F95FF0">
      <w:pPr>
        <w:spacing w:line="360" w:lineRule="auto"/>
        <w:rPr>
          <w:highlight w:val="none"/>
        </w:rPr>
      </w:pPr>
    </w:p>
    <w:p w14:paraId="00C7581C">
      <w:pPr>
        <w:spacing w:line="360" w:lineRule="auto"/>
        <w:ind w:firstLine="5040" w:firstLineChars="2400"/>
        <w:rPr>
          <w:highlight w:val="none"/>
        </w:rPr>
      </w:pPr>
      <w:r>
        <w:rPr>
          <w:highlight w:val="none"/>
          <w:u w:val="single"/>
        </w:rPr>
        <w:t xml:space="preserve">      </w:t>
      </w:r>
      <w:r>
        <w:rPr>
          <w:rFonts w:hint="eastAsia"/>
          <w:highlight w:val="none"/>
        </w:rPr>
        <w:t>年</w:t>
      </w:r>
      <w:r>
        <w:rPr>
          <w:highlight w:val="none"/>
          <w:u w:val="single"/>
        </w:rPr>
        <w:t xml:space="preserve">      </w:t>
      </w:r>
      <w:r>
        <w:rPr>
          <w:rFonts w:hint="eastAsia"/>
          <w:highlight w:val="none"/>
        </w:rPr>
        <w:t>月</w:t>
      </w:r>
      <w:r>
        <w:rPr>
          <w:highlight w:val="none"/>
          <w:u w:val="single"/>
        </w:rPr>
        <w:t xml:space="preserve">      </w:t>
      </w:r>
      <w:r>
        <w:rPr>
          <w:rFonts w:hint="eastAsia"/>
          <w:highlight w:val="none"/>
        </w:rPr>
        <w:t>日</w:t>
      </w:r>
    </w:p>
    <w:p w14:paraId="0D2E7C53">
      <w:pPr>
        <w:spacing w:line="360" w:lineRule="auto"/>
        <w:ind w:firstLine="5040" w:firstLineChars="2400"/>
        <w:rPr>
          <w:rFonts w:hint="eastAsia" w:ascii="Times New Roman" w:hAnsi="Times New Roman" w:cs="Times New Roman"/>
          <w:highlight w:val="none"/>
        </w:rPr>
      </w:pPr>
      <w:r>
        <w:rPr>
          <w:rFonts w:hint="eastAsia" w:ascii="Times New Roman" w:hAnsi="Times New Roman" w:cs="Times New Roman"/>
          <w:highlight w:val="none"/>
        </w:rPr>
        <w:t>____ / ____ / ______</w:t>
      </w:r>
    </w:p>
    <w:p w14:paraId="681C1B1A">
      <w:pPr>
        <w:pStyle w:val="11"/>
        <w:rPr>
          <w:rFonts w:hint="eastAsia" w:ascii="Times New Roman" w:hAnsi="Times New Roman" w:cs="Times New Roman"/>
          <w:highlight w:val="none"/>
        </w:rPr>
      </w:pPr>
    </w:p>
    <w:p w14:paraId="3E673066">
      <w:pPr>
        <w:rPr>
          <w:rFonts w:hint="eastAsia" w:ascii="Times New Roman" w:hAnsi="Times New Roman" w:cs="Times New Roman"/>
          <w:highlight w:val="none"/>
        </w:rPr>
      </w:pPr>
    </w:p>
    <w:p w14:paraId="0FD04E9D">
      <w:pPr>
        <w:pStyle w:val="11"/>
        <w:rPr>
          <w:rFonts w:hint="eastAsia" w:ascii="Times New Roman" w:hAnsi="Times New Roman" w:cs="Times New Roman"/>
          <w:highlight w:val="none"/>
        </w:rPr>
      </w:pPr>
    </w:p>
    <w:p w14:paraId="441BB5D4">
      <w:pPr>
        <w:rPr>
          <w:rFonts w:hint="eastAsia" w:ascii="Times New Roman" w:hAnsi="Times New Roman" w:cs="Times New Roman"/>
          <w:highlight w:val="none"/>
        </w:rPr>
      </w:pPr>
    </w:p>
    <w:p w14:paraId="3CD98EDE">
      <w:pPr>
        <w:pStyle w:val="11"/>
        <w:rPr>
          <w:rFonts w:hint="eastAsia" w:ascii="Times New Roman" w:hAnsi="Times New Roman" w:cs="Times New Roman"/>
          <w:highlight w:val="none"/>
        </w:rPr>
      </w:pPr>
    </w:p>
    <w:p w14:paraId="10C8CADE">
      <w:pPr>
        <w:rPr>
          <w:rFonts w:hint="eastAsia" w:ascii="Times New Roman" w:hAnsi="Times New Roman" w:cs="Times New Roman"/>
          <w:highlight w:val="none"/>
        </w:rPr>
      </w:pPr>
    </w:p>
    <w:p w14:paraId="40F25DF7">
      <w:pPr>
        <w:pStyle w:val="11"/>
        <w:rPr>
          <w:rFonts w:hint="eastAsia" w:ascii="Times New Roman" w:hAnsi="Times New Roman" w:cs="Times New Roman"/>
          <w:highlight w:val="none"/>
        </w:rPr>
      </w:pPr>
    </w:p>
    <w:p w14:paraId="087E3AC5">
      <w:pPr>
        <w:rPr>
          <w:rFonts w:hint="eastAsia" w:ascii="Times New Roman" w:hAnsi="Times New Roman" w:cs="Times New Roman"/>
          <w:highlight w:val="none"/>
        </w:rPr>
      </w:pPr>
    </w:p>
    <w:p w14:paraId="0D4FC156">
      <w:pPr>
        <w:pStyle w:val="11"/>
        <w:rPr>
          <w:rFonts w:hint="eastAsia" w:ascii="Times New Roman" w:hAnsi="Times New Roman" w:cs="Times New Roman"/>
          <w:highlight w:val="none"/>
        </w:rPr>
      </w:pPr>
    </w:p>
    <w:p w14:paraId="7EBC0198">
      <w:pPr>
        <w:rPr>
          <w:rFonts w:hint="eastAsia" w:ascii="Times New Roman" w:hAnsi="Times New Roman" w:cs="Times New Roman"/>
          <w:highlight w:val="none"/>
        </w:rPr>
      </w:pPr>
    </w:p>
    <w:p w14:paraId="6409AF55">
      <w:pPr>
        <w:pStyle w:val="11"/>
        <w:rPr>
          <w:rFonts w:hint="eastAsia" w:ascii="Times New Roman" w:hAnsi="Times New Roman" w:cs="Times New Roman"/>
          <w:highlight w:val="none"/>
        </w:rPr>
      </w:pPr>
    </w:p>
    <w:p w14:paraId="393D2794">
      <w:pPr>
        <w:rPr>
          <w:rFonts w:hint="eastAsia" w:ascii="Times New Roman" w:hAnsi="Times New Roman" w:cs="Times New Roman"/>
          <w:highlight w:val="none"/>
        </w:rPr>
      </w:pPr>
    </w:p>
    <w:p w14:paraId="5FE374EB">
      <w:pPr>
        <w:pStyle w:val="11"/>
        <w:rPr>
          <w:rFonts w:hint="eastAsia" w:ascii="Times New Roman" w:hAnsi="Times New Roman" w:cs="Times New Roman"/>
          <w:highlight w:val="none"/>
        </w:rPr>
      </w:pPr>
    </w:p>
    <w:p w14:paraId="5A4172F0">
      <w:pPr>
        <w:rPr>
          <w:rFonts w:hint="eastAsia" w:ascii="Times New Roman" w:hAnsi="Times New Roman" w:cs="Times New Roman"/>
          <w:highlight w:val="none"/>
        </w:rPr>
      </w:pPr>
    </w:p>
    <w:p w14:paraId="360A739A">
      <w:pPr>
        <w:pStyle w:val="11"/>
        <w:rPr>
          <w:rFonts w:hint="eastAsia" w:ascii="Times New Roman" w:hAnsi="Times New Roman" w:cs="Times New Roman"/>
          <w:highlight w:val="none"/>
        </w:rPr>
      </w:pPr>
    </w:p>
    <w:p w14:paraId="11E4E033">
      <w:pPr>
        <w:rPr>
          <w:rFonts w:hint="eastAsia" w:ascii="Times New Roman" w:hAnsi="Times New Roman" w:cs="Times New Roman"/>
          <w:highlight w:val="none"/>
        </w:rPr>
      </w:pPr>
    </w:p>
    <w:p w14:paraId="00CAC7EF">
      <w:pPr>
        <w:pStyle w:val="11"/>
        <w:rPr>
          <w:rFonts w:hint="eastAsia" w:ascii="Times New Roman" w:hAnsi="Times New Roman" w:cs="Times New Roman"/>
          <w:highlight w:val="none"/>
        </w:rPr>
      </w:pPr>
    </w:p>
    <w:p w14:paraId="454B5603">
      <w:pPr>
        <w:rPr>
          <w:rFonts w:hint="eastAsia" w:ascii="Times New Roman" w:hAnsi="Times New Roman" w:cs="Times New Roman"/>
          <w:highlight w:val="none"/>
        </w:rPr>
      </w:pPr>
    </w:p>
    <w:p w14:paraId="47186147">
      <w:pPr>
        <w:pStyle w:val="11"/>
        <w:rPr>
          <w:rFonts w:hint="eastAsia" w:ascii="Times New Roman" w:hAnsi="Times New Roman" w:cs="Times New Roman"/>
          <w:highlight w:val="none"/>
        </w:rPr>
      </w:pPr>
    </w:p>
    <w:p w14:paraId="48C2266E">
      <w:pPr>
        <w:rPr>
          <w:rFonts w:hint="eastAsia" w:ascii="Times New Roman" w:hAnsi="Times New Roman" w:cs="Times New Roman"/>
          <w:highlight w:val="none"/>
        </w:rPr>
      </w:pPr>
    </w:p>
    <w:p w14:paraId="1464608F">
      <w:pPr>
        <w:pStyle w:val="11"/>
        <w:rPr>
          <w:rFonts w:hint="eastAsia" w:ascii="Times New Roman" w:hAnsi="Times New Roman" w:cs="Times New Roman"/>
          <w:highlight w:val="none"/>
        </w:rPr>
      </w:pPr>
    </w:p>
    <w:p w14:paraId="267E01AF">
      <w:pPr>
        <w:rPr>
          <w:rFonts w:hint="eastAsia" w:ascii="Times New Roman" w:hAnsi="Times New Roman" w:cs="Times New Roman"/>
          <w:highlight w:val="none"/>
        </w:rPr>
      </w:pPr>
    </w:p>
    <w:p w14:paraId="58B186A6">
      <w:pPr>
        <w:pStyle w:val="11"/>
        <w:rPr>
          <w:rFonts w:hint="eastAsia" w:ascii="Times New Roman" w:hAnsi="Times New Roman" w:cs="Times New Roman"/>
          <w:highlight w:val="none"/>
        </w:rPr>
      </w:pPr>
    </w:p>
    <w:p w14:paraId="4E2862B7">
      <w:pPr>
        <w:rPr>
          <w:rFonts w:hint="eastAsia" w:ascii="Times New Roman" w:hAnsi="Times New Roman" w:cs="Times New Roman"/>
          <w:highlight w:val="none"/>
        </w:rPr>
      </w:pPr>
    </w:p>
    <w:p w14:paraId="45F5874C">
      <w:pPr>
        <w:pStyle w:val="11"/>
        <w:rPr>
          <w:rFonts w:hint="eastAsia" w:ascii="Times New Roman" w:hAnsi="Times New Roman" w:cs="Times New Roman"/>
          <w:highlight w:val="none"/>
        </w:rPr>
      </w:pPr>
    </w:p>
    <w:p w14:paraId="5273A563">
      <w:pPr>
        <w:rPr>
          <w:rFonts w:hint="eastAsia" w:ascii="Times New Roman" w:hAnsi="Times New Roman" w:cs="Times New Roman"/>
          <w:highlight w:val="none"/>
        </w:rPr>
      </w:pPr>
    </w:p>
    <w:p w14:paraId="4C10AA79">
      <w:pPr>
        <w:pStyle w:val="11"/>
        <w:rPr>
          <w:rFonts w:hint="eastAsia" w:ascii="Times New Roman" w:hAnsi="Times New Roman" w:cs="Times New Roman"/>
          <w:highlight w:val="none"/>
        </w:rPr>
      </w:pPr>
    </w:p>
    <w:p w14:paraId="3D07B691">
      <w:pPr>
        <w:rPr>
          <w:rFonts w:hint="eastAsia" w:ascii="Times New Roman" w:hAnsi="Times New Roman" w:cs="Times New Roman"/>
          <w:highlight w:val="none"/>
        </w:rPr>
      </w:pPr>
    </w:p>
    <w:p w14:paraId="67016D7E">
      <w:pPr>
        <w:pStyle w:val="11"/>
        <w:rPr>
          <w:rFonts w:hint="eastAsia" w:ascii="Times New Roman" w:hAnsi="Times New Roman" w:cs="Times New Roman"/>
          <w:highlight w:val="none"/>
        </w:rPr>
      </w:pPr>
    </w:p>
    <w:p w14:paraId="3FFB9E4E">
      <w:pPr>
        <w:rPr>
          <w:rFonts w:hint="eastAsia" w:ascii="Times New Roman" w:hAnsi="Times New Roman" w:cs="Times New Roman"/>
          <w:highlight w:val="none"/>
        </w:rPr>
      </w:pPr>
    </w:p>
    <w:p w14:paraId="679EE93A">
      <w:pPr>
        <w:pStyle w:val="11"/>
        <w:rPr>
          <w:rFonts w:hint="eastAsia" w:ascii="Times New Roman" w:hAnsi="Times New Roman" w:cs="Times New Roman"/>
          <w:highlight w:val="none"/>
        </w:rPr>
      </w:pPr>
    </w:p>
    <w:p w14:paraId="7A3C8FA6">
      <w:pPr>
        <w:rPr>
          <w:rFonts w:hint="eastAsia" w:ascii="Times New Roman" w:hAnsi="Times New Roman" w:cs="Times New Roman"/>
          <w:highlight w:val="none"/>
        </w:rPr>
      </w:pPr>
    </w:p>
    <w:p w14:paraId="386C30E2">
      <w:pPr>
        <w:pStyle w:val="11"/>
        <w:rPr>
          <w:rFonts w:hint="eastAsia"/>
        </w:rPr>
      </w:pPr>
    </w:p>
    <w:tbl>
      <w:tblPr>
        <w:tblStyle w:val="33"/>
        <w:tblpPr w:leftFromText="180" w:rightFromText="180" w:vertAnchor="text" w:horzAnchor="page" w:tblpXSpec="center" w:tblpY="98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1"/>
      </w:tblGrid>
      <w:tr w14:paraId="13E6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7" w:hRule="atLeast"/>
          <w:jc w:val="center"/>
        </w:trPr>
        <w:tc>
          <w:tcPr>
            <w:tcW w:w="9571" w:type="dxa"/>
            <w:tcBorders>
              <w:top w:val="single" w:color="auto" w:sz="4" w:space="0"/>
              <w:left w:val="single" w:color="auto" w:sz="4" w:space="0"/>
              <w:bottom w:val="single" w:color="auto" w:sz="4" w:space="0"/>
              <w:right w:val="single" w:color="auto" w:sz="4" w:space="0"/>
            </w:tcBorders>
            <w:noWrap w:val="0"/>
            <w:vAlign w:val="center"/>
          </w:tcPr>
          <w:p w14:paraId="1EA884E6">
            <w:pPr>
              <w:adjustRightInd w:val="0"/>
              <w:snapToGrid w:val="0"/>
              <w:spacing w:line="360" w:lineRule="auto"/>
              <w:jc w:val="center"/>
              <w:rPr>
                <w:rFonts w:ascii="Calibri" w:hAnsi="Calibri"/>
                <w:szCs w:val="21"/>
                <w:highlight w:val="none"/>
              </w:rPr>
            </w:pPr>
            <w:r>
              <w:rPr>
                <w:rFonts w:hint="eastAsia"/>
                <w:szCs w:val="21"/>
                <w:highlight w:val="none"/>
              </w:rPr>
              <w:t>法定代表人身份证或护照等有效身份证明文件扫描件粘贴处</w:t>
            </w:r>
          </w:p>
          <w:p w14:paraId="42480409">
            <w:pPr>
              <w:adjustRightInd w:val="0"/>
              <w:snapToGrid w:val="0"/>
              <w:spacing w:line="360" w:lineRule="auto"/>
              <w:jc w:val="center"/>
              <w:rPr>
                <w:rFonts w:ascii="Calibri" w:hAnsi="Calibri"/>
                <w:szCs w:val="21"/>
                <w:highlight w:val="none"/>
              </w:rPr>
            </w:pPr>
            <w:r>
              <w:rPr>
                <w:rFonts w:hint="eastAsia" w:ascii="Times New Roman" w:hAnsi="Times New Roman" w:cs="Times New Roman"/>
                <w:szCs w:val="21"/>
                <w:highlight w:val="none"/>
              </w:rPr>
              <w:t>Emplacement réservé au scan de la carte d’identité, du passeport ou de tout autre document d’identité valide du représentant légal</w:t>
            </w:r>
          </w:p>
        </w:tc>
      </w:tr>
    </w:tbl>
    <w:p w14:paraId="20739F6F">
      <w:pPr>
        <w:adjustRightInd w:val="0"/>
        <w:snapToGrid w:val="0"/>
        <w:spacing w:line="360" w:lineRule="auto"/>
        <w:ind w:firstLine="420" w:firstLineChars="200"/>
        <w:rPr>
          <w:rFonts w:hint="eastAsia" w:ascii="宋体" w:hAnsi="宋体" w:cs="宋体"/>
          <w:szCs w:val="21"/>
          <w:highlight w:val="none"/>
        </w:rPr>
      </w:pPr>
    </w:p>
    <w:p w14:paraId="68AA9908">
      <w:pPr>
        <w:adjustRightInd w:val="0"/>
        <w:snapToGrid w:val="0"/>
        <w:spacing w:line="360" w:lineRule="auto"/>
        <w:ind w:firstLine="420" w:firstLineChars="200"/>
        <w:rPr>
          <w:rFonts w:hint="eastAsia" w:ascii="宋体" w:hAnsi="宋体" w:cs="宋体"/>
          <w:szCs w:val="21"/>
          <w:highlight w:val="none"/>
        </w:rPr>
      </w:pPr>
    </w:p>
    <w:p w14:paraId="076F8628">
      <w:pPr>
        <w:pStyle w:val="3"/>
        <w:spacing w:before="0" w:after="0" w:line="360" w:lineRule="auto"/>
        <w:jc w:val="center"/>
        <w:rPr>
          <w:rFonts w:hint="eastAsia" w:ascii="宋体" w:hAnsi="宋体" w:eastAsia="宋体" w:cs="宋体"/>
          <w:bCs w:val="0"/>
          <w:szCs w:val="21"/>
          <w:highlight w:val="none"/>
          <w:lang w:val="en-US" w:eastAsia="zh-CN"/>
        </w:rPr>
        <w:sectPr>
          <w:pgSz w:w="11906" w:h="16838"/>
          <w:pgMar w:top="1417" w:right="1134" w:bottom="1134" w:left="1417" w:header="851" w:footer="850" w:gutter="0"/>
          <w:pgBorders>
            <w:top w:val="none" w:sz="0" w:space="0"/>
            <w:left w:val="none" w:sz="0" w:space="0"/>
            <w:bottom w:val="none" w:sz="0" w:space="0"/>
            <w:right w:val="none" w:sz="0" w:space="0"/>
          </w:pgBorders>
          <w:pgNumType w:fmt="decimal"/>
          <w:cols w:space="720" w:num="1"/>
          <w:titlePg/>
          <w:rtlGutter w:val="0"/>
          <w:docGrid w:linePitch="312" w:charSpace="0"/>
        </w:sectPr>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1"/>
      </w:tblGrid>
      <w:tr w14:paraId="69947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5" w:hRule="atLeast"/>
          <w:jc w:val="center"/>
        </w:trPr>
        <w:tc>
          <w:tcPr>
            <w:tcW w:w="9571" w:type="dxa"/>
            <w:tcBorders>
              <w:top w:val="single" w:color="auto" w:sz="4" w:space="0"/>
              <w:left w:val="single" w:color="auto" w:sz="4" w:space="0"/>
              <w:bottom w:val="single" w:color="auto" w:sz="4" w:space="0"/>
              <w:right w:val="single" w:color="auto" w:sz="4" w:space="0"/>
            </w:tcBorders>
            <w:noWrap w:val="0"/>
            <w:vAlign w:val="center"/>
          </w:tcPr>
          <w:p w14:paraId="12831603">
            <w:pPr>
              <w:tabs>
                <w:tab w:val="left" w:pos="630"/>
                <w:tab w:val="left" w:pos="7560"/>
              </w:tabs>
              <w:spacing w:line="360" w:lineRule="auto"/>
              <w:jc w:val="center"/>
              <w:rPr>
                <w:highlight w:val="none"/>
                <w:u w:val="single"/>
              </w:rPr>
            </w:pPr>
            <w:r>
              <w:rPr>
                <w:rFonts w:hint="eastAsia"/>
                <w:szCs w:val="21"/>
                <w:highlight w:val="none"/>
              </w:rPr>
              <w:t>被授权人人身份证或护照等有效身份证明文件扫描件粘贴处</w:t>
            </w:r>
          </w:p>
          <w:p w14:paraId="7B471FA0">
            <w:pPr>
              <w:tabs>
                <w:tab w:val="left" w:pos="630"/>
                <w:tab w:val="left" w:pos="7560"/>
              </w:tabs>
              <w:spacing w:line="360" w:lineRule="auto"/>
              <w:jc w:val="center"/>
              <w:rPr>
                <w:highlight w:val="none"/>
                <w:u w:val="single"/>
              </w:rPr>
            </w:pPr>
            <w:r>
              <w:rPr>
                <w:rFonts w:hint="eastAsia" w:ascii="Times New Roman" w:hAnsi="Times New Roman" w:cs="Times New Roman"/>
                <w:szCs w:val="21"/>
                <w:highlight w:val="none"/>
              </w:rPr>
              <w:t>Emplacement réservé au scan de la carte d’identité, du passeport ou de tout autre document d’identité valide du mandataire</w:t>
            </w:r>
          </w:p>
        </w:tc>
      </w:tr>
    </w:tbl>
    <w:p w14:paraId="1BFABDFF">
      <w:pPr>
        <w:pStyle w:val="3"/>
        <w:spacing w:before="0" w:after="0" w:line="360" w:lineRule="auto"/>
        <w:rPr>
          <w:rFonts w:hint="eastAsia" w:ascii="宋体" w:hAnsi="宋体" w:eastAsia="宋体" w:cs="宋体"/>
          <w:b/>
          <w:bCs w:val="0"/>
          <w:kern w:val="2"/>
          <w:sz w:val="28"/>
          <w:szCs w:val="21"/>
          <w:highlight w:val="none"/>
          <w:lang w:val="en-US" w:eastAsia="zh-CN" w:bidi="ar-SA"/>
        </w:rPr>
        <w:sectPr>
          <w:pgSz w:w="11906" w:h="16838"/>
          <w:pgMar w:top="1417" w:right="1134" w:bottom="1134" w:left="1417" w:header="851" w:footer="850" w:gutter="0"/>
          <w:pgBorders>
            <w:top w:val="none" w:sz="0" w:space="0"/>
            <w:left w:val="none" w:sz="0" w:space="0"/>
            <w:bottom w:val="none" w:sz="0" w:space="0"/>
            <w:right w:val="none" w:sz="0" w:space="0"/>
          </w:pgBorders>
          <w:pgNumType w:fmt="decimal"/>
          <w:cols w:space="720" w:num="1"/>
          <w:titlePg/>
          <w:rtlGutter w:val="0"/>
          <w:docGrid w:linePitch="312" w:charSpace="0"/>
        </w:sectPr>
      </w:pPr>
      <w:bookmarkStart w:id="81" w:name="_Toc105679038"/>
      <w:bookmarkStart w:id="82" w:name="_Toc107566831"/>
      <w:bookmarkStart w:id="83" w:name="_Toc106878078"/>
      <w:bookmarkStart w:id="84" w:name="_Toc106872833"/>
    </w:p>
    <w:bookmarkEnd w:id="81"/>
    <w:bookmarkEnd w:id="82"/>
    <w:bookmarkEnd w:id="83"/>
    <w:bookmarkEnd w:id="84"/>
    <w:p w14:paraId="5784AFA1">
      <w:pPr>
        <w:spacing w:before="0" w:after="0" w:line="360" w:lineRule="auto"/>
        <w:jc w:val="center"/>
        <w:outlineLvl w:val="1"/>
        <w:rPr>
          <w:rFonts w:hint="eastAsia" w:ascii="宋体" w:hAnsi="宋体" w:eastAsia="宋体" w:cs="宋体"/>
          <w:b/>
          <w:bCs w:val="0"/>
          <w:kern w:val="2"/>
          <w:sz w:val="28"/>
          <w:szCs w:val="21"/>
          <w:highlight w:val="none"/>
          <w:lang w:val="en-US" w:eastAsia="zh-CN" w:bidi="ar-SA"/>
        </w:rPr>
      </w:pPr>
      <w:bookmarkStart w:id="85" w:name="_Toc8902"/>
      <w:bookmarkStart w:id="86" w:name="_Toc26146"/>
      <w:bookmarkStart w:id="87" w:name="_Toc6561431"/>
      <w:bookmarkStart w:id="88" w:name="_Toc492288519"/>
      <w:bookmarkStart w:id="89" w:name="_Toc23321"/>
      <w:r>
        <w:rPr>
          <w:rFonts w:hint="eastAsia" w:ascii="宋体" w:hAnsi="宋体" w:eastAsia="宋体" w:cs="宋体"/>
          <w:b/>
          <w:bCs w:val="0"/>
          <w:kern w:val="2"/>
          <w:sz w:val="28"/>
          <w:szCs w:val="21"/>
          <w:highlight w:val="none"/>
          <w:lang w:val="en-US" w:eastAsia="zh-CN" w:bidi="ar-SA"/>
        </w:rPr>
        <w:t>三、商务和技术偏差表</w:t>
      </w:r>
      <w:bookmarkEnd w:id="85"/>
      <w:bookmarkEnd w:id="86"/>
      <w:bookmarkEnd w:id="87"/>
      <w:bookmarkEnd w:id="88"/>
      <w:bookmarkEnd w:id="89"/>
    </w:p>
    <w:p w14:paraId="74313D64">
      <w:pPr>
        <w:spacing w:before="0" w:after="0" w:line="360" w:lineRule="auto"/>
        <w:jc w:val="center"/>
        <w:outlineLvl w:val="1"/>
        <w:rPr>
          <w:rFonts w:hint="eastAsia" w:ascii="宋体" w:hAnsi="宋体" w:eastAsia="宋体" w:cs="宋体"/>
          <w:b/>
          <w:bCs w:val="0"/>
          <w:kern w:val="2"/>
          <w:sz w:val="28"/>
          <w:szCs w:val="21"/>
          <w:highlight w:val="none"/>
          <w:lang w:val="en-US" w:eastAsia="zh-CN" w:bidi="ar-SA"/>
        </w:rPr>
      </w:pPr>
      <w:r>
        <w:rPr>
          <w:rFonts w:hint="eastAsia" w:ascii="Times New Roman" w:hAnsi="Times New Roman" w:eastAsia="宋体" w:cs="Times New Roman"/>
          <w:b/>
          <w:bCs w:val="0"/>
          <w:kern w:val="2"/>
          <w:sz w:val="28"/>
          <w:szCs w:val="21"/>
          <w:highlight w:val="none"/>
          <w:lang w:val="en-US" w:eastAsia="zh-CN" w:bidi="ar-SA"/>
        </w:rPr>
        <w:t>III. Tableau des écarts commerciaux et techniques</w:t>
      </w:r>
    </w:p>
    <w:p w14:paraId="7273CF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ascii="Times New Roman" w:hAnsi="Times New Roman"/>
          <w:color w:val="auto"/>
          <w:highlight w:val="none"/>
        </w:rPr>
      </w:pPr>
      <w:r>
        <w:rPr>
          <w:rFonts w:hint="eastAsia"/>
          <w:highlight w:val="none"/>
          <w:lang w:val="en-US" w:eastAsia="zh-CN"/>
        </w:rPr>
        <w:t>响应</w:t>
      </w:r>
      <w:r>
        <w:rPr>
          <w:rFonts w:hint="eastAsia"/>
          <w:highlight w:val="none"/>
        </w:rPr>
        <w:t>人：</w:t>
      </w:r>
      <w:r>
        <w:rPr>
          <w:szCs w:val="21"/>
          <w:highlight w:val="none"/>
          <w:u w:val="single"/>
        </w:rPr>
        <w:t xml:space="preserve">           </w:t>
      </w:r>
      <w:r>
        <w:rPr>
          <w:szCs w:val="21"/>
          <w:highlight w:val="none"/>
          <w:u w:val="single"/>
        </w:rPr>
        <w:tab/>
      </w:r>
      <w:r>
        <w:rPr>
          <w:rFonts w:hint="eastAsia" w:ascii="宋体" w:hAnsi="宋体" w:cs="宋体"/>
          <w:szCs w:val="21"/>
          <w:highlight w:val="none"/>
        </w:rPr>
        <w:t>（盖单位章）</w:t>
      </w:r>
    </w:p>
    <w:p w14:paraId="6451514E">
      <w:pPr>
        <w:keepLines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ascii="Times New Roman" w:hAnsi="Times New Roman"/>
          <w:color w:val="auto"/>
          <w:highlight w:val="none"/>
        </w:rPr>
      </w:pPr>
      <w:r>
        <w:rPr>
          <w:rFonts w:hint="eastAsia" w:ascii="Times New Roman" w:hAnsi="Times New Roman" w:cs="Times New Roman"/>
          <w:highlight w:val="none"/>
          <w:lang w:val="en-US" w:eastAsia="zh-CN"/>
        </w:rPr>
        <w:t>Soumissionnaire : ____________________ (cachet de l’entreprise)</w:t>
      </w:r>
    </w:p>
    <w:p w14:paraId="03EED05B">
      <w:pPr>
        <w:numPr>
          <w:ilvl w:val="0"/>
          <w:numId w:val="0"/>
        </w:numPr>
        <w:rPr>
          <w:rFonts w:hint="eastAsia"/>
          <w:highlight w:val="none"/>
          <w:lang w:val="en-US" w:eastAsia="zh-CN"/>
        </w:rPr>
      </w:pPr>
    </w:p>
    <w:tbl>
      <w:tblPr>
        <w:tblStyle w:val="3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1041"/>
        <w:gridCol w:w="3092"/>
        <w:gridCol w:w="2762"/>
        <w:gridCol w:w="1453"/>
      </w:tblGrid>
      <w:tr w14:paraId="684F65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noWrap w:val="0"/>
            <w:vAlign w:val="center"/>
          </w:tcPr>
          <w:p w14:paraId="106A3736">
            <w:pPr>
              <w:widowControl/>
              <w:snapToGrid w:val="0"/>
              <w:jc w:val="center"/>
              <w:rPr>
                <w:rFonts w:ascii="宋体" w:hAnsi="宋体"/>
                <w:b/>
                <w:color w:val="auto"/>
                <w:kern w:val="0"/>
                <w:szCs w:val="21"/>
                <w:highlight w:val="none"/>
              </w:rPr>
            </w:pPr>
            <w:r>
              <w:rPr>
                <w:rFonts w:hint="eastAsia" w:ascii="宋体" w:hAnsi="宋体"/>
                <w:color w:val="auto"/>
                <w:kern w:val="0"/>
                <w:szCs w:val="21"/>
                <w:highlight w:val="none"/>
                <w:lang w:val="en-US" w:eastAsia="zh-CN"/>
              </w:rPr>
              <w:t>偏差</w:t>
            </w:r>
          </w:p>
          <w:p w14:paraId="3A7F539B">
            <w:pPr>
              <w:widowControl/>
              <w:snapToGrid w:val="0"/>
              <w:jc w:val="center"/>
              <w:rPr>
                <w:rFonts w:ascii="宋体" w:hAnsi="宋体"/>
                <w:b/>
                <w:color w:val="auto"/>
                <w:kern w:val="0"/>
                <w:szCs w:val="21"/>
                <w:highlight w:val="none"/>
              </w:rPr>
            </w:pPr>
            <w:r>
              <w:rPr>
                <w:rFonts w:hint="eastAsia" w:ascii="Times New Roman" w:hAnsi="Times New Roman" w:cs="Times New Roman"/>
                <w:color w:val="auto"/>
                <w:kern w:val="0"/>
                <w:szCs w:val="21"/>
                <w:highlight w:val="none"/>
                <w:lang w:val="en-US" w:eastAsia="zh-CN"/>
              </w:rPr>
              <w:t>Type d’écart</w:t>
            </w:r>
          </w:p>
        </w:tc>
        <w:tc>
          <w:tcPr>
            <w:tcW w:w="1041" w:type="dxa"/>
            <w:noWrap w:val="0"/>
            <w:vAlign w:val="center"/>
          </w:tcPr>
          <w:p w14:paraId="621C65CD">
            <w:pPr>
              <w:widowControl/>
              <w:snapToGrid w:val="0"/>
              <w:jc w:val="center"/>
              <w:rPr>
                <w:rFonts w:ascii="宋体" w:hAnsi="宋体"/>
                <w:b/>
                <w:color w:val="auto"/>
                <w:kern w:val="0"/>
                <w:szCs w:val="21"/>
                <w:highlight w:val="none"/>
              </w:rPr>
            </w:pPr>
            <w:r>
              <w:rPr>
                <w:rFonts w:ascii="宋体" w:hAnsi="宋体"/>
                <w:b/>
                <w:color w:val="auto"/>
                <w:kern w:val="0"/>
                <w:szCs w:val="21"/>
                <w:highlight w:val="none"/>
              </w:rPr>
              <w:t>序号</w:t>
            </w:r>
          </w:p>
          <w:p w14:paraId="2DB328AC">
            <w:pPr>
              <w:widowControl/>
              <w:snapToGrid w:val="0"/>
              <w:jc w:val="center"/>
              <w:rPr>
                <w:rFonts w:ascii="宋体" w:hAnsi="宋体"/>
                <w:b/>
                <w:color w:val="auto"/>
                <w:kern w:val="0"/>
                <w:szCs w:val="21"/>
                <w:highlight w:val="none"/>
              </w:rPr>
            </w:pPr>
            <w:r>
              <w:rPr>
                <w:rFonts w:ascii="Times New Roman" w:hAnsi="Times New Roman" w:cs="Times New Roman"/>
                <w:b/>
                <w:color w:val="auto"/>
                <w:kern w:val="0"/>
                <w:szCs w:val="21"/>
                <w:highlight w:val="none"/>
              </w:rPr>
              <w:t>N°</w:t>
            </w:r>
          </w:p>
        </w:tc>
        <w:tc>
          <w:tcPr>
            <w:tcW w:w="3092" w:type="dxa"/>
            <w:noWrap w:val="0"/>
            <w:vAlign w:val="center"/>
          </w:tcPr>
          <w:p w14:paraId="54DD9DAD">
            <w:pPr>
              <w:widowControl/>
              <w:snapToGrid w:val="0"/>
              <w:jc w:val="center"/>
              <w:rPr>
                <w:rFonts w:ascii="宋体" w:hAnsi="宋体"/>
                <w:b/>
                <w:color w:val="auto"/>
                <w:kern w:val="0"/>
                <w:szCs w:val="21"/>
                <w:highlight w:val="none"/>
              </w:rPr>
            </w:pPr>
            <w:r>
              <w:rPr>
                <w:rFonts w:hint="eastAsia" w:ascii="宋体" w:hAnsi="宋体"/>
                <w:b/>
                <w:color w:val="auto"/>
                <w:kern w:val="0"/>
                <w:szCs w:val="21"/>
                <w:highlight w:val="none"/>
                <w:lang w:eastAsia="zh-CN"/>
              </w:rPr>
              <w:t>谈判文件</w:t>
            </w:r>
            <w:r>
              <w:rPr>
                <w:rFonts w:ascii="宋体" w:hAnsi="宋体"/>
                <w:b/>
                <w:color w:val="auto"/>
                <w:kern w:val="0"/>
                <w:szCs w:val="21"/>
                <w:highlight w:val="none"/>
              </w:rPr>
              <w:t>章节及条款号</w:t>
            </w:r>
          </w:p>
          <w:p w14:paraId="7EA3A094">
            <w:pPr>
              <w:widowControl/>
              <w:snapToGrid w:val="0"/>
              <w:jc w:val="center"/>
              <w:rPr>
                <w:rFonts w:ascii="宋体" w:hAnsi="宋体"/>
                <w:b/>
                <w:color w:val="auto"/>
                <w:kern w:val="0"/>
                <w:szCs w:val="21"/>
                <w:highlight w:val="none"/>
              </w:rPr>
            </w:pPr>
            <w:r>
              <w:rPr>
                <w:rFonts w:hint="eastAsia" w:ascii="Times New Roman" w:hAnsi="Times New Roman" w:cs="Times New Roman"/>
                <w:b/>
                <w:color w:val="auto"/>
                <w:kern w:val="0"/>
                <w:szCs w:val="21"/>
                <w:highlight w:val="none"/>
                <w:lang w:eastAsia="zh-CN"/>
              </w:rPr>
              <w:t>Chapitre et numéro de clause du dossier de consultation</w:t>
            </w:r>
          </w:p>
        </w:tc>
        <w:tc>
          <w:tcPr>
            <w:tcW w:w="2762" w:type="dxa"/>
            <w:noWrap w:val="0"/>
            <w:vAlign w:val="center"/>
          </w:tcPr>
          <w:p w14:paraId="768F6352">
            <w:pPr>
              <w:widowControl/>
              <w:snapToGrid w:val="0"/>
              <w:jc w:val="center"/>
              <w:rPr>
                <w:rFonts w:ascii="宋体" w:hAnsi="宋体"/>
                <w:b/>
                <w:color w:val="auto"/>
                <w:kern w:val="0"/>
                <w:szCs w:val="21"/>
                <w:highlight w:val="none"/>
              </w:rPr>
            </w:pPr>
            <w:r>
              <w:rPr>
                <w:rFonts w:hint="eastAsia" w:ascii="宋体" w:hAnsi="宋体" w:eastAsia="宋体"/>
                <w:b/>
                <w:color w:val="auto"/>
                <w:kern w:val="0"/>
                <w:szCs w:val="21"/>
                <w:highlight w:val="none"/>
                <w:lang w:eastAsia="zh-CN"/>
              </w:rPr>
              <w:t>响应</w:t>
            </w:r>
            <w:r>
              <w:rPr>
                <w:rFonts w:ascii="宋体" w:hAnsi="宋体"/>
                <w:b/>
                <w:color w:val="auto"/>
                <w:kern w:val="0"/>
                <w:szCs w:val="21"/>
                <w:highlight w:val="none"/>
              </w:rPr>
              <w:t>文件章节及条款号</w:t>
            </w:r>
          </w:p>
          <w:p w14:paraId="62091F7E">
            <w:pPr>
              <w:widowControl/>
              <w:snapToGrid w:val="0"/>
              <w:jc w:val="center"/>
              <w:rPr>
                <w:rFonts w:ascii="宋体" w:hAnsi="宋体"/>
                <w:b/>
                <w:color w:val="auto"/>
                <w:kern w:val="0"/>
                <w:szCs w:val="21"/>
                <w:highlight w:val="none"/>
              </w:rPr>
            </w:pPr>
            <w:r>
              <w:rPr>
                <w:rFonts w:hint="eastAsia" w:ascii="Times New Roman" w:hAnsi="Times New Roman" w:eastAsia="宋体" w:cs="Times New Roman"/>
                <w:b/>
                <w:color w:val="auto"/>
                <w:kern w:val="0"/>
                <w:szCs w:val="21"/>
                <w:highlight w:val="none"/>
                <w:lang w:eastAsia="zh-CN"/>
              </w:rPr>
              <w:t>Chapitre et numéro de clause du dossier de réponse</w:t>
            </w:r>
          </w:p>
        </w:tc>
        <w:tc>
          <w:tcPr>
            <w:tcW w:w="1453" w:type="dxa"/>
            <w:noWrap w:val="0"/>
            <w:vAlign w:val="center"/>
          </w:tcPr>
          <w:p w14:paraId="48BF143D">
            <w:pPr>
              <w:widowControl/>
              <w:snapToGrid w:val="0"/>
              <w:jc w:val="center"/>
              <w:rPr>
                <w:rFonts w:ascii="宋体" w:hAnsi="宋体"/>
                <w:b/>
                <w:color w:val="auto"/>
                <w:kern w:val="0"/>
                <w:szCs w:val="21"/>
                <w:highlight w:val="none"/>
              </w:rPr>
            </w:pPr>
            <w:r>
              <w:rPr>
                <w:rFonts w:ascii="宋体" w:hAnsi="宋体"/>
                <w:b/>
                <w:color w:val="auto"/>
                <w:kern w:val="0"/>
                <w:szCs w:val="21"/>
                <w:highlight w:val="none"/>
              </w:rPr>
              <w:t>偏差说明</w:t>
            </w:r>
          </w:p>
          <w:p w14:paraId="2EC95545">
            <w:pPr>
              <w:widowControl/>
              <w:snapToGrid w:val="0"/>
              <w:jc w:val="center"/>
              <w:rPr>
                <w:rFonts w:ascii="宋体" w:hAnsi="宋体"/>
                <w:b/>
                <w:color w:val="auto"/>
                <w:kern w:val="0"/>
                <w:szCs w:val="21"/>
                <w:highlight w:val="none"/>
              </w:rPr>
            </w:pPr>
            <w:r>
              <w:rPr>
                <w:rFonts w:ascii="Times New Roman" w:hAnsi="Times New Roman" w:cs="Times New Roman"/>
                <w:b/>
                <w:color w:val="auto"/>
                <w:kern w:val="0"/>
                <w:szCs w:val="21"/>
                <w:highlight w:val="none"/>
              </w:rPr>
              <w:t>Description de l’écart</w:t>
            </w:r>
          </w:p>
        </w:tc>
      </w:tr>
      <w:tr w14:paraId="0AB8AF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vMerge w:val="restart"/>
            <w:noWrap w:val="0"/>
            <w:vAlign w:val="center"/>
          </w:tcPr>
          <w:p w14:paraId="763A6262">
            <w:pPr>
              <w:widowControl/>
              <w:snapToGrid w:val="0"/>
              <w:jc w:val="center"/>
              <w:rPr>
                <w:rFonts w:hint="default" w:ascii="宋体" w:hAnsi="宋体" w:eastAsia="宋体"/>
                <w:color w:val="auto"/>
                <w:kern w:val="0"/>
                <w:szCs w:val="21"/>
                <w:highlight w:val="none"/>
                <w:lang w:val="en-US" w:eastAsia="zh-CN"/>
              </w:rPr>
            </w:pPr>
            <w:r>
              <w:rPr>
                <w:rFonts w:hint="eastAsia" w:ascii="宋体" w:hAnsi="宋体"/>
                <w:color w:val="auto"/>
                <w:kern w:val="0"/>
                <w:szCs w:val="21"/>
                <w:highlight w:val="none"/>
                <w:lang w:val="en-US" w:eastAsia="zh-CN"/>
              </w:rPr>
              <w:t>商务</w:t>
            </w:r>
          </w:p>
          <w:p w14:paraId="3697F9FD">
            <w:pPr>
              <w:widowControl/>
              <w:snapToGrid w:val="0"/>
              <w:jc w:val="center"/>
              <w:rPr>
                <w:rFonts w:hint="default" w:ascii="宋体" w:hAnsi="宋体" w:eastAsia="宋体"/>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Commercial</w:t>
            </w:r>
          </w:p>
        </w:tc>
        <w:tc>
          <w:tcPr>
            <w:tcW w:w="1041" w:type="dxa"/>
            <w:noWrap w:val="0"/>
            <w:vAlign w:val="center"/>
          </w:tcPr>
          <w:p w14:paraId="207B1C5F">
            <w:pPr>
              <w:widowControl/>
              <w:snapToGrid w:val="0"/>
              <w:jc w:val="center"/>
              <w:rPr>
                <w:rFonts w:hint="default"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1</w:t>
            </w:r>
          </w:p>
        </w:tc>
        <w:tc>
          <w:tcPr>
            <w:tcW w:w="3092" w:type="dxa"/>
            <w:noWrap w:val="0"/>
            <w:vAlign w:val="center"/>
          </w:tcPr>
          <w:p w14:paraId="16365A7D">
            <w:pPr>
              <w:widowControl/>
              <w:snapToGrid w:val="0"/>
              <w:jc w:val="center"/>
              <w:rPr>
                <w:rFonts w:ascii="宋体" w:hAnsi="宋体"/>
                <w:color w:val="auto"/>
                <w:kern w:val="0"/>
                <w:szCs w:val="21"/>
                <w:highlight w:val="none"/>
              </w:rPr>
            </w:pPr>
          </w:p>
        </w:tc>
        <w:tc>
          <w:tcPr>
            <w:tcW w:w="2762" w:type="dxa"/>
            <w:noWrap w:val="0"/>
            <w:vAlign w:val="center"/>
          </w:tcPr>
          <w:p w14:paraId="2CF185EA">
            <w:pPr>
              <w:widowControl/>
              <w:snapToGrid w:val="0"/>
              <w:jc w:val="center"/>
              <w:rPr>
                <w:rFonts w:ascii="宋体" w:hAnsi="宋体"/>
                <w:color w:val="auto"/>
                <w:kern w:val="0"/>
                <w:szCs w:val="21"/>
                <w:highlight w:val="none"/>
              </w:rPr>
            </w:pPr>
          </w:p>
        </w:tc>
        <w:tc>
          <w:tcPr>
            <w:tcW w:w="1453" w:type="dxa"/>
            <w:noWrap w:val="0"/>
            <w:vAlign w:val="center"/>
          </w:tcPr>
          <w:p w14:paraId="31069E8A">
            <w:pPr>
              <w:widowControl/>
              <w:snapToGrid w:val="0"/>
              <w:jc w:val="center"/>
              <w:rPr>
                <w:rFonts w:ascii="宋体" w:hAnsi="宋体"/>
                <w:color w:val="auto"/>
                <w:kern w:val="0"/>
                <w:szCs w:val="21"/>
                <w:highlight w:val="none"/>
              </w:rPr>
            </w:pPr>
          </w:p>
        </w:tc>
      </w:tr>
      <w:tr w14:paraId="6B4280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vMerge w:val="continue"/>
            <w:noWrap w:val="0"/>
            <w:vAlign w:val="center"/>
          </w:tcPr>
          <w:p w14:paraId="75812E02">
            <w:pPr>
              <w:widowControl/>
              <w:snapToGrid w:val="0"/>
              <w:jc w:val="center"/>
              <w:rPr>
                <w:rFonts w:ascii="宋体" w:hAnsi="宋体"/>
                <w:color w:val="auto"/>
                <w:kern w:val="0"/>
                <w:szCs w:val="21"/>
                <w:highlight w:val="none"/>
              </w:rPr>
            </w:pPr>
          </w:p>
        </w:tc>
        <w:tc>
          <w:tcPr>
            <w:tcW w:w="1041" w:type="dxa"/>
            <w:noWrap w:val="0"/>
            <w:vAlign w:val="center"/>
          </w:tcPr>
          <w:p w14:paraId="649BC447">
            <w:pPr>
              <w:widowControl/>
              <w:snapToGrid w:val="0"/>
              <w:jc w:val="center"/>
              <w:rPr>
                <w:rFonts w:hint="eastAsia" w:ascii="宋体" w:hAnsi="宋体" w:eastAsia="宋体"/>
                <w:color w:val="auto"/>
                <w:kern w:val="0"/>
                <w:szCs w:val="21"/>
                <w:highlight w:val="none"/>
                <w:lang w:val="en-US" w:eastAsia="zh-CN"/>
              </w:rPr>
            </w:pPr>
            <w:r>
              <w:rPr>
                <w:rFonts w:hint="eastAsia" w:ascii="宋体" w:hAnsi="宋体"/>
                <w:color w:val="auto"/>
                <w:kern w:val="0"/>
                <w:szCs w:val="21"/>
                <w:highlight w:val="none"/>
                <w:lang w:val="en-US" w:eastAsia="zh-CN"/>
              </w:rPr>
              <w:t>2</w:t>
            </w:r>
          </w:p>
        </w:tc>
        <w:tc>
          <w:tcPr>
            <w:tcW w:w="3092" w:type="dxa"/>
            <w:noWrap w:val="0"/>
            <w:vAlign w:val="center"/>
          </w:tcPr>
          <w:p w14:paraId="7585612F">
            <w:pPr>
              <w:widowControl/>
              <w:snapToGrid w:val="0"/>
              <w:jc w:val="center"/>
              <w:rPr>
                <w:rFonts w:ascii="宋体" w:hAnsi="宋体"/>
                <w:color w:val="auto"/>
                <w:kern w:val="0"/>
                <w:szCs w:val="21"/>
                <w:highlight w:val="none"/>
              </w:rPr>
            </w:pPr>
          </w:p>
        </w:tc>
        <w:tc>
          <w:tcPr>
            <w:tcW w:w="2762" w:type="dxa"/>
            <w:noWrap w:val="0"/>
            <w:vAlign w:val="center"/>
          </w:tcPr>
          <w:p w14:paraId="7318D1C8">
            <w:pPr>
              <w:widowControl/>
              <w:snapToGrid w:val="0"/>
              <w:jc w:val="center"/>
              <w:rPr>
                <w:rFonts w:ascii="宋体" w:hAnsi="宋体"/>
                <w:color w:val="auto"/>
                <w:kern w:val="0"/>
                <w:szCs w:val="21"/>
                <w:highlight w:val="none"/>
              </w:rPr>
            </w:pPr>
          </w:p>
        </w:tc>
        <w:tc>
          <w:tcPr>
            <w:tcW w:w="1453" w:type="dxa"/>
            <w:noWrap w:val="0"/>
            <w:vAlign w:val="center"/>
          </w:tcPr>
          <w:p w14:paraId="6AB5C28B">
            <w:pPr>
              <w:widowControl/>
              <w:snapToGrid w:val="0"/>
              <w:jc w:val="center"/>
              <w:rPr>
                <w:rFonts w:ascii="宋体" w:hAnsi="宋体"/>
                <w:color w:val="auto"/>
                <w:kern w:val="0"/>
                <w:szCs w:val="21"/>
                <w:highlight w:val="none"/>
              </w:rPr>
            </w:pPr>
          </w:p>
        </w:tc>
      </w:tr>
      <w:tr w14:paraId="6211B4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vMerge w:val="continue"/>
            <w:noWrap w:val="0"/>
            <w:vAlign w:val="center"/>
          </w:tcPr>
          <w:p w14:paraId="7AF7FCD6">
            <w:pPr>
              <w:widowControl/>
              <w:snapToGrid w:val="0"/>
              <w:jc w:val="center"/>
              <w:rPr>
                <w:rFonts w:ascii="宋体" w:hAnsi="宋体"/>
                <w:color w:val="auto"/>
                <w:kern w:val="0"/>
                <w:szCs w:val="21"/>
                <w:highlight w:val="none"/>
              </w:rPr>
            </w:pPr>
          </w:p>
        </w:tc>
        <w:tc>
          <w:tcPr>
            <w:tcW w:w="1041" w:type="dxa"/>
            <w:noWrap w:val="0"/>
            <w:vAlign w:val="center"/>
          </w:tcPr>
          <w:p w14:paraId="333BEA74">
            <w:pPr>
              <w:widowControl/>
              <w:snapToGrid w:val="0"/>
              <w:jc w:val="center"/>
              <w:rPr>
                <w:rFonts w:hint="default" w:ascii="宋体" w:hAnsi="宋体" w:eastAsia="宋体"/>
                <w:color w:val="auto"/>
                <w:kern w:val="0"/>
                <w:szCs w:val="21"/>
                <w:highlight w:val="none"/>
                <w:lang w:val="en-US" w:eastAsia="zh-CN"/>
              </w:rPr>
            </w:pPr>
            <w:r>
              <w:rPr>
                <w:rFonts w:ascii="宋体" w:hAnsi="宋体"/>
                <w:color w:val="auto"/>
                <w:kern w:val="0"/>
                <w:szCs w:val="21"/>
                <w:highlight w:val="none"/>
              </w:rPr>
              <w:t>……</w:t>
            </w:r>
          </w:p>
        </w:tc>
        <w:tc>
          <w:tcPr>
            <w:tcW w:w="3092" w:type="dxa"/>
            <w:noWrap w:val="0"/>
            <w:vAlign w:val="center"/>
          </w:tcPr>
          <w:p w14:paraId="5CD6765D">
            <w:pPr>
              <w:widowControl/>
              <w:snapToGrid w:val="0"/>
              <w:jc w:val="center"/>
              <w:rPr>
                <w:rFonts w:ascii="宋体" w:hAnsi="宋体"/>
                <w:color w:val="auto"/>
                <w:kern w:val="0"/>
                <w:szCs w:val="21"/>
                <w:highlight w:val="none"/>
              </w:rPr>
            </w:pPr>
          </w:p>
        </w:tc>
        <w:tc>
          <w:tcPr>
            <w:tcW w:w="2762" w:type="dxa"/>
            <w:noWrap w:val="0"/>
            <w:vAlign w:val="center"/>
          </w:tcPr>
          <w:p w14:paraId="4CCC1541">
            <w:pPr>
              <w:widowControl/>
              <w:snapToGrid w:val="0"/>
              <w:jc w:val="center"/>
              <w:rPr>
                <w:rFonts w:ascii="宋体" w:hAnsi="宋体"/>
                <w:color w:val="auto"/>
                <w:kern w:val="0"/>
                <w:szCs w:val="21"/>
                <w:highlight w:val="none"/>
              </w:rPr>
            </w:pPr>
          </w:p>
        </w:tc>
        <w:tc>
          <w:tcPr>
            <w:tcW w:w="1453" w:type="dxa"/>
            <w:noWrap w:val="0"/>
            <w:vAlign w:val="center"/>
          </w:tcPr>
          <w:p w14:paraId="1B615963">
            <w:pPr>
              <w:widowControl/>
              <w:snapToGrid w:val="0"/>
              <w:jc w:val="center"/>
              <w:rPr>
                <w:rFonts w:ascii="宋体" w:hAnsi="宋体"/>
                <w:color w:val="auto"/>
                <w:kern w:val="0"/>
                <w:szCs w:val="21"/>
                <w:highlight w:val="none"/>
              </w:rPr>
            </w:pPr>
          </w:p>
        </w:tc>
      </w:tr>
      <w:tr w14:paraId="57D009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vMerge w:val="restart"/>
            <w:noWrap w:val="0"/>
            <w:vAlign w:val="center"/>
          </w:tcPr>
          <w:p w14:paraId="23F4C193">
            <w:pPr>
              <w:widowControl/>
              <w:snapToGrid w:val="0"/>
              <w:jc w:val="center"/>
              <w:rPr>
                <w:rFonts w:hint="eastAsia" w:ascii="宋体" w:hAnsi="宋体" w:eastAsia="宋体"/>
                <w:color w:val="auto"/>
                <w:kern w:val="0"/>
                <w:szCs w:val="21"/>
                <w:highlight w:val="none"/>
                <w:lang w:eastAsia="zh-CN"/>
              </w:rPr>
            </w:pPr>
            <w:r>
              <w:rPr>
                <w:rFonts w:hint="eastAsia" w:ascii="宋体" w:hAnsi="宋体"/>
                <w:color w:val="auto"/>
                <w:kern w:val="0"/>
                <w:szCs w:val="21"/>
                <w:highlight w:val="none"/>
                <w:lang w:val="en-US" w:eastAsia="zh-CN"/>
              </w:rPr>
              <w:t>技术</w:t>
            </w:r>
          </w:p>
          <w:p w14:paraId="42605A27">
            <w:pPr>
              <w:widowControl/>
              <w:snapToGrid w:val="0"/>
              <w:jc w:val="center"/>
              <w:rPr>
                <w:rFonts w:hint="eastAsia" w:ascii="宋体" w:hAnsi="宋体" w:eastAsia="宋体"/>
                <w:color w:val="auto"/>
                <w:kern w:val="0"/>
                <w:szCs w:val="21"/>
                <w:highlight w:val="none"/>
                <w:lang w:eastAsia="zh-CN"/>
              </w:rPr>
            </w:pPr>
            <w:r>
              <w:rPr>
                <w:rFonts w:hint="eastAsia" w:ascii="Times New Roman" w:hAnsi="Times New Roman" w:cs="Times New Roman"/>
                <w:color w:val="auto"/>
                <w:kern w:val="0"/>
                <w:szCs w:val="21"/>
                <w:highlight w:val="none"/>
                <w:lang w:val="en-US" w:eastAsia="zh-CN"/>
              </w:rPr>
              <w:t>Technique</w:t>
            </w:r>
          </w:p>
        </w:tc>
        <w:tc>
          <w:tcPr>
            <w:tcW w:w="1041" w:type="dxa"/>
            <w:noWrap w:val="0"/>
            <w:vAlign w:val="center"/>
          </w:tcPr>
          <w:p w14:paraId="0B33A4E7">
            <w:pPr>
              <w:widowControl/>
              <w:snapToGrid w:val="0"/>
              <w:jc w:val="center"/>
              <w:rPr>
                <w:rFonts w:hint="eastAsia" w:ascii="宋体" w:hAnsi="宋体" w:eastAsia="宋体"/>
                <w:color w:val="auto"/>
                <w:kern w:val="0"/>
                <w:szCs w:val="21"/>
                <w:highlight w:val="none"/>
                <w:lang w:val="en-US" w:eastAsia="zh-CN"/>
              </w:rPr>
            </w:pPr>
            <w:r>
              <w:rPr>
                <w:rFonts w:hint="eastAsia" w:ascii="宋体" w:hAnsi="宋体"/>
                <w:color w:val="auto"/>
                <w:kern w:val="0"/>
                <w:szCs w:val="21"/>
                <w:highlight w:val="none"/>
                <w:lang w:val="en-US" w:eastAsia="zh-CN"/>
              </w:rPr>
              <w:t>1</w:t>
            </w:r>
          </w:p>
        </w:tc>
        <w:tc>
          <w:tcPr>
            <w:tcW w:w="3092" w:type="dxa"/>
            <w:noWrap w:val="0"/>
            <w:vAlign w:val="center"/>
          </w:tcPr>
          <w:p w14:paraId="61F2CD2A">
            <w:pPr>
              <w:widowControl/>
              <w:snapToGrid w:val="0"/>
              <w:jc w:val="center"/>
              <w:rPr>
                <w:rFonts w:ascii="宋体" w:hAnsi="宋体"/>
                <w:color w:val="auto"/>
                <w:kern w:val="0"/>
                <w:szCs w:val="21"/>
                <w:highlight w:val="none"/>
              </w:rPr>
            </w:pPr>
          </w:p>
        </w:tc>
        <w:tc>
          <w:tcPr>
            <w:tcW w:w="2762" w:type="dxa"/>
            <w:noWrap w:val="0"/>
            <w:vAlign w:val="center"/>
          </w:tcPr>
          <w:p w14:paraId="20DBC64A">
            <w:pPr>
              <w:widowControl/>
              <w:snapToGrid w:val="0"/>
              <w:jc w:val="center"/>
              <w:rPr>
                <w:rFonts w:ascii="宋体" w:hAnsi="宋体"/>
                <w:color w:val="auto"/>
                <w:kern w:val="0"/>
                <w:szCs w:val="21"/>
                <w:highlight w:val="none"/>
              </w:rPr>
            </w:pPr>
          </w:p>
        </w:tc>
        <w:tc>
          <w:tcPr>
            <w:tcW w:w="1453" w:type="dxa"/>
            <w:noWrap w:val="0"/>
            <w:vAlign w:val="center"/>
          </w:tcPr>
          <w:p w14:paraId="6E2B5DB7">
            <w:pPr>
              <w:widowControl/>
              <w:snapToGrid w:val="0"/>
              <w:jc w:val="center"/>
              <w:rPr>
                <w:rFonts w:ascii="宋体" w:hAnsi="宋体"/>
                <w:color w:val="auto"/>
                <w:kern w:val="0"/>
                <w:szCs w:val="21"/>
                <w:highlight w:val="none"/>
              </w:rPr>
            </w:pPr>
          </w:p>
        </w:tc>
      </w:tr>
      <w:tr w14:paraId="5351E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vMerge w:val="continue"/>
            <w:noWrap w:val="0"/>
            <w:vAlign w:val="center"/>
          </w:tcPr>
          <w:p w14:paraId="13D2B649">
            <w:pPr>
              <w:widowControl/>
              <w:snapToGrid w:val="0"/>
              <w:jc w:val="center"/>
              <w:rPr>
                <w:rFonts w:ascii="宋体" w:hAnsi="宋体"/>
                <w:color w:val="auto"/>
                <w:kern w:val="0"/>
                <w:szCs w:val="21"/>
                <w:highlight w:val="none"/>
              </w:rPr>
            </w:pPr>
          </w:p>
        </w:tc>
        <w:tc>
          <w:tcPr>
            <w:tcW w:w="1041" w:type="dxa"/>
            <w:noWrap w:val="0"/>
            <w:vAlign w:val="center"/>
          </w:tcPr>
          <w:p w14:paraId="55734DF0">
            <w:pPr>
              <w:widowControl/>
              <w:snapToGrid w:val="0"/>
              <w:jc w:val="center"/>
              <w:rPr>
                <w:rFonts w:hint="eastAsia" w:ascii="宋体" w:hAnsi="宋体" w:eastAsia="宋体"/>
                <w:color w:val="auto"/>
                <w:kern w:val="0"/>
                <w:szCs w:val="21"/>
                <w:highlight w:val="none"/>
                <w:lang w:val="en-US" w:eastAsia="zh-CN"/>
              </w:rPr>
            </w:pPr>
            <w:r>
              <w:rPr>
                <w:rFonts w:hint="eastAsia" w:ascii="宋体" w:hAnsi="宋体"/>
                <w:color w:val="auto"/>
                <w:kern w:val="0"/>
                <w:szCs w:val="21"/>
                <w:highlight w:val="none"/>
                <w:lang w:val="en-US" w:eastAsia="zh-CN"/>
              </w:rPr>
              <w:t>2</w:t>
            </w:r>
          </w:p>
        </w:tc>
        <w:tc>
          <w:tcPr>
            <w:tcW w:w="3092" w:type="dxa"/>
            <w:noWrap w:val="0"/>
            <w:vAlign w:val="center"/>
          </w:tcPr>
          <w:p w14:paraId="59BBE47D">
            <w:pPr>
              <w:widowControl/>
              <w:snapToGrid w:val="0"/>
              <w:jc w:val="center"/>
              <w:rPr>
                <w:rFonts w:ascii="宋体" w:hAnsi="宋体"/>
                <w:color w:val="auto"/>
                <w:kern w:val="0"/>
                <w:szCs w:val="21"/>
                <w:highlight w:val="none"/>
              </w:rPr>
            </w:pPr>
          </w:p>
        </w:tc>
        <w:tc>
          <w:tcPr>
            <w:tcW w:w="2762" w:type="dxa"/>
            <w:noWrap w:val="0"/>
            <w:vAlign w:val="center"/>
          </w:tcPr>
          <w:p w14:paraId="6E025298">
            <w:pPr>
              <w:widowControl/>
              <w:snapToGrid w:val="0"/>
              <w:jc w:val="center"/>
              <w:rPr>
                <w:rFonts w:ascii="宋体" w:hAnsi="宋体"/>
                <w:color w:val="auto"/>
                <w:kern w:val="0"/>
                <w:szCs w:val="21"/>
                <w:highlight w:val="none"/>
              </w:rPr>
            </w:pPr>
          </w:p>
        </w:tc>
        <w:tc>
          <w:tcPr>
            <w:tcW w:w="1453" w:type="dxa"/>
            <w:noWrap w:val="0"/>
            <w:vAlign w:val="center"/>
          </w:tcPr>
          <w:p w14:paraId="23305BD8">
            <w:pPr>
              <w:widowControl/>
              <w:snapToGrid w:val="0"/>
              <w:jc w:val="center"/>
              <w:rPr>
                <w:rFonts w:ascii="宋体" w:hAnsi="宋体"/>
                <w:color w:val="auto"/>
                <w:kern w:val="0"/>
                <w:szCs w:val="21"/>
                <w:highlight w:val="none"/>
              </w:rPr>
            </w:pPr>
          </w:p>
        </w:tc>
      </w:tr>
      <w:tr w14:paraId="718917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vMerge w:val="continue"/>
            <w:noWrap w:val="0"/>
            <w:vAlign w:val="center"/>
          </w:tcPr>
          <w:p w14:paraId="2B6B1839">
            <w:pPr>
              <w:widowControl/>
              <w:snapToGrid w:val="0"/>
              <w:jc w:val="center"/>
              <w:rPr>
                <w:rFonts w:ascii="宋体" w:hAnsi="宋体"/>
                <w:color w:val="auto"/>
                <w:kern w:val="0"/>
                <w:szCs w:val="21"/>
                <w:highlight w:val="none"/>
              </w:rPr>
            </w:pPr>
          </w:p>
        </w:tc>
        <w:tc>
          <w:tcPr>
            <w:tcW w:w="1041" w:type="dxa"/>
            <w:noWrap w:val="0"/>
            <w:vAlign w:val="center"/>
          </w:tcPr>
          <w:p w14:paraId="3B03D45B">
            <w:pPr>
              <w:widowControl/>
              <w:snapToGrid w:val="0"/>
              <w:jc w:val="center"/>
              <w:rPr>
                <w:rFonts w:ascii="宋体" w:hAnsi="宋体"/>
                <w:color w:val="auto"/>
                <w:kern w:val="0"/>
                <w:szCs w:val="21"/>
                <w:highlight w:val="none"/>
              </w:rPr>
            </w:pPr>
            <w:r>
              <w:rPr>
                <w:rFonts w:ascii="宋体" w:hAnsi="宋体"/>
                <w:color w:val="auto"/>
                <w:kern w:val="0"/>
                <w:szCs w:val="21"/>
                <w:highlight w:val="none"/>
              </w:rPr>
              <w:t>……</w:t>
            </w:r>
          </w:p>
        </w:tc>
        <w:tc>
          <w:tcPr>
            <w:tcW w:w="3092" w:type="dxa"/>
            <w:noWrap w:val="0"/>
            <w:vAlign w:val="center"/>
          </w:tcPr>
          <w:p w14:paraId="6ABCF580">
            <w:pPr>
              <w:widowControl/>
              <w:snapToGrid w:val="0"/>
              <w:jc w:val="center"/>
              <w:rPr>
                <w:rFonts w:ascii="宋体" w:hAnsi="宋体"/>
                <w:color w:val="auto"/>
                <w:kern w:val="0"/>
                <w:szCs w:val="21"/>
                <w:highlight w:val="none"/>
              </w:rPr>
            </w:pPr>
          </w:p>
        </w:tc>
        <w:tc>
          <w:tcPr>
            <w:tcW w:w="2762" w:type="dxa"/>
            <w:noWrap w:val="0"/>
            <w:vAlign w:val="center"/>
          </w:tcPr>
          <w:p w14:paraId="4BEC231C">
            <w:pPr>
              <w:widowControl/>
              <w:snapToGrid w:val="0"/>
              <w:jc w:val="center"/>
              <w:rPr>
                <w:rFonts w:ascii="宋体" w:hAnsi="宋体"/>
                <w:color w:val="auto"/>
                <w:kern w:val="0"/>
                <w:szCs w:val="21"/>
                <w:highlight w:val="none"/>
              </w:rPr>
            </w:pPr>
          </w:p>
        </w:tc>
        <w:tc>
          <w:tcPr>
            <w:tcW w:w="1453" w:type="dxa"/>
            <w:noWrap w:val="0"/>
            <w:vAlign w:val="center"/>
          </w:tcPr>
          <w:p w14:paraId="405B3B95">
            <w:pPr>
              <w:widowControl/>
              <w:snapToGrid w:val="0"/>
              <w:jc w:val="center"/>
              <w:rPr>
                <w:rFonts w:ascii="宋体" w:hAnsi="宋体"/>
                <w:color w:val="auto"/>
                <w:kern w:val="0"/>
                <w:szCs w:val="21"/>
                <w:highlight w:val="none"/>
              </w:rPr>
            </w:pPr>
          </w:p>
        </w:tc>
      </w:tr>
    </w:tbl>
    <w:p w14:paraId="2F46F1E2">
      <w:pPr>
        <w:rPr>
          <w:rFonts w:ascii="Times New Roman" w:hAnsi="Times New Roman"/>
          <w:color w:val="auto"/>
          <w:szCs w:val="21"/>
          <w:highlight w:val="none"/>
        </w:rPr>
      </w:pPr>
      <w:r>
        <w:rPr>
          <w:rFonts w:hint="eastAsia" w:ascii="Times New Roman" w:hAnsi="Times New Roman"/>
          <w:color w:val="auto"/>
          <w:szCs w:val="21"/>
          <w:highlight w:val="none"/>
        </w:rPr>
        <w:t>注：1</w:t>
      </w:r>
      <w:r>
        <w:rPr>
          <w:rFonts w:ascii="Times New Roman" w:hAnsi="Times New Roman"/>
          <w:color w:val="auto"/>
          <w:szCs w:val="21"/>
          <w:highlight w:val="none"/>
        </w:rPr>
        <w:t>.</w:t>
      </w:r>
      <w:r>
        <w:rPr>
          <w:rFonts w:hint="eastAsia" w:ascii="Times New Roman" w:hAnsi="Times New Roman" w:eastAsia="宋体"/>
          <w:color w:val="auto"/>
          <w:szCs w:val="21"/>
          <w:highlight w:val="none"/>
          <w:lang w:eastAsia="zh-CN"/>
        </w:rPr>
        <w:t>响应</w:t>
      </w:r>
      <w:r>
        <w:rPr>
          <w:rFonts w:ascii="Times New Roman" w:hAnsi="Times New Roman"/>
          <w:color w:val="auto"/>
          <w:szCs w:val="21"/>
          <w:highlight w:val="none"/>
        </w:rPr>
        <w:t>人</w:t>
      </w:r>
      <w:r>
        <w:rPr>
          <w:rFonts w:hint="eastAsia" w:ascii="Times New Roman" w:hAnsi="Times New Roman"/>
          <w:color w:val="auto"/>
          <w:szCs w:val="21"/>
          <w:highlight w:val="none"/>
          <w:lang w:val="en-US" w:eastAsia="zh-CN"/>
        </w:rPr>
        <w:t>保证</w:t>
      </w:r>
      <w:r>
        <w:rPr>
          <w:rFonts w:ascii="Times New Roman" w:hAnsi="Times New Roman"/>
          <w:color w:val="auto"/>
          <w:szCs w:val="21"/>
          <w:highlight w:val="none"/>
        </w:rPr>
        <w:t>：除商务和技术偏差表列出的偏差外，</w:t>
      </w:r>
      <w:r>
        <w:rPr>
          <w:rFonts w:hint="eastAsia" w:ascii="Times New Roman" w:hAnsi="Times New Roman" w:eastAsia="宋体"/>
          <w:color w:val="auto"/>
          <w:szCs w:val="21"/>
          <w:highlight w:val="none"/>
          <w:lang w:eastAsia="zh-CN"/>
        </w:rPr>
        <w:t>响应</w:t>
      </w:r>
      <w:r>
        <w:rPr>
          <w:rFonts w:ascii="Times New Roman" w:hAnsi="Times New Roman"/>
          <w:color w:val="auto"/>
          <w:szCs w:val="21"/>
          <w:highlight w:val="none"/>
        </w:rPr>
        <w:t>人响应</w:t>
      </w:r>
      <w:r>
        <w:rPr>
          <w:rFonts w:hint="eastAsia"/>
          <w:color w:val="auto"/>
          <w:szCs w:val="21"/>
          <w:highlight w:val="none"/>
          <w:lang w:eastAsia="zh-CN"/>
        </w:rPr>
        <w:t>谈判</w:t>
      </w:r>
      <w:r>
        <w:rPr>
          <w:rFonts w:hint="eastAsia" w:ascii="Times New Roman" w:hAnsi="Times New Roman"/>
          <w:color w:val="auto"/>
          <w:szCs w:val="21"/>
          <w:highlight w:val="none"/>
          <w:lang w:eastAsia="zh-CN"/>
        </w:rPr>
        <w:t>文件</w:t>
      </w:r>
      <w:r>
        <w:rPr>
          <w:rFonts w:ascii="Times New Roman" w:hAnsi="Times New Roman"/>
          <w:color w:val="auto"/>
          <w:szCs w:val="21"/>
          <w:highlight w:val="none"/>
        </w:rPr>
        <w:t>的全部要求</w:t>
      </w:r>
      <w:r>
        <w:rPr>
          <w:rFonts w:hint="eastAsia" w:ascii="Times New Roman" w:hAnsi="Times New Roman"/>
          <w:color w:val="auto"/>
          <w:szCs w:val="21"/>
          <w:highlight w:val="none"/>
        </w:rPr>
        <w:t>；</w:t>
      </w:r>
    </w:p>
    <w:p w14:paraId="0FD45A1E">
      <w:pPr>
        <w:rPr>
          <w:rFonts w:ascii="Times New Roman" w:hAnsi="Times New Roman"/>
          <w:color w:val="auto"/>
          <w:szCs w:val="21"/>
          <w:highlight w:val="none"/>
        </w:rPr>
      </w:pPr>
      <w:r>
        <w:rPr>
          <w:rFonts w:hint="eastAsia" w:ascii="Times New Roman" w:hAnsi="Times New Roman" w:cs="Times New Roman"/>
          <w:color w:val="auto"/>
          <w:szCs w:val="21"/>
          <w:highlight w:val="none"/>
        </w:rPr>
        <w:t>Note : 1. Le soumissionnaire garantit qu’à l’exception des écarts indiqués dans le tableau des écarts commerciaux et techniques, son dossier de réponse satisfait à toutes les exigences du dossier de consultation ;</w:t>
      </w:r>
    </w:p>
    <w:p w14:paraId="20736B20">
      <w:pPr>
        <w:numPr>
          <w:ilvl w:val="0"/>
          <w:numId w:val="0"/>
        </w:numPr>
        <w:ind w:firstLine="420" w:firstLineChars="200"/>
        <w:rPr>
          <w:rFonts w:hint="eastAsia"/>
          <w:highlight w:val="none"/>
        </w:rPr>
      </w:pPr>
      <w:r>
        <w:rPr>
          <w:rFonts w:hint="eastAsia" w:eastAsia="宋体"/>
          <w:color w:val="auto"/>
          <w:highlight w:val="none"/>
          <w:lang w:val="en-US" w:eastAsia="zh-CN"/>
        </w:rPr>
        <w:t>2.</w:t>
      </w:r>
      <w:r>
        <w:rPr>
          <w:rFonts w:hint="eastAsia" w:eastAsia="宋体"/>
          <w:color w:val="auto"/>
          <w:highlight w:val="none"/>
          <w:lang w:eastAsia="zh-CN"/>
        </w:rPr>
        <w:t>响应</w:t>
      </w:r>
      <w:r>
        <w:rPr>
          <w:rFonts w:hint="eastAsia"/>
          <w:color w:val="auto"/>
          <w:highlight w:val="none"/>
        </w:rPr>
        <w:t>人要按所提供的表格填写</w:t>
      </w:r>
      <w:r>
        <w:rPr>
          <w:rFonts w:hint="eastAsia" w:eastAsia="宋体"/>
          <w:color w:val="auto"/>
          <w:highlight w:val="none"/>
          <w:lang w:eastAsia="zh-CN"/>
        </w:rPr>
        <w:t>响应</w:t>
      </w:r>
      <w:r>
        <w:rPr>
          <w:rFonts w:hint="eastAsia"/>
          <w:color w:val="auto"/>
          <w:highlight w:val="none"/>
        </w:rPr>
        <w:t>文件和</w:t>
      </w:r>
      <w:r>
        <w:rPr>
          <w:rFonts w:hint="eastAsia"/>
          <w:color w:val="auto"/>
          <w:highlight w:val="none"/>
          <w:lang w:eastAsia="zh-CN"/>
        </w:rPr>
        <w:t>谈判文件</w:t>
      </w:r>
      <w:r>
        <w:rPr>
          <w:rFonts w:hint="eastAsia"/>
          <w:color w:val="auto"/>
          <w:highlight w:val="none"/>
        </w:rPr>
        <w:t>之间的偏差</w:t>
      </w:r>
      <w:r>
        <w:rPr>
          <w:rFonts w:hint="eastAsia"/>
          <w:color w:val="auto"/>
          <w:highlight w:val="none"/>
          <w:lang w:eastAsia="zh-CN"/>
        </w:rPr>
        <w:t>，</w:t>
      </w:r>
      <w:r>
        <w:rPr>
          <w:rFonts w:hint="eastAsia"/>
          <w:highlight w:val="none"/>
        </w:rPr>
        <w:t>并将商务和技术偏差分别</w:t>
      </w:r>
      <w:r>
        <w:rPr>
          <w:rFonts w:hint="eastAsia"/>
          <w:highlight w:val="none"/>
          <w:lang w:val="en-US" w:eastAsia="zh-CN"/>
        </w:rPr>
        <w:t>列出；</w:t>
      </w:r>
    </w:p>
    <w:p w14:paraId="60D2985B">
      <w:pPr>
        <w:ind w:firstLine="420" w:firstLineChars="200"/>
        <w:rPr>
          <w:rFonts w:hint="eastAsia"/>
          <w:highlight w:val="none"/>
        </w:rPr>
      </w:pPr>
      <w:r>
        <w:rPr>
          <w:rFonts w:hint="eastAsia" w:ascii="Times New Roman" w:hAnsi="Times New Roman" w:eastAsia="宋体" w:cs="Times New Roman"/>
          <w:color w:val="auto"/>
          <w:highlight w:val="none"/>
          <w:lang w:val="en-US" w:eastAsia="zh-CN"/>
        </w:rPr>
        <w:t>2. Le soumissionnaire doit remplir, selon le tableau fourni, les écarts entre son dossier de réponse et le dossier de consultation et distinguer séparément les écarts commerciaux et les écarts techniques ;</w:t>
      </w:r>
    </w:p>
    <w:p w14:paraId="174AD94F">
      <w:pPr>
        <w:ind w:firstLine="410"/>
        <w:rPr>
          <w:color w:val="auto"/>
          <w:highlight w:val="none"/>
        </w:rPr>
      </w:pPr>
      <w:r>
        <w:rPr>
          <w:rFonts w:hint="eastAsia"/>
          <w:highlight w:val="none"/>
          <w:lang w:val="en-US" w:eastAsia="zh-CN"/>
        </w:rPr>
        <w:t>3.</w:t>
      </w:r>
      <w:r>
        <w:rPr>
          <w:rFonts w:hint="eastAsia"/>
          <w:highlight w:val="none"/>
        </w:rPr>
        <w:t>响应人在上表中未提出偏差，视为完全响应</w:t>
      </w:r>
      <w:r>
        <w:rPr>
          <w:rFonts w:hint="eastAsia"/>
          <w:color w:val="auto"/>
          <w:szCs w:val="21"/>
          <w:highlight w:val="none"/>
          <w:lang w:eastAsia="zh-CN"/>
        </w:rPr>
        <w:t>谈判</w:t>
      </w:r>
      <w:r>
        <w:rPr>
          <w:rFonts w:hint="eastAsia" w:ascii="Times New Roman" w:hAnsi="Times New Roman"/>
          <w:color w:val="auto"/>
          <w:szCs w:val="21"/>
          <w:highlight w:val="none"/>
          <w:lang w:eastAsia="zh-CN"/>
        </w:rPr>
        <w:t>文件</w:t>
      </w:r>
      <w:r>
        <w:rPr>
          <w:rFonts w:hint="eastAsia"/>
          <w:highlight w:val="none"/>
        </w:rPr>
        <w:t>。</w:t>
      </w:r>
    </w:p>
    <w:p w14:paraId="39A5A542">
      <w:pPr>
        <w:ind w:firstLine="410"/>
        <w:rPr>
          <w:color w:val="auto"/>
          <w:highlight w:val="none"/>
        </w:rPr>
      </w:pPr>
      <w:r>
        <w:rPr>
          <w:rFonts w:hint="eastAsia" w:ascii="Times New Roman" w:hAnsi="Times New Roman" w:cs="Times New Roman"/>
          <w:highlight w:val="none"/>
          <w:lang w:val="en-US" w:eastAsia="zh-CN"/>
        </w:rPr>
        <w:t>3. Tout point pour lequel aucun écart n’est indiqué dans le tableau est réputé pleinement conforme au dossier de consultation.</w:t>
      </w:r>
    </w:p>
    <w:p w14:paraId="75E79FEE">
      <w:pPr>
        <w:ind w:firstLine="410"/>
        <w:rPr>
          <w:color w:val="auto"/>
          <w:highlight w:val="none"/>
        </w:rPr>
      </w:pPr>
    </w:p>
    <w:p w14:paraId="11CAFF6D">
      <w:pPr>
        <w:ind w:firstLine="410"/>
        <w:rPr>
          <w:color w:val="auto"/>
          <w:highlight w:val="none"/>
        </w:rPr>
      </w:pPr>
    </w:p>
    <w:p w14:paraId="52C8F9F0">
      <w:pPr>
        <w:ind w:firstLine="410"/>
        <w:rPr>
          <w:color w:val="auto"/>
          <w:highlight w:val="none"/>
        </w:rPr>
      </w:pPr>
    </w:p>
    <w:p w14:paraId="0AF5FDE3">
      <w:pPr>
        <w:ind w:firstLine="410"/>
        <w:rPr>
          <w:color w:val="auto"/>
          <w:highlight w:val="none"/>
        </w:rPr>
      </w:pPr>
    </w:p>
    <w:p w14:paraId="6E89D252">
      <w:pPr>
        <w:ind w:firstLine="410"/>
        <w:rPr>
          <w:rFonts w:ascii="Times New Roman" w:hAnsi="Times New Roman"/>
          <w:color w:val="auto"/>
          <w:szCs w:val="21"/>
          <w:highlight w:val="none"/>
        </w:rPr>
      </w:pPr>
    </w:p>
    <w:p w14:paraId="79B1C02E">
      <w:pPr>
        <w:pStyle w:val="3"/>
        <w:keepLines w:val="0"/>
        <w:pageBreakBefore w:val="0"/>
        <w:widowControl w:val="0"/>
        <w:kinsoku/>
        <w:wordWrap/>
        <w:overflowPunct/>
        <w:topLinePunct w:val="0"/>
        <w:autoSpaceDE/>
        <w:autoSpaceDN/>
        <w:bidi w:val="0"/>
        <w:snapToGrid/>
        <w:spacing w:before="0" w:after="0" w:line="360" w:lineRule="auto"/>
        <w:ind w:left="0" w:leftChars="0" w:right="0" w:rightChars="0"/>
        <w:jc w:val="center"/>
        <w:rPr>
          <w:rFonts w:hint="eastAsia" w:ascii="宋体" w:hAnsi="宋体" w:eastAsia="宋体" w:cs="宋体"/>
          <w:b/>
          <w:bCs w:val="0"/>
          <w:kern w:val="2"/>
          <w:sz w:val="28"/>
          <w:szCs w:val="21"/>
          <w:highlight w:val="none"/>
          <w:lang w:val="en-US" w:eastAsia="zh-CN" w:bidi="ar-SA"/>
        </w:rPr>
      </w:pPr>
      <w:r>
        <w:rPr>
          <w:rFonts w:ascii="Times New Roman" w:hAnsi="Times New Roman" w:eastAsia="黑体"/>
          <w:color w:val="auto"/>
          <w:sz w:val="20"/>
          <w:highlight w:val="none"/>
        </w:rPr>
        <w:br w:type="page"/>
      </w:r>
      <w:bookmarkStart w:id="90" w:name="_Toc492288523"/>
      <w:bookmarkStart w:id="91" w:name="_Toc6561435"/>
      <w:bookmarkStart w:id="92" w:name="_Toc27797"/>
      <w:bookmarkStart w:id="93" w:name="_Toc7213"/>
      <w:bookmarkStart w:id="94" w:name="_Toc29766"/>
      <w:bookmarkStart w:id="95" w:name="_Toc6561436"/>
      <w:bookmarkStart w:id="96" w:name="_Toc492288524"/>
      <w:r>
        <w:rPr>
          <w:rFonts w:hint="eastAsia" w:ascii="宋体" w:hAnsi="宋体" w:cs="宋体"/>
          <w:b/>
          <w:bCs w:val="0"/>
          <w:kern w:val="2"/>
          <w:sz w:val="28"/>
          <w:szCs w:val="21"/>
          <w:highlight w:val="none"/>
          <w:lang w:val="en-US" w:eastAsia="zh-CN" w:bidi="ar-SA"/>
        </w:rPr>
        <w:t>四</w:t>
      </w:r>
      <w:r>
        <w:rPr>
          <w:rFonts w:hint="eastAsia" w:ascii="宋体" w:hAnsi="宋体" w:eastAsia="宋体" w:cs="宋体"/>
          <w:b/>
          <w:bCs w:val="0"/>
          <w:kern w:val="2"/>
          <w:sz w:val="28"/>
          <w:szCs w:val="21"/>
          <w:highlight w:val="none"/>
          <w:lang w:val="en-US" w:eastAsia="zh-CN" w:bidi="ar-SA"/>
        </w:rPr>
        <w:t>、</w:t>
      </w:r>
      <w:bookmarkEnd w:id="90"/>
      <w:bookmarkEnd w:id="91"/>
      <w:r>
        <w:rPr>
          <w:rFonts w:hint="eastAsia" w:ascii="宋体" w:hAnsi="宋体" w:eastAsia="宋体" w:cs="宋体"/>
          <w:b/>
          <w:bCs w:val="0"/>
          <w:kern w:val="2"/>
          <w:sz w:val="28"/>
          <w:szCs w:val="21"/>
          <w:highlight w:val="none"/>
          <w:lang w:val="en-US" w:eastAsia="zh-CN" w:bidi="ar-SA"/>
        </w:rPr>
        <w:t>资格审查资料</w:t>
      </w:r>
      <w:bookmarkEnd w:id="92"/>
      <w:bookmarkEnd w:id="93"/>
      <w:bookmarkEnd w:id="94"/>
    </w:p>
    <w:p w14:paraId="71376F0F">
      <w:pPr>
        <w:keepLines w:val="0"/>
        <w:widowControl w:val="0"/>
        <w:kinsoku/>
        <w:wordWrap/>
        <w:overflowPunct/>
        <w:topLinePunct w:val="0"/>
        <w:autoSpaceDE/>
        <w:autoSpaceDN/>
        <w:bidi w:val="0"/>
        <w:snapToGrid/>
        <w:spacing w:before="0" w:after="0" w:line="360" w:lineRule="auto"/>
        <w:ind w:left="0" w:leftChars="0" w:right="0" w:rightChars="0"/>
        <w:jc w:val="center"/>
        <w:rPr>
          <w:rFonts w:hint="eastAsia" w:ascii="宋体" w:hAnsi="宋体" w:eastAsia="宋体" w:cs="宋体"/>
          <w:b/>
          <w:bCs w:val="0"/>
          <w:kern w:val="2"/>
          <w:sz w:val="28"/>
          <w:szCs w:val="21"/>
          <w:highlight w:val="none"/>
          <w:lang w:val="en-US" w:eastAsia="zh-CN" w:bidi="ar-SA"/>
        </w:rPr>
      </w:pPr>
      <w:r>
        <w:rPr>
          <w:rFonts w:hint="eastAsia" w:ascii="Times New Roman" w:hAnsi="Times New Roman" w:cs="Times New Roman"/>
          <w:b/>
          <w:bCs w:val="0"/>
          <w:kern w:val="2"/>
          <w:sz w:val="28"/>
          <w:szCs w:val="21"/>
          <w:highlight w:val="none"/>
          <w:lang w:val="en-US" w:eastAsia="zh-CN" w:bidi="ar-SA"/>
        </w:rPr>
        <w:t>IV. Documents de qualification</w:t>
      </w:r>
    </w:p>
    <w:bookmarkEnd w:id="95"/>
    <w:bookmarkEnd w:id="96"/>
    <w:p w14:paraId="41E73942">
      <w:pPr>
        <w:keepNext/>
        <w:keepLines/>
        <w:spacing w:before="20" w:line="412" w:lineRule="auto"/>
        <w:ind w:firstLine="103" w:firstLineChars="49"/>
        <w:outlineLvl w:val="2"/>
        <w:rPr>
          <w:b/>
          <w:szCs w:val="21"/>
          <w:highlight w:val="none"/>
        </w:rPr>
      </w:pPr>
      <w:r>
        <w:rPr>
          <w:b/>
          <w:szCs w:val="21"/>
          <w:highlight w:val="none"/>
        </w:rPr>
        <w:t>（一）基本情况表</w:t>
      </w:r>
    </w:p>
    <w:p w14:paraId="4CC96C7F">
      <w:pPr>
        <w:keepLines/>
        <w:spacing w:before="20" w:line="412" w:lineRule="auto"/>
        <w:ind w:firstLine="103" w:firstLineChars="49"/>
        <w:outlineLvl w:val="2"/>
        <w:rPr>
          <w:b/>
          <w:szCs w:val="21"/>
          <w:highlight w:val="none"/>
        </w:rPr>
      </w:pPr>
      <w:r>
        <w:rPr>
          <w:rFonts w:ascii="Times New Roman" w:hAnsi="Times New Roman" w:cs="Times New Roman"/>
          <w:b/>
          <w:szCs w:val="21"/>
          <w:highlight w:val="none"/>
        </w:rPr>
        <w:t>(I) Tableau des informations générales</w:t>
      </w:r>
    </w:p>
    <w:tbl>
      <w:tblPr>
        <w:tblStyle w:val="33"/>
        <w:tblW w:w="5000" w:type="pct"/>
        <w:tblInd w:w="0" w:type="dxa"/>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Layout w:type="autofit"/>
        <w:tblCellMar>
          <w:top w:w="0" w:type="dxa"/>
          <w:left w:w="108" w:type="dxa"/>
          <w:bottom w:w="0" w:type="dxa"/>
          <w:right w:w="108" w:type="dxa"/>
        </w:tblCellMar>
      </w:tblPr>
      <w:tblGrid>
        <w:gridCol w:w="1867"/>
        <w:gridCol w:w="1001"/>
        <w:gridCol w:w="1701"/>
        <w:gridCol w:w="675"/>
        <w:gridCol w:w="511"/>
        <w:gridCol w:w="976"/>
        <w:gridCol w:w="122"/>
        <w:gridCol w:w="976"/>
        <w:gridCol w:w="1345"/>
      </w:tblGrid>
      <w:tr w14:paraId="46CD2423">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3311FA70">
            <w:pPr>
              <w:rPr>
                <w:rFonts w:hint="eastAsia" w:ascii="宋体" w:hAnsi="宋体"/>
                <w:sz w:val="18"/>
                <w:szCs w:val="18"/>
                <w:highlight w:val="none"/>
              </w:rPr>
            </w:pPr>
            <w:r>
              <w:rPr>
                <w:rFonts w:hint="eastAsia" w:ascii="宋体" w:hAnsi="宋体"/>
                <w:sz w:val="18"/>
                <w:szCs w:val="18"/>
                <w:highlight w:val="none"/>
              </w:rPr>
              <w:t>响应人名称</w:t>
            </w:r>
          </w:p>
          <w:p w14:paraId="67DC396E">
            <w:pPr>
              <w:rPr>
                <w:rFonts w:hint="eastAsia" w:ascii="宋体" w:hAnsi="宋体"/>
                <w:sz w:val="18"/>
                <w:szCs w:val="18"/>
                <w:highlight w:val="none"/>
              </w:rPr>
            </w:pPr>
            <w:r>
              <w:rPr>
                <w:rFonts w:hint="eastAsia" w:ascii="Times New Roman" w:hAnsi="Times New Roman" w:cs="Times New Roman"/>
                <w:sz w:val="18"/>
                <w:szCs w:val="18"/>
                <w:highlight w:val="none"/>
              </w:rPr>
              <w:t>Nom du soumissionnaire</w:t>
            </w:r>
          </w:p>
        </w:tc>
        <w:tc>
          <w:tcPr>
            <w:tcW w:w="3962" w:type="pct"/>
            <w:gridSpan w:val="8"/>
            <w:noWrap w:val="0"/>
            <w:vAlign w:val="center"/>
          </w:tcPr>
          <w:p w14:paraId="4A4252A4">
            <w:pPr>
              <w:rPr>
                <w:rFonts w:hint="eastAsia" w:ascii="宋体" w:hAnsi="宋体"/>
                <w:sz w:val="18"/>
                <w:szCs w:val="18"/>
                <w:highlight w:val="none"/>
              </w:rPr>
            </w:pPr>
          </w:p>
        </w:tc>
      </w:tr>
      <w:tr w14:paraId="55373272">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1F8B7B21">
            <w:pPr>
              <w:rPr>
                <w:rFonts w:hint="eastAsia" w:ascii="宋体" w:hAnsi="宋体"/>
                <w:sz w:val="18"/>
                <w:szCs w:val="18"/>
                <w:highlight w:val="none"/>
              </w:rPr>
            </w:pPr>
            <w:r>
              <w:rPr>
                <w:rFonts w:ascii="宋体" w:hAnsi="宋体"/>
                <w:sz w:val="18"/>
                <w:szCs w:val="18"/>
                <w:highlight w:val="none"/>
              </w:rPr>
              <w:t>注册地址</w:t>
            </w:r>
          </w:p>
          <w:p w14:paraId="25290B8C">
            <w:pPr>
              <w:rPr>
                <w:rFonts w:hint="eastAsia" w:ascii="宋体" w:hAnsi="宋体"/>
                <w:sz w:val="18"/>
                <w:szCs w:val="18"/>
                <w:highlight w:val="none"/>
              </w:rPr>
            </w:pPr>
            <w:r>
              <w:rPr>
                <w:rFonts w:ascii="Times New Roman" w:hAnsi="Times New Roman" w:cs="Times New Roman"/>
                <w:sz w:val="18"/>
                <w:szCs w:val="18"/>
                <w:highlight w:val="none"/>
              </w:rPr>
              <w:t>Adresse du siège enregistré</w:t>
            </w:r>
          </w:p>
        </w:tc>
        <w:tc>
          <w:tcPr>
            <w:tcW w:w="2168" w:type="pct"/>
            <w:gridSpan w:val="4"/>
            <w:noWrap w:val="0"/>
            <w:vAlign w:val="center"/>
          </w:tcPr>
          <w:p w14:paraId="0E15E28E">
            <w:pPr>
              <w:rPr>
                <w:rFonts w:hint="eastAsia" w:ascii="宋体" w:hAnsi="宋体"/>
                <w:sz w:val="18"/>
                <w:szCs w:val="18"/>
                <w:highlight w:val="none"/>
              </w:rPr>
            </w:pPr>
          </w:p>
        </w:tc>
        <w:tc>
          <w:tcPr>
            <w:tcW w:w="571" w:type="pct"/>
            <w:noWrap w:val="0"/>
            <w:vAlign w:val="center"/>
          </w:tcPr>
          <w:p w14:paraId="0AD9958C">
            <w:pPr>
              <w:rPr>
                <w:rFonts w:hint="eastAsia" w:ascii="宋体" w:hAnsi="宋体"/>
                <w:sz w:val="18"/>
                <w:szCs w:val="18"/>
                <w:highlight w:val="none"/>
              </w:rPr>
            </w:pPr>
            <w:r>
              <w:rPr>
                <w:rFonts w:ascii="宋体" w:hAnsi="宋体"/>
                <w:sz w:val="18"/>
                <w:szCs w:val="18"/>
                <w:highlight w:val="none"/>
              </w:rPr>
              <w:t>邮政编码</w:t>
            </w:r>
          </w:p>
          <w:p w14:paraId="0036F9CC">
            <w:pPr>
              <w:rPr>
                <w:rFonts w:hint="eastAsia" w:ascii="宋体" w:hAnsi="宋体"/>
                <w:sz w:val="18"/>
                <w:szCs w:val="18"/>
                <w:highlight w:val="none"/>
              </w:rPr>
            </w:pPr>
            <w:r>
              <w:rPr>
                <w:rFonts w:ascii="Times New Roman" w:hAnsi="Times New Roman" w:cs="Times New Roman"/>
                <w:sz w:val="18"/>
                <w:szCs w:val="18"/>
                <w:highlight w:val="none"/>
              </w:rPr>
              <w:t>Code postal</w:t>
            </w:r>
          </w:p>
        </w:tc>
        <w:tc>
          <w:tcPr>
            <w:tcW w:w="1223" w:type="pct"/>
            <w:gridSpan w:val="3"/>
            <w:noWrap w:val="0"/>
            <w:vAlign w:val="center"/>
          </w:tcPr>
          <w:p w14:paraId="6160DF3F">
            <w:pPr>
              <w:rPr>
                <w:rFonts w:hint="eastAsia" w:ascii="宋体" w:hAnsi="宋体"/>
                <w:sz w:val="18"/>
                <w:szCs w:val="18"/>
                <w:highlight w:val="none"/>
              </w:rPr>
            </w:pPr>
          </w:p>
        </w:tc>
      </w:tr>
      <w:tr w14:paraId="1630E72E">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vMerge w:val="restart"/>
            <w:noWrap w:val="0"/>
            <w:vAlign w:val="center"/>
          </w:tcPr>
          <w:p w14:paraId="2853FF28">
            <w:pPr>
              <w:rPr>
                <w:rFonts w:hint="eastAsia" w:ascii="宋体" w:hAnsi="宋体"/>
                <w:sz w:val="18"/>
                <w:szCs w:val="18"/>
                <w:highlight w:val="none"/>
              </w:rPr>
            </w:pPr>
            <w:r>
              <w:rPr>
                <w:rFonts w:ascii="宋体" w:hAnsi="宋体"/>
                <w:sz w:val="18"/>
                <w:szCs w:val="18"/>
                <w:highlight w:val="none"/>
              </w:rPr>
              <w:t>联系方式</w:t>
            </w:r>
          </w:p>
          <w:p w14:paraId="22E22B3D">
            <w:pPr>
              <w:rPr>
                <w:rFonts w:hint="eastAsia" w:ascii="宋体" w:hAnsi="宋体"/>
                <w:sz w:val="18"/>
                <w:szCs w:val="18"/>
                <w:highlight w:val="none"/>
              </w:rPr>
            </w:pPr>
            <w:r>
              <w:rPr>
                <w:rFonts w:ascii="Times New Roman" w:hAnsi="Times New Roman" w:cs="Times New Roman"/>
                <w:sz w:val="18"/>
                <w:szCs w:val="18"/>
                <w:highlight w:val="none"/>
              </w:rPr>
              <w:t>Coordonnées</w:t>
            </w:r>
          </w:p>
        </w:tc>
        <w:tc>
          <w:tcPr>
            <w:tcW w:w="565" w:type="pct"/>
            <w:noWrap w:val="0"/>
            <w:vAlign w:val="center"/>
          </w:tcPr>
          <w:p w14:paraId="1F476822">
            <w:pPr>
              <w:rPr>
                <w:rFonts w:hint="eastAsia" w:ascii="宋体" w:hAnsi="宋体"/>
                <w:sz w:val="18"/>
                <w:szCs w:val="18"/>
                <w:highlight w:val="none"/>
              </w:rPr>
            </w:pPr>
            <w:r>
              <w:rPr>
                <w:rFonts w:ascii="宋体" w:hAnsi="宋体"/>
                <w:sz w:val="18"/>
                <w:szCs w:val="18"/>
                <w:highlight w:val="none"/>
              </w:rPr>
              <w:t>联系人</w:t>
            </w:r>
          </w:p>
          <w:p w14:paraId="03EC4EE3">
            <w:pPr>
              <w:rPr>
                <w:rFonts w:hint="eastAsia" w:ascii="宋体" w:hAnsi="宋体"/>
                <w:sz w:val="18"/>
                <w:szCs w:val="18"/>
                <w:highlight w:val="none"/>
              </w:rPr>
            </w:pPr>
            <w:r>
              <w:rPr>
                <w:rFonts w:ascii="Times New Roman" w:hAnsi="Times New Roman" w:cs="Times New Roman"/>
                <w:sz w:val="18"/>
                <w:szCs w:val="18"/>
                <w:highlight w:val="none"/>
              </w:rPr>
              <w:t>Contact</w:t>
            </w:r>
          </w:p>
        </w:tc>
        <w:tc>
          <w:tcPr>
            <w:tcW w:w="1602" w:type="pct"/>
            <w:gridSpan w:val="3"/>
            <w:noWrap w:val="0"/>
            <w:vAlign w:val="center"/>
          </w:tcPr>
          <w:p w14:paraId="79CAC8A9">
            <w:pPr>
              <w:rPr>
                <w:rFonts w:hint="eastAsia" w:ascii="宋体" w:hAnsi="宋体"/>
                <w:sz w:val="18"/>
                <w:szCs w:val="18"/>
                <w:highlight w:val="none"/>
              </w:rPr>
            </w:pPr>
          </w:p>
        </w:tc>
        <w:tc>
          <w:tcPr>
            <w:tcW w:w="571" w:type="pct"/>
            <w:noWrap w:val="0"/>
            <w:vAlign w:val="center"/>
          </w:tcPr>
          <w:p w14:paraId="398E8246">
            <w:pPr>
              <w:rPr>
                <w:rFonts w:hint="eastAsia" w:ascii="宋体" w:hAnsi="宋体"/>
                <w:sz w:val="18"/>
                <w:szCs w:val="18"/>
                <w:highlight w:val="none"/>
              </w:rPr>
            </w:pPr>
            <w:r>
              <w:rPr>
                <w:rFonts w:ascii="宋体" w:hAnsi="宋体"/>
                <w:sz w:val="18"/>
                <w:szCs w:val="18"/>
                <w:highlight w:val="none"/>
              </w:rPr>
              <w:t>电话</w:t>
            </w:r>
          </w:p>
          <w:p w14:paraId="3164EE91">
            <w:pPr>
              <w:rPr>
                <w:rFonts w:hint="eastAsia" w:ascii="宋体" w:hAnsi="宋体"/>
                <w:sz w:val="18"/>
                <w:szCs w:val="18"/>
                <w:highlight w:val="none"/>
              </w:rPr>
            </w:pPr>
            <w:r>
              <w:rPr>
                <w:rFonts w:ascii="Times New Roman" w:hAnsi="Times New Roman" w:cs="Times New Roman"/>
                <w:sz w:val="18"/>
                <w:szCs w:val="18"/>
                <w:highlight w:val="none"/>
              </w:rPr>
              <w:t>Téléphone</w:t>
            </w:r>
          </w:p>
        </w:tc>
        <w:tc>
          <w:tcPr>
            <w:tcW w:w="1223" w:type="pct"/>
            <w:gridSpan w:val="3"/>
            <w:noWrap w:val="0"/>
            <w:vAlign w:val="center"/>
          </w:tcPr>
          <w:p w14:paraId="0B0791E5">
            <w:pPr>
              <w:rPr>
                <w:rFonts w:hint="eastAsia" w:ascii="宋体" w:hAnsi="宋体"/>
                <w:sz w:val="18"/>
                <w:szCs w:val="18"/>
                <w:highlight w:val="none"/>
              </w:rPr>
            </w:pPr>
          </w:p>
        </w:tc>
      </w:tr>
      <w:tr w14:paraId="7590A47B">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vMerge w:val="continue"/>
            <w:noWrap w:val="0"/>
            <w:vAlign w:val="center"/>
          </w:tcPr>
          <w:p w14:paraId="0A385AB0">
            <w:pPr>
              <w:rPr>
                <w:rFonts w:hint="eastAsia" w:ascii="宋体" w:hAnsi="宋体"/>
                <w:sz w:val="18"/>
                <w:szCs w:val="18"/>
                <w:highlight w:val="none"/>
              </w:rPr>
            </w:pPr>
          </w:p>
        </w:tc>
        <w:tc>
          <w:tcPr>
            <w:tcW w:w="565" w:type="pct"/>
            <w:noWrap w:val="0"/>
            <w:vAlign w:val="center"/>
          </w:tcPr>
          <w:p w14:paraId="5152BD4E">
            <w:pPr>
              <w:rPr>
                <w:rFonts w:hint="eastAsia" w:ascii="宋体" w:hAnsi="宋体"/>
                <w:sz w:val="18"/>
                <w:szCs w:val="18"/>
                <w:highlight w:val="none"/>
              </w:rPr>
            </w:pPr>
            <w:r>
              <w:rPr>
                <w:rFonts w:ascii="宋体" w:hAnsi="宋体"/>
                <w:sz w:val="18"/>
                <w:szCs w:val="18"/>
                <w:highlight w:val="none"/>
              </w:rPr>
              <w:t>传真</w:t>
            </w:r>
          </w:p>
          <w:p w14:paraId="75873EDE">
            <w:pPr>
              <w:rPr>
                <w:rFonts w:hint="eastAsia" w:ascii="宋体" w:hAnsi="宋体"/>
                <w:sz w:val="18"/>
                <w:szCs w:val="18"/>
                <w:highlight w:val="none"/>
              </w:rPr>
            </w:pPr>
            <w:r>
              <w:rPr>
                <w:rFonts w:ascii="Times New Roman" w:hAnsi="Times New Roman" w:cs="Times New Roman"/>
                <w:sz w:val="18"/>
                <w:szCs w:val="18"/>
                <w:highlight w:val="none"/>
              </w:rPr>
              <w:t>Télécopie</w:t>
            </w:r>
          </w:p>
        </w:tc>
        <w:tc>
          <w:tcPr>
            <w:tcW w:w="1602" w:type="pct"/>
            <w:gridSpan w:val="3"/>
            <w:noWrap w:val="0"/>
            <w:vAlign w:val="center"/>
          </w:tcPr>
          <w:p w14:paraId="39782252">
            <w:pPr>
              <w:rPr>
                <w:rFonts w:hint="eastAsia" w:ascii="宋体" w:hAnsi="宋体"/>
                <w:sz w:val="18"/>
                <w:szCs w:val="18"/>
                <w:highlight w:val="none"/>
              </w:rPr>
            </w:pPr>
          </w:p>
        </w:tc>
        <w:tc>
          <w:tcPr>
            <w:tcW w:w="571" w:type="pct"/>
            <w:noWrap w:val="0"/>
            <w:vAlign w:val="center"/>
          </w:tcPr>
          <w:p w14:paraId="44941A55">
            <w:pPr>
              <w:rPr>
                <w:rFonts w:hint="eastAsia" w:ascii="宋体" w:hAnsi="宋体"/>
                <w:sz w:val="18"/>
                <w:szCs w:val="18"/>
                <w:highlight w:val="none"/>
              </w:rPr>
            </w:pPr>
            <w:r>
              <w:rPr>
                <w:rFonts w:ascii="宋体" w:hAnsi="宋体"/>
                <w:sz w:val="18"/>
                <w:szCs w:val="18"/>
                <w:highlight w:val="none"/>
              </w:rPr>
              <w:t>网址</w:t>
            </w:r>
          </w:p>
          <w:p w14:paraId="363B681F">
            <w:pPr>
              <w:rPr>
                <w:rFonts w:hint="eastAsia" w:ascii="宋体" w:hAnsi="宋体"/>
                <w:sz w:val="18"/>
                <w:szCs w:val="18"/>
                <w:highlight w:val="none"/>
              </w:rPr>
            </w:pPr>
            <w:r>
              <w:rPr>
                <w:rFonts w:ascii="Times New Roman" w:hAnsi="Times New Roman" w:cs="Times New Roman"/>
                <w:sz w:val="18"/>
                <w:szCs w:val="18"/>
                <w:highlight w:val="none"/>
              </w:rPr>
              <w:t>Site Internet</w:t>
            </w:r>
          </w:p>
        </w:tc>
        <w:tc>
          <w:tcPr>
            <w:tcW w:w="1223" w:type="pct"/>
            <w:gridSpan w:val="3"/>
            <w:noWrap w:val="0"/>
            <w:vAlign w:val="center"/>
          </w:tcPr>
          <w:p w14:paraId="1C58552C">
            <w:pPr>
              <w:rPr>
                <w:rFonts w:hint="eastAsia" w:ascii="宋体" w:hAnsi="宋体"/>
                <w:sz w:val="18"/>
                <w:szCs w:val="18"/>
                <w:highlight w:val="none"/>
              </w:rPr>
            </w:pPr>
          </w:p>
        </w:tc>
      </w:tr>
      <w:tr w14:paraId="69E78D43">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6C993DED">
            <w:pPr>
              <w:rPr>
                <w:rFonts w:hint="eastAsia" w:ascii="宋体" w:hAnsi="宋体"/>
                <w:sz w:val="18"/>
                <w:szCs w:val="18"/>
                <w:highlight w:val="none"/>
              </w:rPr>
            </w:pPr>
            <w:r>
              <w:rPr>
                <w:rFonts w:ascii="宋体" w:hAnsi="宋体"/>
                <w:sz w:val="18"/>
                <w:szCs w:val="18"/>
                <w:highlight w:val="none"/>
              </w:rPr>
              <w:t>组织结构</w:t>
            </w:r>
          </w:p>
          <w:p w14:paraId="5BCC3C9F">
            <w:pPr>
              <w:rPr>
                <w:rFonts w:hint="eastAsia" w:ascii="宋体" w:hAnsi="宋体"/>
                <w:sz w:val="18"/>
                <w:szCs w:val="18"/>
                <w:highlight w:val="none"/>
              </w:rPr>
            </w:pPr>
            <w:r>
              <w:rPr>
                <w:rFonts w:ascii="Times New Roman" w:hAnsi="Times New Roman" w:cs="Times New Roman"/>
                <w:sz w:val="18"/>
                <w:szCs w:val="18"/>
                <w:highlight w:val="none"/>
              </w:rPr>
              <w:t>Structure organisationnelle</w:t>
            </w:r>
          </w:p>
        </w:tc>
        <w:tc>
          <w:tcPr>
            <w:tcW w:w="3962" w:type="pct"/>
            <w:gridSpan w:val="8"/>
            <w:noWrap w:val="0"/>
            <w:vAlign w:val="center"/>
          </w:tcPr>
          <w:p w14:paraId="4EA1B720">
            <w:pPr>
              <w:rPr>
                <w:rFonts w:hint="eastAsia" w:ascii="宋体" w:hAnsi="宋体"/>
                <w:sz w:val="18"/>
                <w:szCs w:val="18"/>
                <w:highlight w:val="none"/>
              </w:rPr>
            </w:pPr>
          </w:p>
        </w:tc>
      </w:tr>
      <w:tr w14:paraId="13C554DD">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10682DB9">
            <w:pPr>
              <w:rPr>
                <w:rFonts w:hint="eastAsia" w:ascii="宋体" w:hAnsi="宋体"/>
                <w:sz w:val="18"/>
                <w:szCs w:val="18"/>
                <w:highlight w:val="none"/>
              </w:rPr>
            </w:pPr>
            <w:r>
              <w:rPr>
                <w:rFonts w:ascii="宋体" w:hAnsi="宋体"/>
                <w:sz w:val="18"/>
                <w:szCs w:val="18"/>
                <w:highlight w:val="none"/>
              </w:rPr>
              <w:t>法定代表人</w:t>
            </w:r>
          </w:p>
          <w:p w14:paraId="54695F4B">
            <w:pPr>
              <w:rPr>
                <w:rFonts w:hint="eastAsia" w:ascii="宋体" w:hAnsi="宋体"/>
                <w:sz w:val="18"/>
                <w:szCs w:val="18"/>
                <w:highlight w:val="none"/>
              </w:rPr>
            </w:pPr>
            <w:r>
              <w:rPr>
                <w:rFonts w:ascii="Times New Roman" w:hAnsi="Times New Roman" w:cs="Times New Roman"/>
                <w:sz w:val="18"/>
                <w:szCs w:val="18"/>
                <w:highlight w:val="none"/>
              </w:rPr>
              <w:t>Représentant légal</w:t>
            </w:r>
          </w:p>
        </w:tc>
        <w:tc>
          <w:tcPr>
            <w:tcW w:w="565" w:type="pct"/>
            <w:noWrap w:val="0"/>
            <w:vAlign w:val="center"/>
          </w:tcPr>
          <w:p w14:paraId="3BD6E071">
            <w:pPr>
              <w:rPr>
                <w:rFonts w:hint="eastAsia" w:ascii="宋体" w:hAnsi="宋体"/>
                <w:sz w:val="18"/>
                <w:szCs w:val="18"/>
                <w:highlight w:val="none"/>
              </w:rPr>
            </w:pPr>
            <w:r>
              <w:rPr>
                <w:rFonts w:ascii="宋体" w:hAnsi="宋体"/>
                <w:sz w:val="18"/>
                <w:szCs w:val="18"/>
                <w:highlight w:val="none"/>
              </w:rPr>
              <w:t>姓名</w:t>
            </w:r>
          </w:p>
          <w:p w14:paraId="580134C0">
            <w:pPr>
              <w:rPr>
                <w:rFonts w:hint="eastAsia" w:ascii="宋体" w:hAnsi="宋体"/>
                <w:sz w:val="18"/>
                <w:szCs w:val="18"/>
                <w:highlight w:val="none"/>
              </w:rPr>
            </w:pPr>
            <w:r>
              <w:rPr>
                <w:rFonts w:ascii="Times New Roman" w:hAnsi="Times New Roman" w:cs="Times New Roman"/>
                <w:sz w:val="18"/>
                <w:szCs w:val="18"/>
                <w:highlight w:val="none"/>
              </w:rPr>
              <w:t>Nom</w:t>
            </w:r>
          </w:p>
        </w:tc>
        <w:tc>
          <w:tcPr>
            <w:tcW w:w="946" w:type="pct"/>
            <w:noWrap w:val="0"/>
            <w:vAlign w:val="center"/>
          </w:tcPr>
          <w:p w14:paraId="345001E5">
            <w:pPr>
              <w:rPr>
                <w:rFonts w:hint="eastAsia" w:ascii="宋体" w:hAnsi="宋体"/>
                <w:sz w:val="18"/>
                <w:szCs w:val="18"/>
                <w:highlight w:val="none"/>
              </w:rPr>
            </w:pPr>
          </w:p>
        </w:tc>
        <w:tc>
          <w:tcPr>
            <w:tcW w:w="656" w:type="pct"/>
            <w:gridSpan w:val="2"/>
            <w:noWrap w:val="0"/>
            <w:vAlign w:val="center"/>
          </w:tcPr>
          <w:p w14:paraId="0640E80D">
            <w:pPr>
              <w:rPr>
                <w:rFonts w:hint="eastAsia" w:ascii="宋体" w:hAnsi="宋体"/>
                <w:sz w:val="18"/>
                <w:szCs w:val="18"/>
                <w:highlight w:val="none"/>
              </w:rPr>
            </w:pPr>
            <w:r>
              <w:rPr>
                <w:rFonts w:ascii="宋体" w:hAnsi="宋体"/>
                <w:sz w:val="18"/>
                <w:szCs w:val="18"/>
                <w:highlight w:val="none"/>
              </w:rPr>
              <w:t>技术职称</w:t>
            </w:r>
          </w:p>
          <w:p w14:paraId="7BD3CA98">
            <w:pPr>
              <w:rPr>
                <w:rFonts w:hint="eastAsia" w:ascii="宋体" w:hAnsi="宋体"/>
                <w:sz w:val="18"/>
                <w:szCs w:val="18"/>
                <w:highlight w:val="none"/>
              </w:rPr>
            </w:pPr>
            <w:r>
              <w:rPr>
                <w:rFonts w:ascii="Times New Roman" w:hAnsi="Times New Roman" w:cs="Times New Roman"/>
                <w:sz w:val="18"/>
                <w:szCs w:val="18"/>
                <w:highlight w:val="none"/>
              </w:rPr>
              <w:t>Titre professionnel</w:t>
            </w:r>
          </w:p>
        </w:tc>
        <w:tc>
          <w:tcPr>
            <w:tcW w:w="664" w:type="pct"/>
            <w:gridSpan w:val="2"/>
            <w:noWrap w:val="0"/>
            <w:vAlign w:val="center"/>
          </w:tcPr>
          <w:p w14:paraId="2CE002F5">
            <w:pPr>
              <w:rPr>
                <w:rFonts w:hint="eastAsia" w:ascii="宋体" w:hAnsi="宋体"/>
                <w:sz w:val="18"/>
                <w:szCs w:val="18"/>
                <w:highlight w:val="none"/>
              </w:rPr>
            </w:pPr>
          </w:p>
        </w:tc>
        <w:tc>
          <w:tcPr>
            <w:tcW w:w="378" w:type="pct"/>
            <w:noWrap w:val="0"/>
            <w:vAlign w:val="center"/>
          </w:tcPr>
          <w:p w14:paraId="1E361A05">
            <w:pPr>
              <w:rPr>
                <w:rFonts w:hint="eastAsia" w:ascii="宋体" w:hAnsi="宋体"/>
                <w:sz w:val="18"/>
                <w:szCs w:val="18"/>
                <w:highlight w:val="none"/>
              </w:rPr>
            </w:pPr>
            <w:r>
              <w:rPr>
                <w:rFonts w:ascii="宋体" w:hAnsi="宋体"/>
                <w:sz w:val="18"/>
                <w:szCs w:val="18"/>
                <w:highlight w:val="none"/>
              </w:rPr>
              <w:t>电话</w:t>
            </w:r>
          </w:p>
          <w:p w14:paraId="6BC2C33E">
            <w:pPr>
              <w:rPr>
                <w:rFonts w:hint="eastAsia" w:ascii="宋体" w:hAnsi="宋体"/>
                <w:sz w:val="18"/>
                <w:szCs w:val="18"/>
                <w:highlight w:val="none"/>
              </w:rPr>
            </w:pPr>
            <w:r>
              <w:rPr>
                <w:rFonts w:ascii="Times New Roman" w:hAnsi="Times New Roman" w:cs="Times New Roman"/>
                <w:sz w:val="18"/>
                <w:szCs w:val="18"/>
                <w:highlight w:val="none"/>
              </w:rPr>
              <w:t>Téléphone</w:t>
            </w:r>
          </w:p>
        </w:tc>
        <w:tc>
          <w:tcPr>
            <w:tcW w:w="751" w:type="pct"/>
            <w:noWrap w:val="0"/>
            <w:vAlign w:val="center"/>
          </w:tcPr>
          <w:p w14:paraId="68F4A250">
            <w:pPr>
              <w:rPr>
                <w:rFonts w:hint="eastAsia" w:ascii="宋体" w:hAnsi="宋体"/>
                <w:sz w:val="18"/>
                <w:szCs w:val="18"/>
                <w:highlight w:val="none"/>
              </w:rPr>
            </w:pPr>
          </w:p>
        </w:tc>
      </w:tr>
      <w:tr w14:paraId="60E5C387">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3E004C6A">
            <w:pPr>
              <w:rPr>
                <w:rFonts w:hint="eastAsia" w:ascii="宋体" w:hAnsi="宋体"/>
                <w:sz w:val="18"/>
                <w:szCs w:val="18"/>
                <w:highlight w:val="none"/>
              </w:rPr>
            </w:pPr>
            <w:r>
              <w:rPr>
                <w:rFonts w:ascii="宋体" w:hAnsi="宋体"/>
                <w:sz w:val="18"/>
                <w:szCs w:val="18"/>
                <w:highlight w:val="none"/>
              </w:rPr>
              <w:t>技术负责人</w:t>
            </w:r>
          </w:p>
          <w:p w14:paraId="550CE186">
            <w:pPr>
              <w:rPr>
                <w:rFonts w:hint="eastAsia" w:ascii="宋体" w:hAnsi="宋体"/>
                <w:sz w:val="18"/>
                <w:szCs w:val="18"/>
                <w:highlight w:val="none"/>
              </w:rPr>
            </w:pPr>
            <w:r>
              <w:rPr>
                <w:rFonts w:ascii="Times New Roman" w:hAnsi="Times New Roman" w:cs="Times New Roman"/>
                <w:sz w:val="18"/>
                <w:szCs w:val="18"/>
                <w:highlight w:val="none"/>
              </w:rPr>
              <w:t>Responsable technique</w:t>
            </w:r>
          </w:p>
        </w:tc>
        <w:tc>
          <w:tcPr>
            <w:tcW w:w="565" w:type="pct"/>
            <w:noWrap w:val="0"/>
            <w:vAlign w:val="center"/>
          </w:tcPr>
          <w:p w14:paraId="3BB10CFD">
            <w:pPr>
              <w:rPr>
                <w:rFonts w:hint="eastAsia" w:ascii="宋体" w:hAnsi="宋体"/>
                <w:sz w:val="18"/>
                <w:szCs w:val="18"/>
                <w:highlight w:val="none"/>
              </w:rPr>
            </w:pPr>
            <w:r>
              <w:rPr>
                <w:rFonts w:ascii="宋体" w:hAnsi="宋体"/>
                <w:sz w:val="18"/>
                <w:szCs w:val="18"/>
                <w:highlight w:val="none"/>
              </w:rPr>
              <w:t>姓名</w:t>
            </w:r>
          </w:p>
          <w:p w14:paraId="76AB4B00">
            <w:pPr>
              <w:rPr>
                <w:rFonts w:hint="eastAsia" w:ascii="宋体" w:hAnsi="宋体"/>
                <w:sz w:val="18"/>
                <w:szCs w:val="18"/>
                <w:highlight w:val="none"/>
              </w:rPr>
            </w:pPr>
            <w:r>
              <w:rPr>
                <w:rFonts w:ascii="Times New Roman" w:hAnsi="Times New Roman" w:cs="Times New Roman"/>
                <w:sz w:val="18"/>
                <w:szCs w:val="18"/>
                <w:highlight w:val="none"/>
              </w:rPr>
              <w:t>Nom</w:t>
            </w:r>
          </w:p>
        </w:tc>
        <w:tc>
          <w:tcPr>
            <w:tcW w:w="946" w:type="pct"/>
            <w:noWrap w:val="0"/>
            <w:vAlign w:val="center"/>
          </w:tcPr>
          <w:p w14:paraId="3F9CF4C3">
            <w:pPr>
              <w:rPr>
                <w:rFonts w:hint="eastAsia" w:ascii="宋体" w:hAnsi="宋体"/>
                <w:sz w:val="18"/>
                <w:szCs w:val="18"/>
                <w:highlight w:val="none"/>
              </w:rPr>
            </w:pPr>
          </w:p>
        </w:tc>
        <w:tc>
          <w:tcPr>
            <w:tcW w:w="656" w:type="pct"/>
            <w:gridSpan w:val="2"/>
            <w:noWrap w:val="0"/>
            <w:vAlign w:val="center"/>
          </w:tcPr>
          <w:p w14:paraId="6AFA8405">
            <w:pPr>
              <w:rPr>
                <w:rFonts w:hint="eastAsia" w:ascii="宋体" w:hAnsi="宋体"/>
                <w:sz w:val="18"/>
                <w:szCs w:val="18"/>
                <w:highlight w:val="none"/>
              </w:rPr>
            </w:pPr>
            <w:r>
              <w:rPr>
                <w:rFonts w:ascii="宋体" w:hAnsi="宋体"/>
                <w:sz w:val="18"/>
                <w:szCs w:val="18"/>
                <w:highlight w:val="none"/>
              </w:rPr>
              <w:t>技术职称</w:t>
            </w:r>
          </w:p>
          <w:p w14:paraId="1532D4B4">
            <w:pPr>
              <w:rPr>
                <w:rFonts w:hint="eastAsia" w:ascii="宋体" w:hAnsi="宋体"/>
                <w:sz w:val="18"/>
                <w:szCs w:val="18"/>
                <w:highlight w:val="none"/>
              </w:rPr>
            </w:pPr>
            <w:r>
              <w:rPr>
                <w:rFonts w:ascii="Times New Roman" w:hAnsi="Times New Roman" w:cs="Times New Roman"/>
                <w:sz w:val="18"/>
                <w:szCs w:val="18"/>
                <w:highlight w:val="none"/>
              </w:rPr>
              <w:t>Titre professionnel</w:t>
            </w:r>
          </w:p>
        </w:tc>
        <w:tc>
          <w:tcPr>
            <w:tcW w:w="664" w:type="pct"/>
            <w:gridSpan w:val="2"/>
            <w:noWrap w:val="0"/>
            <w:vAlign w:val="center"/>
          </w:tcPr>
          <w:p w14:paraId="60ACADB0">
            <w:pPr>
              <w:rPr>
                <w:rFonts w:hint="eastAsia" w:ascii="宋体" w:hAnsi="宋体"/>
                <w:sz w:val="18"/>
                <w:szCs w:val="18"/>
                <w:highlight w:val="none"/>
              </w:rPr>
            </w:pPr>
          </w:p>
        </w:tc>
        <w:tc>
          <w:tcPr>
            <w:tcW w:w="378" w:type="pct"/>
            <w:noWrap w:val="0"/>
            <w:vAlign w:val="center"/>
          </w:tcPr>
          <w:p w14:paraId="4E9DB5D0">
            <w:pPr>
              <w:rPr>
                <w:rFonts w:hint="eastAsia" w:ascii="宋体" w:hAnsi="宋体"/>
                <w:sz w:val="18"/>
                <w:szCs w:val="18"/>
                <w:highlight w:val="none"/>
              </w:rPr>
            </w:pPr>
            <w:r>
              <w:rPr>
                <w:rFonts w:ascii="宋体" w:hAnsi="宋体"/>
                <w:sz w:val="18"/>
                <w:szCs w:val="18"/>
                <w:highlight w:val="none"/>
              </w:rPr>
              <w:t>电话</w:t>
            </w:r>
          </w:p>
          <w:p w14:paraId="453CE858">
            <w:pPr>
              <w:rPr>
                <w:rFonts w:hint="eastAsia" w:ascii="宋体" w:hAnsi="宋体"/>
                <w:sz w:val="18"/>
                <w:szCs w:val="18"/>
                <w:highlight w:val="none"/>
              </w:rPr>
            </w:pPr>
            <w:r>
              <w:rPr>
                <w:rFonts w:ascii="Times New Roman" w:hAnsi="Times New Roman" w:cs="Times New Roman"/>
                <w:sz w:val="18"/>
                <w:szCs w:val="18"/>
                <w:highlight w:val="none"/>
              </w:rPr>
              <w:t>Téléphone</w:t>
            </w:r>
          </w:p>
        </w:tc>
        <w:tc>
          <w:tcPr>
            <w:tcW w:w="751" w:type="pct"/>
            <w:noWrap w:val="0"/>
            <w:vAlign w:val="center"/>
          </w:tcPr>
          <w:p w14:paraId="4AF6805F">
            <w:pPr>
              <w:rPr>
                <w:rFonts w:hint="eastAsia" w:ascii="宋体" w:hAnsi="宋体"/>
                <w:sz w:val="18"/>
                <w:szCs w:val="18"/>
                <w:highlight w:val="none"/>
              </w:rPr>
            </w:pPr>
          </w:p>
        </w:tc>
      </w:tr>
      <w:tr w14:paraId="2519FD37">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616C8857">
            <w:pPr>
              <w:rPr>
                <w:rFonts w:hint="eastAsia" w:ascii="宋体" w:hAnsi="宋体"/>
                <w:sz w:val="18"/>
                <w:szCs w:val="18"/>
                <w:highlight w:val="none"/>
              </w:rPr>
            </w:pPr>
            <w:r>
              <w:rPr>
                <w:rFonts w:ascii="宋体" w:hAnsi="宋体"/>
                <w:sz w:val="18"/>
                <w:szCs w:val="18"/>
                <w:highlight w:val="none"/>
              </w:rPr>
              <w:t>成立时间</w:t>
            </w:r>
          </w:p>
          <w:p w14:paraId="373301CC">
            <w:pPr>
              <w:rPr>
                <w:rFonts w:hint="eastAsia" w:ascii="宋体" w:hAnsi="宋体"/>
                <w:sz w:val="18"/>
                <w:szCs w:val="18"/>
                <w:highlight w:val="none"/>
              </w:rPr>
            </w:pPr>
            <w:r>
              <w:rPr>
                <w:rFonts w:ascii="Times New Roman" w:hAnsi="Times New Roman" w:cs="Times New Roman"/>
                <w:sz w:val="18"/>
                <w:szCs w:val="18"/>
                <w:highlight w:val="none"/>
              </w:rPr>
              <w:t>Date de création</w:t>
            </w:r>
          </w:p>
        </w:tc>
        <w:tc>
          <w:tcPr>
            <w:tcW w:w="1511" w:type="pct"/>
            <w:gridSpan w:val="2"/>
            <w:noWrap w:val="0"/>
            <w:vAlign w:val="center"/>
          </w:tcPr>
          <w:p w14:paraId="50CF9843">
            <w:pPr>
              <w:rPr>
                <w:rFonts w:hint="eastAsia" w:ascii="宋体" w:hAnsi="宋体"/>
                <w:sz w:val="18"/>
                <w:szCs w:val="18"/>
                <w:highlight w:val="none"/>
              </w:rPr>
            </w:pPr>
          </w:p>
        </w:tc>
        <w:tc>
          <w:tcPr>
            <w:tcW w:w="2450" w:type="pct"/>
            <w:gridSpan w:val="6"/>
            <w:noWrap w:val="0"/>
            <w:vAlign w:val="center"/>
          </w:tcPr>
          <w:p w14:paraId="381A5F27">
            <w:pPr>
              <w:rPr>
                <w:rFonts w:hint="eastAsia" w:ascii="宋体" w:hAnsi="宋体"/>
                <w:sz w:val="18"/>
                <w:szCs w:val="18"/>
                <w:highlight w:val="none"/>
              </w:rPr>
            </w:pPr>
            <w:r>
              <w:rPr>
                <w:rFonts w:ascii="宋体" w:hAnsi="宋体"/>
                <w:sz w:val="18"/>
                <w:szCs w:val="18"/>
                <w:highlight w:val="none"/>
              </w:rPr>
              <w:t>员工总人数：</w:t>
            </w:r>
          </w:p>
          <w:p w14:paraId="007D0155">
            <w:pPr>
              <w:rPr>
                <w:rFonts w:hint="eastAsia" w:ascii="宋体" w:hAnsi="宋体"/>
                <w:sz w:val="18"/>
                <w:szCs w:val="18"/>
                <w:highlight w:val="none"/>
              </w:rPr>
            </w:pPr>
            <w:r>
              <w:rPr>
                <w:rFonts w:ascii="Times New Roman" w:hAnsi="Times New Roman" w:cs="Times New Roman"/>
                <w:sz w:val="18"/>
                <w:szCs w:val="18"/>
                <w:highlight w:val="none"/>
              </w:rPr>
              <w:t>Effectif total :</w:t>
            </w:r>
          </w:p>
        </w:tc>
      </w:tr>
      <w:tr w14:paraId="77E78782">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1D945081">
            <w:pPr>
              <w:rPr>
                <w:rFonts w:hint="eastAsia" w:ascii="宋体" w:hAnsi="宋体"/>
                <w:sz w:val="18"/>
                <w:szCs w:val="18"/>
                <w:highlight w:val="none"/>
              </w:rPr>
            </w:pPr>
            <w:r>
              <w:rPr>
                <w:rFonts w:ascii="宋体" w:hAnsi="宋体"/>
                <w:sz w:val="18"/>
                <w:szCs w:val="18"/>
                <w:highlight w:val="none"/>
              </w:rPr>
              <w:t>企业资质等级</w:t>
            </w:r>
          </w:p>
          <w:p w14:paraId="14DE5B3A">
            <w:pPr>
              <w:rPr>
                <w:rFonts w:hint="eastAsia" w:ascii="宋体" w:hAnsi="宋体"/>
                <w:sz w:val="18"/>
                <w:szCs w:val="18"/>
                <w:highlight w:val="none"/>
              </w:rPr>
            </w:pPr>
            <w:r>
              <w:rPr>
                <w:rFonts w:ascii="Times New Roman" w:hAnsi="Times New Roman" w:cs="Times New Roman"/>
                <w:sz w:val="18"/>
                <w:szCs w:val="18"/>
                <w:highlight w:val="none"/>
              </w:rPr>
              <w:t>Niveau de qualification de l’entreprise</w:t>
            </w:r>
          </w:p>
        </w:tc>
        <w:tc>
          <w:tcPr>
            <w:tcW w:w="1511" w:type="pct"/>
            <w:gridSpan w:val="2"/>
            <w:noWrap w:val="0"/>
            <w:vAlign w:val="center"/>
          </w:tcPr>
          <w:p w14:paraId="4490C1E5">
            <w:pPr>
              <w:rPr>
                <w:rFonts w:hint="eastAsia" w:ascii="宋体" w:hAnsi="宋体"/>
                <w:sz w:val="18"/>
                <w:szCs w:val="18"/>
                <w:highlight w:val="none"/>
              </w:rPr>
            </w:pPr>
          </w:p>
        </w:tc>
        <w:tc>
          <w:tcPr>
            <w:tcW w:w="374" w:type="pct"/>
            <w:vMerge w:val="restart"/>
            <w:noWrap w:val="0"/>
            <w:vAlign w:val="center"/>
          </w:tcPr>
          <w:p w14:paraId="235006BC">
            <w:pPr>
              <w:rPr>
                <w:rFonts w:hint="eastAsia" w:ascii="宋体" w:hAnsi="宋体"/>
                <w:sz w:val="18"/>
                <w:szCs w:val="18"/>
                <w:highlight w:val="none"/>
              </w:rPr>
            </w:pPr>
            <w:r>
              <w:rPr>
                <w:rFonts w:ascii="宋体" w:hAnsi="宋体"/>
                <w:sz w:val="18"/>
                <w:szCs w:val="18"/>
                <w:highlight w:val="none"/>
              </w:rPr>
              <w:t>其中</w:t>
            </w:r>
          </w:p>
          <w:p w14:paraId="26EEE7C6">
            <w:pPr>
              <w:rPr>
                <w:rFonts w:hint="eastAsia" w:ascii="宋体" w:hAnsi="宋体"/>
                <w:sz w:val="18"/>
                <w:szCs w:val="18"/>
                <w:highlight w:val="none"/>
              </w:rPr>
            </w:pPr>
            <w:r>
              <w:rPr>
                <w:rFonts w:ascii="Times New Roman" w:hAnsi="Times New Roman" w:cs="Times New Roman"/>
                <w:sz w:val="18"/>
                <w:szCs w:val="18"/>
                <w:highlight w:val="none"/>
              </w:rPr>
              <w:t>Dont</w:t>
            </w:r>
          </w:p>
        </w:tc>
        <w:tc>
          <w:tcPr>
            <w:tcW w:w="946" w:type="pct"/>
            <w:gridSpan w:val="3"/>
            <w:noWrap w:val="0"/>
            <w:vAlign w:val="center"/>
          </w:tcPr>
          <w:p w14:paraId="0F402EF1">
            <w:pPr>
              <w:rPr>
                <w:rFonts w:hint="eastAsia" w:ascii="宋体" w:hAnsi="宋体"/>
                <w:sz w:val="18"/>
                <w:szCs w:val="18"/>
                <w:highlight w:val="none"/>
              </w:rPr>
            </w:pPr>
            <w:r>
              <w:rPr>
                <w:rFonts w:ascii="宋体" w:hAnsi="宋体"/>
                <w:sz w:val="18"/>
                <w:szCs w:val="18"/>
                <w:highlight w:val="none"/>
              </w:rPr>
              <w:t>客户经理</w:t>
            </w:r>
          </w:p>
          <w:p w14:paraId="056FBB0D">
            <w:pPr>
              <w:rPr>
                <w:rFonts w:hint="eastAsia" w:ascii="宋体" w:hAnsi="宋体"/>
                <w:sz w:val="18"/>
                <w:szCs w:val="18"/>
                <w:highlight w:val="none"/>
              </w:rPr>
            </w:pPr>
            <w:r>
              <w:rPr>
                <w:rFonts w:ascii="Times New Roman" w:hAnsi="Times New Roman" w:cs="Times New Roman"/>
                <w:sz w:val="18"/>
                <w:szCs w:val="18"/>
                <w:highlight w:val="none"/>
              </w:rPr>
              <w:t>Responsables clientèle</w:t>
            </w:r>
          </w:p>
        </w:tc>
        <w:tc>
          <w:tcPr>
            <w:tcW w:w="1129" w:type="pct"/>
            <w:gridSpan w:val="2"/>
            <w:noWrap w:val="0"/>
            <w:vAlign w:val="center"/>
          </w:tcPr>
          <w:p w14:paraId="009DF03B">
            <w:pPr>
              <w:rPr>
                <w:rFonts w:hint="eastAsia" w:ascii="宋体" w:hAnsi="宋体"/>
                <w:sz w:val="18"/>
                <w:szCs w:val="18"/>
                <w:highlight w:val="none"/>
              </w:rPr>
            </w:pPr>
          </w:p>
        </w:tc>
      </w:tr>
      <w:tr w14:paraId="791D24C5">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17289EE3">
            <w:pPr>
              <w:rPr>
                <w:rFonts w:hint="eastAsia" w:ascii="宋体" w:hAnsi="宋体"/>
                <w:sz w:val="18"/>
                <w:szCs w:val="18"/>
                <w:highlight w:val="none"/>
              </w:rPr>
            </w:pPr>
            <w:r>
              <w:rPr>
                <w:rFonts w:ascii="宋体" w:hAnsi="宋体"/>
                <w:sz w:val="18"/>
                <w:szCs w:val="18"/>
                <w:highlight w:val="none"/>
              </w:rPr>
              <w:t>营业执照/RCCM号</w:t>
            </w:r>
          </w:p>
          <w:p w14:paraId="082F00E2">
            <w:pPr>
              <w:rPr>
                <w:rFonts w:hint="eastAsia" w:ascii="宋体" w:hAnsi="宋体"/>
                <w:sz w:val="18"/>
                <w:szCs w:val="18"/>
                <w:highlight w:val="none"/>
              </w:rPr>
            </w:pPr>
            <w:r>
              <w:rPr>
                <w:rFonts w:ascii="Times New Roman" w:hAnsi="Times New Roman" w:cs="Times New Roman"/>
                <w:sz w:val="18"/>
                <w:szCs w:val="18"/>
                <w:highlight w:val="none"/>
              </w:rPr>
              <w:t>N° de licence commerciale/RCCM</w:t>
            </w:r>
          </w:p>
        </w:tc>
        <w:tc>
          <w:tcPr>
            <w:tcW w:w="1511" w:type="pct"/>
            <w:gridSpan w:val="2"/>
            <w:noWrap w:val="0"/>
            <w:vAlign w:val="center"/>
          </w:tcPr>
          <w:p w14:paraId="1FFA1151">
            <w:pPr>
              <w:rPr>
                <w:rFonts w:hint="eastAsia" w:ascii="宋体" w:hAnsi="宋体"/>
                <w:sz w:val="18"/>
                <w:szCs w:val="18"/>
                <w:highlight w:val="none"/>
              </w:rPr>
            </w:pPr>
          </w:p>
        </w:tc>
        <w:tc>
          <w:tcPr>
            <w:tcW w:w="374" w:type="pct"/>
            <w:vMerge w:val="continue"/>
            <w:noWrap w:val="0"/>
            <w:vAlign w:val="center"/>
          </w:tcPr>
          <w:p w14:paraId="23178E5B">
            <w:pPr>
              <w:rPr>
                <w:rFonts w:hint="eastAsia" w:ascii="宋体" w:hAnsi="宋体"/>
                <w:sz w:val="18"/>
                <w:szCs w:val="18"/>
                <w:highlight w:val="none"/>
              </w:rPr>
            </w:pPr>
          </w:p>
        </w:tc>
        <w:tc>
          <w:tcPr>
            <w:tcW w:w="946" w:type="pct"/>
            <w:gridSpan w:val="3"/>
            <w:noWrap w:val="0"/>
            <w:vAlign w:val="center"/>
          </w:tcPr>
          <w:p w14:paraId="0D73DADC">
            <w:pPr>
              <w:rPr>
                <w:rFonts w:hint="eastAsia" w:ascii="宋体" w:hAnsi="宋体"/>
                <w:sz w:val="18"/>
                <w:szCs w:val="18"/>
                <w:highlight w:val="none"/>
              </w:rPr>
            </w:pPr>
            <w:r>
              <w:rPr>
                <w:rFonts w:ascii="宋体" w:hAnsi="宋体"/>
                <w:sz w:val="18"/>
                <w:szCs w:val="18"/>
                <w:highlight w:val="none"/>
              </w:rPr>
              <w:t>高级职称人员</w:t>
            </w:r>
          </w:p>
          <w:p w14:paraId="07ED2CFC">
            <w:pPr>
              <w:rPr>
                <w:rFonts w:hint="eastAsia" w:ascii="宋体" w:hAnsi="宋体"/>
                <w:sz w:val="18"/>
                <w:szCs w:val="18"/>
                <w:highlight w:val="none"/>
              </w:rPr>
            </w:pPr>
            <w:r>
              <w:rPr>
                <w:rFonts w:ascii="Times New Roman" w:hAnsi="Times New Roman" w:cs="Times New Roman"/>
                <w:sz w:val="18"/>
                <w:szCs w:val="18"/>
                <w:highlight w:val="none"/>
              </w:rPr>
              <w:t>Personnel titulaire d’un titre professionnel de niveau supérieur</w:t>
            </w:r>
          </w:p>
        </w:tc>
        <w:tc>
          <w:tcPr>
            <w:tcW w:w="1129" w:type="pct"/>
            <w:gridSpan w:val="2"/>
            <w:noWrap w:val="0"/>
            <w:vAlign w:val="center"/>
          </w:tcPr>
          <w:p w14:paraId="272FBC61">
            <w:pPr>
              <w:rPr>
                <w:rFonts w:hint="eastAsia" w:ascii="宋体" w:hAnsi="宋体"/>
                <w:sz w:val="18"/>
                <w:szCs w:val="18"/>
                <w:highlight w:val="none"/>
              </w:rPr>
            </w:pPr>
          </w:p>
        </w:tc>
      </w:tr>
      <w:tr w14:paraId="7320EFB2">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28D8DE9E">
            <w:pPr>
              <w:rPr>
                <w:rFonts w:hint="eastAsia" w:ascii="宋体" w:hAnsi="宋体"/>
                <w:sz w:val="18"/>
                <w:szCs w:val="18"/>
                <w:highlight w:val="none"/>
              </w:rPr>
            </w:pPr>
            <w:r>
              <w:rPr>
                <w:rFonts w:ascii="宋体" w:hAnsi="宋体"/>
                <w:sz w:val="18"/>
                <w:szCs w:val="18"/>
                <w:highlight w:val="none"/>
              </w:rPr>
              <w:t>注册资金</w:t>
            </w:r>
          </w:p>
          <w:p w14:paraId="1C9044C8">
            <w:pPr>
              <w:rPr>
                <w:rFonts w:hint="eastAsia" w:ascii="宋体" w:hAnsi="宋体"/>
                <w:sz w:val="18"/>
                <w:szCs w:val="18"/>
                <w:highlight w:val="none"/>
              </w:rPr>
            </w:pPr>
            <w:r>
              <w:rPr>
                <w:rFonts w:ascii="Times New Roman" w:hAnsi="Times New Roman" w:cs="Times New Roman"/>
                <w:sz w:val="18"/>
                <w:szCs w:val="18"/>
                <w:highlight w:val="none"/>
              </w:rPr>
              <w:t>Capital social</w:t>
            </w:r>
          </w:p>
        </w:tc>
        <w:tc>
          <w:tcPr>
            <w:tcW w:w="1511" w:type="pct"/>
            <w:gridSpan w:val="2"/>
            <w:noWrap w:val="0"/>
            <w:vAlign w:val="center"/>
          </w:tcPr>
          <w:p w14:paraId="431970EA">
            <w:pPr>
              <w:rPr>
                <w:rFonts w:hint="eastAsia" w:ascii="宋体" w:hAnsi="宋体"/>
                <w:sz w:val="18"/>
                <w:szCs w:val="18"/>
                <w:highlight w:val="none"/>
              </w:rPr>
            </w:pPr>
          </w:p>
        </w:tc>
        <w:tc>
          <w:tcPr>
            <w:tcW w:w="374" w:type="pct"/>
            <w:vMerge w:val="continue"/>
            <w:noWrap w:val="0"/>
            <w:vAlign w:val="center"/>
          </w:tcPr>
          <w:p w14:paraId="58935866">
            <w:pPr>
              <w:rPr>
                <w:rFonts w:hint="eastAsia" w:ascii="宋体" w:hAnsi="宋体"/>
                <w:sz w:val="18"/>
                <w:szCs w:val="18"/>
                <w:highlight w:val="none"/>
              </w:rPr>
            </w:pPr>
          </w:p>
        </w:tc>
        <w:tc>
          <w:tcPr>
            <w:tcW w:w="946" w:type="pct"/>
            <w:gridSpan w:val="3"/>
            <w:noWrap w:val="0"/>
            <w:vAlign w:val="center"/>
          </w:tcPr>
          <w:p w14:paraId="14BCF84D">
            <w:pPr>
              <w:rPr>
                <w:rFonts w:hint="eastAsia" w:ascii="宋体" w:hAnsi="宋体"/>
                <w:sz w:val="18"/>
                <w:szCs w:val="18"/>
                <w:highlight w:val="none"/>
              </w:rPr>
            </w:pPr>
            <w:r>
              <w:rPr>
                <w:rFonts w:ascii="宋体" w:hAnsi="宋体"/>
                <w:sz w:val="18"/>
                <w:szCs w:val="18"/>
                <w:highlight w:val="none"/>
              </w:rPr>
              <w:t>中级职称人员</w:t>
            </w:r>
          </w:p>
          <w:p w14:paraId="25EBF0E5">
            <w:pPr>
              <w:rPr>
                <w:rFonts w:hint="eastAsia" w:ascii="宋体" w:hAnsi="宋体"/>
                <w:sz w:val="18"/>
                <w:szCs w:val="18"/>
                <w:highlight w:val="none"/>
              </w:rPr>
            </w:pPr>
            <w:r>
              <w:rPr>
                <w:rFonts w:ascii="Times New Roman" w:hAnsi="Times New Roman" w:cs="Times New Roman"/>
                <w:sz w:val="18"/>
                <w:szCs w:val="18"/>
                <w:highlight w:val="none"/>
              </w:rPr>
              <w:t>Personnel titulaire d’un titre professionnel de niveau intermédiaire</w:t>
            </w:r>
          </w:p>
        </w:tc>
        <w:tc>
          <w:tcPr>
            <w:tcW w:w="1129" w:type="pct"/>
            <w:gridSpan w:val="2"/>
            <w:noWrap w:val="0"/>
            <w:vAlign w:val="center"/>
          </w:tcPr>
          <w:p w14:paraId="1CC165A9">
            <w:pPr>
              <w:rPr>
                <w:rFonts w:hint="eastAsia" w:ascii="宋体" w:hAnsi="宋体"/>
                <w:sz w:val="18"/>
                <w:szCs w:val="18"/>
                <w:highlight w:val="none"/>
              </w:rPr>
            </w:pPr>
          </w:p>
        </w:tc>
      </w:tr>
      <w:tr w14:paraId="7F125017">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16862550">
            <w:pPr>
              <w:rPr>
                <w:rFonts w:hint="eastAsia" w:ascii="宋体" w:hAnsi="宋体"/>
                <w:sz w:val="18"/>
                <w:szCs w:val="18"/>
                <w:highlight w:val="none"/>
              </w:rPr>
            </w:pPr>
            <w:r>
              <w:rPr>
                <w:rFonts w:ascii="宋体" w:hAnsi="宋体"/>
                <w:sz w:val="18"/>
                <w:szCs w:val="18"/>
                <w:highlight w:val="none"/>
              </w:rPr>
              <w:t>开户银行</w:t>
            </w:r>
          </w:p>
          <w:p w14:paraId="780878A6">
            <w:pPr>
              <w:rPr>
                <w:rFonts w:hint="eastAsia" w:ascii="宋体" w:hAnsi="宋体"/>
                <w:sz w:val="18"/>
                <w:szCs w:val="18"/>
                <w:highlight w:val="none"/>
              </w:rPr>
            </w:pPr>
            <w:r>
              <w:rPr>
                <w:rFonts w:ascii="Times New Roman" w:hAnsi="Times New Roman" w:cs="Times New Roman"/>
                <w:sz w:val="18"/>
                <w:szCs w:val="18"/>
                <w:highlight w:val="none"/>
              </w:rPr>
              <w:t>Banque</w:t>
            </w:r>
          </w:p>
        </w:tc>
        <w:tc>
          <w:tcPr>
            <w:tcW w:w="1511" w:type="pct"/>
            <w:gridSpan w:val="2"/>
            <w:noWrap w:val="0"/>
            <w:vAlign w:val="center"/>
          </w:tcPr>
          <w:p w14:paraId="52E60706">
            <w:pPr>
              <w:rPr>
                <w:rFonts w:hint="eastAsia" w:ascii="宋体" w:hAnsi="宋体"/>
                <w:sz w:val="18"/>
                <w:szCs w:val="18"/>
                <w:highlight w:val="none"/>
              </w:rPr>
            </w:pPr>
          </w:p>
        </w:tc>
        <w:tc>
          <w:tcPr>
            <w:tcW w:w="374" w:type="pct"/>
            <w:vMerge w:val="continue"/>
            <w:noWrap w:val="0"/>
            <w:vAlign w:val="center"/>
          </w:tcPr>
          <w:p w14:paraId="171A0C7F">
            <w:pPr>
              <w:rPr>
                <w:rFonts w:hint="eastAsia" w:ascii="宋体" w:hAnsi="宋体"/>
                <w:sz w:val="18"/>
                <w:szCs w:val="18"/>
                <w:highlight w:val="none"/>
              </w:rPr>
            </w:pPr>
          </w:p>
        </w:tc>
        <w:tc>
          <w:tcPr>
            <w:tcW w:w="946" w:type="pct"/>
            <w:gridSpan w:val="3"/>
            <w:noWrap w:val="0"/>
            <w:vAlign w:val="center"/>
          </w:tcPr>
          <w:p w14:paraId="574E88E1">
            <w:pPr>
              <w:rPr>
                <w:rFonts w:hint="eastAsia" w:ascii="宋体" w:hAnsi="宋体"/>
                <w:sz w:val="18"/>
                <w:szCs w:val="18"/>
                <w:highlight w:val="none"/>
              </w:rPr>
            </w:pPr>
            <w:r>
              <w:rPr>
                <w:rFonts w:ascii="宋体" w:hAnsi="宋体"/>
                <w:sz w:val="18"/>
                <w:szCs w:val="18"/>
                <w:highlight w:val="none"/>
              </w:rPr>
              <w:t>初级职称人员</w:t>
            </w:r>
          </w:p>
          <w:p w14:paraId="69E3C26F">
            <w:pPr>
              <w:rPr>
                <w:rFonts w:hint="eastAsia" w:ascii="宋体" w:hAnsi="宋体"/>
                <w:sz w:val="18"/>
                <w:szCs w:val="18"/>
                <w:highlight w:val="none"/>
              </w:rPr>
            </w:pPr>
            <w:r>
              <w:rPr>
                <w:rFonts w:ascii="Times New Roman" w:hAnsi="Times New Roman" w:cs="Times New Roman"/>
                <w:sz w:val="18"/>
                <w:szCs w:val="18"/>
                <w:highlight w:val="none"/>
              </w:rPr>
              <w:t>Personnel titulaire d’un titre professionnel de niveau junior</w:t>
            </w:r>
          </w:p>
        </w:tc>
        <w:tc>
          <w:tcPr>
            <w:tcW w:w="1129" w:type="pct"/>
            <w:gridSpan w:val="2"/>
            <w:noWrap w:val="0"/>
            <w:vAlign w:val="center"/>
          </w:tcPr>
          <w:p w14:paraId="6C77323D">
            <w:pPr>
              <w:rPr>
                <w:rFonts w:hint="eastAsia" w:ascii="宋体" w:hAnsi="宋体"/>
                <w:sz w:val="18"/>
                <w:szCs w:val="18"/>
                <w:highlight w:val="none"/>
              </w:rPr>
            </w:pPr>
          </w:p>
        </w:tc>
      </w:tr>
      <w:tr w14:paraId="71D658FC">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108D9F19">
            <w:pPr>
              <w:rPr>
                <w:rFonts w:hint="eastAsia" w:ascii="宋体" w:hAnsi="宋体"/>
                <w:sz w:val="18"/>
                <w:szCs w:val="18"/>
                <w:highlight w:val="none"/>
              </w:rPr>
            </w:pPr>
            <w:r>
              <w:rPr>
                <w:rFonts w:ascii="宋体" w:hAnsi="宋体"/>
                <w:sz w:val="18"/>
                <w:szCs w:val="18"/>
                <w:highlight w:val="none"/>
              </w:rPr>
              <w:t>账号</w:t>
            </w:r>
          </w:p>
          <w:p w14:paraId="12E9A6A4">
            <w:pPr>
              <w:rPr>
                <w:rFonts w:hint="eastAsia" w:ascii="宋体" w:hAnsi="宋体"/>
                <w:sz w:val="18"/>
                <w:szCs w:val="18"/>
                <w:highlight w:val="none"/>
              </w:rPr>
            </w:pPr>
            <w:r>
              <w:rPr>
                <w:rFonts w:ascii="Times New Roman" w:hAnsi="Times New Roman" w:cs="Times New Roman"/>
                <w:sz w:val="18"/>
                <w:szCs w:val="18"/>
                <w:highlight w:val="none"/>
              </w:rPr>
              <w:t>Numéro de compte</w:t>
            </w:r>
          </w:p>
        </w:tc>
        <w:tc>
          <w:tcPr>
            <w:tcW w:w="1511" w:type="pct"/>
            <w:gridSpan w:val="2"/>
            <w:noWrap w:val="0"/>
            <w:vAlign w:val="center"/>
          </w:tcPr>
          <w:p w14:paraId="03616EC9">
            <w:pPr>
              <w:rPr>
                <w:rFonts w:hint="eastAsia" w:ascii="宋体" w:hAnsi="宋体"/>
                <w:sz w:val="18"/>
                <w:szCs w:val="18"/>
                <w:highlight w:val="none"/>
              </w:rPr>
            </w:pPr>
          </w:p>
        </w:tc>
        <w:tc>
          <w:tcPr>
            <w:tcW w:w="374" w:type="pct"/>
            <w:vMerge w:val="continue"/>
            <w:noWrap w:val="0"/>
            <w:vAlign w:val="center"/>
          </w:tcPr>
          <w:p w14:paraId="5E94D960">
            <w:pPr>
              <w:rPr>
                <w:rFonts w:hint="eastAsia" w:ascii="宋体" w:hAnsi="宋体"/>
                <w:sz w:val="18"/>
                <w:szCs w:val="18"/>
                <w:highlight w:val="none"/>
              </w:rPr>
            </w:pPr>
          </w:p>
        </w:tc>
        <w:tc>
          <w:tcPr>
            <w:tcW w:w="946" w:type="pct"/>
            <w:gridSpan w:val="3"/>
            <w:noWrap w:val="0"/>
            <w:vAlign w:val="center"/>
          </w:tcPr>
          <w:p w14:paraId="35A82597">
            <w:pPr>
              <w:rPr>
                <w:rFonts w:hint="eastAsia" w:ascii="宋体" w:hAnsi="宋体"/>
                <w:sz w:val="18"/>
                <w:szCs w:val="18"/>
                <w:highlight w:val="none"/>
              </w:rPr>
            </w:pPr>
            <w:r>
              <w:rPr>
                <w:rFonts w:ascii="宋体" w:hAnsi="宋体"/>
                <w:sz w:val="18"/>
                <w:szCs w:val="18"/>
                <w:highlight w:val="none"/>
              </w:rPr>
              <w:t>技工</w:t>
            </w:r>
          </w:p>
          <w:p w14:paraId="09EF98D3">
            <w:pPr>
              <w:rPr>
                <w:rFonts w:hint="eastAsia" w:ascii="宋体" w:hAnsi="宋体"/>
                <w:sz w:val="18"/>
                <w:szCs w:val="18"/>
                <w:highlight w:val="none"/>
              </w:rPr>
            </w:pPr>
            <w:r>
              <w:rPr>
                <w:rFonts w:ascii="Times New Roman" w:hAnsi="Times New Roman" w:cs="Times New Roman"/>
                <w:sz w:val="18"/>
                <w:szCs w:val="18"/>
                <w:highlight w:val="none"/>
              </w:rPr>
              <w:t>Techniciens qualifiés</w:t>
            </w:r>
          </w:p>
        </w:tc>
        <w:tc>
          <w:tcPr>
            <w:tcW w:w="1129" w:type="pct"/>
            <w:gridSpan w:val="2"/>
            <w:noWrap w:val="0"/>
            <w:vAlign w:val="center"/>
          </w:tcPr>
          <w:p w14:paraId="796295ED">
            <w:pPr>
              <w:rPr>
                <w:rFonts w:hint="eastAsia" w:ascii="宋体" w:hAnsi="宋体"/>
                <w:sz w:val="18"/>
                <w:szCs w:val="18"/>
                <w:highlight w:val="none"/>
              </w:rPr>
            </w:pPr>
          </w:p>
        </w:tc>
      </w:tr>
      <w:tr w14:paraId="16328E6C">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c>
          <w:tcPr>
            <w:tcW w:w="1037" w:type="pct"/>
            <w:noWrap w:val="0"/>
            <w:vAlign w:val="center"/>
          </w:tcPr>
          <w:p w14:paraId="6B90C301">
            <w:pPr>
              <w:rPr>
                <w:rFonts w:hint="eastAsia" w:ascii="宋体" w:hAnsi="宋体"/>
                <w:sz w:val="18"/>
                <w:szCs w:val="18"/>
                <w:highlight w:val="none"/>
              </w:rPr>
            </w:pPr>
            <w:r>
              <w:rPr>
                <w:rFonts w:ascii="宋体" w:hAnsi="宋体"/>
                <w:sz w:val="18"/>
                <w:szCs w:val="18"/>
                <w:highlight w:val="none"/>
              </w:rPr>
              <w:t>经营范围备注</w:t>
            </w:r>
          </w:p>
          <w:p w14:paraId="7C260572">
            <w:pPr>
              <w:rPr>
                <w:rFonts w:hint="eastAsia" w:ascii="宋体" w:hAnsi="宋体"/>
                <w:sz w:val="18"/>
                <w:szCs w:val="18"/>
                <w:highlight w:val="none"/>
              </w:rPr>
            </w:pPr>
            <w:r>
              <w:rPr>
                <w:rFonts w:ascii="Times New Roman" w:hAnsi="Times New Roman" w:cs="Times New Roman"/>
                <w:sz w:val="18"/>
                <w:szCs w:val="18"/>
                <w:highlight w:val="none"/>
              </w:rPr>
              <w:t>Observations sur l’objet social</w:t>
            </w:r>
          </w:p>
        </w:tc>
        <w:tc>
          <w:tcPr>
            <w:tcW w:w="3962" w:type="pct"/>
            <w:gridSpan w:val="8"/>
            <w:noWrap w:val="0"/>
            <w:vAlign w:val="center"/>
          </w:tcPr>
          <w:p w14:paraId="35113998">
            <w:pPr>
              <w:ind w:firstLine="360" w:firstLineChars="200"/>
              <w:rPr>
                <w:rFonts w:hint="eastAsia" w:ascii="宋体" w:hAnsi="宋体"/>
                <w:sz w:val="18"/>
                <w:szCs w:val="18"/>
                <w:highlight w:val="none"/>
              </w:rPr>
            </w:pPr>
          </w:p>
        </w:tc>
      </w:tr>
    </w:tbl>
    <w:p w14:paraId="6DD48533">
      <w:pPr>
        <w:spacing w:line="360" w:lineRule="auto"/>
        <w:rPr>
          <w:rFonts w:hint="eastAsia" w:ascii="宋体" w:hAnsi="宋体"/>
          <w:szCs w:val="21"/>
          <w:highlight w:val="none"/>
        </w:rPr>
      </w:pPr>
    </w:p>
    <w:p w14:paraId="260871D8">
      <w:pPr>
        <w:keepNext/>
        <w:keepLines/>
        <w:spacing w:before="20" w:line="412" w:lineRule="auto"/>
        <w:ind w:firstLine="102" w:firstLineChars="49"/>
        <w:outlineLvl w:val="2"/>
        <w:rPr>
          <w:b/>
          <w:szCs w:val="21"/>
          <w:highlight w:val="none"/>
        </w:rPr>
      </w:pPr>
      <w:r>
        <w:rPr>
          <w:rFonts w:ascii="宋体" w:hAnsi="宋体"/>
          <w:szCs w:val="21"/>
          <w:highlight w:val="none"/>
        </w:rPr>
        <w:t>（二）营业执照/RCCM等登记证明</w:t>
      </w:r>
      <w:bookmarkStart w:id="97" w:name="_Toc105593701"/>
      <w:bookmarkEnd w:id="97"/>
    </w:p>
    <w:p w14:paraId="3ADE74D5">
      <w:pPr>
        <w:keepLines/>
        <w:spacing w:before="20" w:line="412" w:lineRule="auto"/>
        <w:ind w:firstLine="102" w:firstLineChars="49"/>
        <w:outlineLvl w:val="2"/>
        <w:rPr>
          <w:b/>
          <w:szCs w:val="21"/>
          <w:highlight w:val="none"/>
        </w:rPr>
      </w:pPr>
      <w:r>
        <w:rPr>
          <w:rFonts w:ascii="Times New Roman" w:hAnsi="Times New Roman" w:cs="Times New Roman"/>
          <w:szCs w:val="21"/>
          <w:highlight w:val="none"/>
        </w:rPr>
        <w:t>(II) Licence commerciale, RCCM et autres justificatifs d’immatriculation</w:t>
      </w:r>
    </w:p>
    <w:p w14:paraId="025D6905">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【编著说明：</w:t>
      </w:r>
    </w:p>
    <w:p w14:paraId="236B58E8">
      <w:pPr>
        <w:adjustRightInd w:val="0"/>
        <w:snapToGrid w:val="0"/>
        <w:spacing w:line="360" w:lineRule="auto"/>
        <w:ind w:firstLine="420" w:firstLineChars="200"/>
        <w:rPr>
          <w:rFonts w:hint="eastAsia" w:ascii="宋体" w:hAnsi="宋体"/>
          <w:szCs w:val="21"/>
          <w:highlight w:val="none"/>
        </w:rPr>
      </w:pPr>
      <w:r>
        <w:rPr>
          <w:rFonts w:hint="eastAsia" w:ascii="Times New Roman" w:hAnsi="Times New Roman" w:cs="Times New Roman"/>
          <w:szCs w:val="21"/>
          <w:highlight w:val="none"/>
        </w:rPr>
        <w:t>[Note de rédaction :</w:t>
      </w:r>
    </w:p>
    <w:p w14:paraId="126FB857">
      <w:pPr>
        <w:adjustRightInd w:val="0"/>
        <w:snapToGrid w:val="0"/>
        <w:spacing w:line="360" w:lineRule="auto"/>
        <w:ind w:firstLine="420" w:firstLineChars="200"/>
        <w:rPr>
          <w:rFonts w:hint="eastAsia" w:ascii="宋体" w:hAnsi="宋体"/>
          <w:szCs w:val="21"/>
          <w:highlight w:val="none"/>
        </w:rPr>
      </w:pPr>
      <w:r>
        <w:rPr>
          <w:rFonts w:ascii="宋体" w:hAnsi="宋体"/>
          <w:szCs w:val="21"/>
          <w:highlight w:val="none"/>
        </w:rPr>
        <w:t>【编制说明：响应人应提供有效的营业执照、RCCM（商业和动产信用登记）或其他依法登记/注册证明的扫描件（或复印件）。】</w:t>
      </w:r>
    </w:p>
    <w:p w14:paraId="38B129AF">
      <w:pPr>
        <w:adjustRightInd w:val="0"/>
        <w:snapToGrid w:val="0"/>
        <w:spacing w:line="360" w:lineRule="auto"/>
        <w:ind w:firstLine="420" w:firstLineChars="200"/>
        <w:rPr>
          <w:rFonts w:hint="eastAsia" w:ascii="宋体" w:hAnsi="宋体"/>
          <w:szCs w:val="21"/>
          <w:highlight w:val="none"/>
        </w:rPr>
      </w:pPr>
      <w:r>
        <w:rPr>
          <w:rFonts w:ascii="Times New Roman" w:hAnsi="Times New Roman" w:cs="Times New Roman"/>
          <w:szCs w:val="21"/>
          <w:highlight w:val="none"/>
        </w:rPr>
        <w:t>[Instructions de rédaction : le soumissionnaire doit fournir une copie numérisée (ou photocopie) d’une licence commerciale valide, du RCCM (Registre du Commerce et du Crédit Mobilier) ou de tout autre justificatif légal d’immatriculation/enregistrement.]</w:t>
      </w:r>
    </w:p>
    <w:tbl>
      <w:tblPr>
        <w:tblStyle w:val="33"/>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9"/>
      </w:tblGrid>
      <w:tr w14:paraId="6BAE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5" w:hRule="atLeast"/>
        </w:trPr>
        <w:tc>
          <w:tcPr>
            <w:tcW w:w="8949" w:type="dxa"/>
            <w:tcBorders>
              <w:top w:val="single" w:color="auto" w:sz="4" w:space="0"/>
              <w:left w:val="single" w:color="auto" w:sz="4" w:space="0"/>
              <w:bottom w:val="single" w:color="auto" w:sz="4" w:space="0"/>
              <w:right w:val="single" w:color="auto" w:sz="4" w:space="0"/>
            </w:tcBorders>
            <w:noWrap w:val="0"/>
            <w:vAlign w:val="center"/>
          </w:tcPr>
          <w:p w14:paraId="214D1437">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营业执照扫描件粘贴处</w:t>
            </w:r>
          </w:p>
          <w:p w14:paraId="778670F0">
            <w:pPr>
              <w:adjustRightInd w:val="0"/>
              <w:snapToGrid w:val="0"/>
              <w:spacing w:line="360" w:lineRule="auto"/>
              <w:jc w:val="center"/>
              <w:rPr>
                <w:rFonts w:hint="eastAsia" w:ascii="宋体" w:hAnsi="宋体"/>
                <w:szCs w:val="21"/>
                <w:highlight w:val="none"/>
              </w:rPr>
            </w:pPr>
            <w:r>
              <w:rPr>
                <w:rFonts w:hint="eastAsia" w:ascii="Times New Roman" w:hAnsi="Times New Roman" w:cs="Times New Roman"/>
                <w:szCs w:val="21"/>
                <w:highlight w:val="none"/>
              </w:rPr>
              <w:t>Emplacement réservé au scan de la licence commerciale</w:t>
            </w:r>
          </w:p>
        </w:tc>
      </w:tr>
    </w:tbl>
    <w:p w14:paraId="5DD6A873">
      <w:pPr>
        <w:adjustRightInd w:val="0"/>
        <w:snapToGrid w:val="0"/>
        <w:spacing w:line="360" w:lineRule="auto"/>
        <w:ind w:firstLine="420" w:firstLineChars="200"/>
        <w:rPr>
          <w:rFonts w:hint="eastAsia" w:ascii="宋体" w:hAnsi="宋体"/>
          <w:szCs w:val="21"/>
          <w:highlight w:val="none"/>
        </w:rPr>
      </w:pPr>
    </w:p>
    <w:p w14:paraId="22CA93C9">
      <w:pPr>
        <w:rPr>
          <w:highlight w:val="none"/>
        </w:rPr>
      </w:pPr>
      <w:r>
        <w:rPr>
          <w:rFonts w:ascii="宋体" w:hAnsi="宋体"/>
          <w:b/>
          <w:szCs w:val="21"/>
          <w:highlight w:val="none"/>
        </w:rPr>
        <w:br w:type="page"/>
      </w:r>
    </w:p>
    <w:p w14:paraId="3E2D78EA">
      <w:pPr>
        <w:keepNext/>
        <w:keepLines/>
        <w:spacing w:before="20" w:line="412" w:lineRule="auto"/>
        <w:ind w:firstLine="103" w:firstLineChars="49"/>
        <w:outlineLvl w:val="2"/>
        <w:rPr>
          <w:b/>
          <w:szCs w:val="21"/>
          <w:highlight w:val="none"/>
        </w:rPr>
      </w:pPr>
      <w:r>
        <w:rPr>
          <w:rFonts w:hint="eastAsia"/>
          <w:b/>
          <w:szCs w:val="21"/>
          <w:highlight w:val="none"/>
        </w:rPr>
        <w:t>（三）资质证书</w:t>
      </w:r>
    </w:p>
    <w:p w14:paraId="3C47DBCA">
      <w:pPr>
        <w:keepLines/>
        <w:spacing w:before="20" w:line="412" w:lineRule="auto"/>
        <w:ind w:firstLine="103" w:firstLineChars="49"/>
        <w:outlineLvl w:val="2"/>
        <w:rPr>
          <w:b/>
          <w:szCs w:val="21"/>
          <w:highlight w:val="none"/>
        </w:rPr>
      </w:pPr>
      <w:r>
        <w:rPr>
          <w:rFonts w:hint="eastAsia" w:ascii="Times New Roman" w:hAnsi="Times New Roman" w:cs="Times New Roman"/>
          <w:b/>
          <w:szCs w:val="21"/>
          <w:highlight w:val="none"/>
        </w:rPr>
        <w:t>(III) Certificats de qualification</w:t>
      </w:r>
    </w:p>
    <w:p w14:paraId="4028B6D7">
      <w:pPr>
        <w:adjustRightInd w:val="0"/>
        <w:snapToGrid w:val="0"/>
        <w:spacing w:line="360" w:lineRule="auto"/>
        <w:rPr>
          <w:rFonts w:hint="eastAsia" w:ascii="宋体" w:hAnsi="宋体"/>
          <w:szCs w:val="21"/>
          <w:highlight w:val="none"/>
        </w:rPr>
      </w:pPr>
      <w:r>
        <w:rPr>
          <w:rFonts w:hint="eastAsia" w:ascii="宋体" w:hAnsi="宋体"/>
          <w:szCs w:val="21"/>
          <w:highlight w:val="none"/>
          <w:lang w:val="en-US" w:eastAsia="zh-CN"/>
        </w:rPr>
        <w:t>要求：响应人具备国际航空运输协会（IATA）颁发且在有效期内的《国际客运代理人资质证书》（Certificate of Accreditation），认证类型须为GoStandard或GoGlobal，</w:t>
      </w:r>
      <w:r>
        <w:rPr>
          <w:rFonts w:hint="eastAsia" w:ascii="宋体" w:hAnsi="宋体"/>
          <w:szCs w:val="21"/>
          <w:highlight w:val="none"/>
        </w:rPr>
        <w:t>提供证书扫描件（或复印件）；</w:t>
      </w:r>
    </w:p>
    <w:p w14:paraId="3A86BA79">
      <w:pPr>
        <w:adjustRightInd w:val="0"/>
        <w:snapToGrid w:val="0"/>
        <w:spacing w:line="360" w:lineRule="auto"/>
        <w:rPr>
          <w:rFonts w:hint="eastAsia" w:ascii="宋体" w:hAnsi="宋体"/>
          <w:szCs w:val="21"/>
          <w:highlight w:val="none"/>
        </w:rPr>
      </w:pPr>
      <w:r>
        <w:rPr>
          <w:rFonts w:hint="eastAsia" w:ascii="Times New Roman" w:hAnsi="Times New Roman" w:cs="Times New Roman"/>
          <w:szCs w:val="21"/>
          <w:highlight w:val="none"/>
          <w:lang w:val="en-US" w:eastAsia="zh-CN"/>
        </w:rPr>
        <w:t>Exigence : le soumissionnaire doit détenir un « Certificate of Accreditation » valide délivré par l’Association internationale du transport aérien (IATA), de type GoStandard ou GoGlobal, et fournir une copie numérisée (ou photocopie) du certificat.</w:t>
      </w:r>
    </w:p>
    <w:p w14:paraId="1C29E7D7">
      <w:pPr>
        <w:adjustRightInd w:val="0"/>
        <w:snapToGrid w:val="0"/>
        <w:spacing w:line="360" w:lineRule="auto"/>
        <w:ind w:firstLine="420" w:firstLineChars="200"/>
        <w:rPr>
          <w:rFonts w:hint="eastAsia" w:ascii="宋体" w:hAnsi="宋体"/>
          <w:szCs w:val="21"/>
          <w:highlight w:val="none"/>
        </w:rPr>
      </w:pPr>
      <w:r>
        <w:rPr>
          <w:rFonts w:ascii="宋体" w:hAnsi="宋体"/>
          <w:szCs w:val="21"/>
          <w:highlight w:val="none"/>
        </w:rPr>
        <w:br w:type="page"/>
      </w:r>
      <w:r>
        <w:rPr>
          <w:rFonts w:hint="eastAsia" w:ascii="宋体" w:hAnsi="宋体"/>
          <w:szCs w:val="21"/>
          <w:highlight w:val="none"/>
        </w:rPr>
        <w:t>【编注说明：</w:t>
      </w:r>
    </w:p>
    <w:p w14:paraId="31D6DC15">
      <w:pPr>
        <w:adjustRightInd w:val="0"/>
        <w:snapToGrid w:val="0"/>
        <w:spacing w:line="360" w:lineRule="auto"/>
        <w:ind w:firstLine="420" w:firstLineChars="200"/>
        <w:rPr>
          <w:rFonts w:hint="eastAsia" w:ascii="宋体" w:hAnsi="宋体"/>
          <w:szCs w:val="21"/>
          <w:highlight w:val="none"/>
        </w:rPr>
      </w:pPr>
      <w:r>
        <w:rPr>
          <w:rFonts w:hint="eastAsia" w:ascii="Times New Roman" w:hAnsi="Times New Roman" w:cs="Times New Roman"/>
          <w:szCs w:val="21"/>
          <w:highlight w:val="none"/>
        </w:rPr>
        <w:t>[Instructions de rédaction :</w:t>
      </w:r>
    </w:p>
    <w:p w14:paraId="2B95D3BF">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 响应人应填写本表，并确保所填写内容的准确性、真实性。</w:t>
      </w:r>
    </w:p>
    <w:p w14:paraId="25D50E03">
      <w:pPr>
        <w:adjustRightInd w:val="0"/>
        <w:snapToGrid w:val="0"/>
        <w:spacing w:line="360" w:lineRule="auto"/>
        <w:ind w:firstLine="420" w:firstLineChars="200"/>
        <w:rPr>
          <w:rFonts w:hint="eastAsia" w:ascii="宋体" w:hAnsi="宋体"/>
          <w:szCs w:val="21"/>
          <w:highlight w:val="none"/>
        </w:rPr>
      </w:pPr>
      <w:r>
        <w:rPr>
          <w:rFonts w:hint="eastAsia" w:ascii="Times New Roman" w:hAnsi="Times New Roman" w:cs="Times New Roman"/>
          <w:szCs w:val="21"/>
          <w:highlight w:val="none"/>
        </w:rPr>
        <w:t>1. Le soumissionnaire doit compléter le présent tableau et garantir l’exactitude et l’authenticité des informations fournies.</w:t>
      </w:r>
    </w:p>
    <w:p w14:paraId="20CFA5B4">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szCs w:val="21"/>
          <w:highlight w:val="none"/>
        </w:rPr>
        <w:t>2</w:t>
      </w:r>
      <w:r>
        <w:rPr>
          <w:rFonts w:ascii="宋体" w:hAnsi="宋体"/>
          <w:szCs w:val="21"/>
          <w:highlight w:val="none"/>
        </w:rPr>
        <w:t>.</w:t>
      </w:r>
      <w:r>
        <w:rPr>
          <w:rFonts w:hint="eastAsia" w:ascii="宋体" w:hAnsi="宋体"/>
          <w:szCs w:val="21"/>
          <w:highlight w:val="none"/>
        </w:rPr>
        <w:t>本表后按后附证书扫描件（或复印件）</w:t>
      </w:r>
      <w:r>
        <w:rPr>
          <w:rFonts w:hint="eastAsia" w:ascii="宋体" w:hAnsi="宋体" w:eastAsia="宋体" w:cs="Times New Roman"/>
          <w:szCs w:val="21"/>
          <w:highlight w:val="none"/>
        </w:rPr>
        <w:t>（采购文件发售截止日后）。</w:t>
      </w:r>
    </w:p>
    <w:p w14:paraId="55EAC92E">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Times New Roman" w:hAnsi="Times New Roman" w:cs="Times New Roman"/>
          <w:szCs w:val="21"/>
          <w:highlight w:val="none"/>
        </w:rPr>
        <w:t>2. Les copies numérisées (ou photocopies) des certificats doivent être jointes à la suite du présent tableau, conformément à l’indication relative à la date limite de mise à disposition du dossier de consultation.</w:t>
      </w:r>
    </w:p>
    <w:p w14:paraId="54E03565">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lang w:bidi="ar"/>
        </w:rPr>
        <w:t>3.第一章未要求的不作为资格审查因素</w:t>
      </w:r>
      <w:r>
        <w:rPr>
          <w:rFonts w:hint="eastAsia" w:ascii="宋体" w:hAnsi="宋体"/>
          <w:szCs w:val="21"/>
          <w:highlight w:val="none"/>
          <w:lang w:eastAsia="zh-CN" w:bidi="ar"/>
        </w:rPr>
        <w:t>，</w:t>
      </w:r>
      <w:r>
        <w:rPr>
          <w:rFonts w:hint="eastAsia" w:ascii="宋体" w:hAnsi="宋体"/>
          <w:szCs w:val="21"/>
          <w:highlight w:val="none"/>
          <w:lang w:bidi="ar"/>
        </w:rPr>
        <w:t>技术、商务评审因素中未要求的可不提供。</w:t>
      </w:r>
      <w:r>
        <w:rPr>
          <w:rFonts w:hint="eastAsia" w:ascii="宋体" w:hAnsi="宋体"/>
          <w:szCs w:val="21"/>
          <w:highlight w:val="none"/>
        </w:rPr>
        <w:t>】</w:t>
      </w:r>
    </w:p>
    <w:p w14:paraId="3E19217C">
      <w:pPr>
        <w:adjustRightInd w:val="0"/>
        <w:snapToGrid w:val="0"/>
        <w:spacing w:line="360" w:lineRule="auto"/>
        <w:ind w:firstLine="420" w:firstLineChars="200"/>
        <w:rPr>
          <w:rFonts w:hint="eastAsia" w:ascii="宋体" w:hAnsi="宋体"/>
          <w:szCs w:val="21"/>
          <w:highlight w:val="none"/>
        </w:rPr>
      </w:pPr>
      <w:r>
        <w:rPr>
          <w:rFonts w:hint="eastAsia" w:ascii="Times New Roman" w:hAnsi="Times New Roman" w:cs="Times New Roman"/>
          <w:szCs w:val="21"/>
          <w:highlight w:val="none"/>
          <w:lang w:bidi="ar"/>
        </w:rPr>
        <w:t>3. Les éléments non exigés au chapitre I ne sont pas pris en compte pour l’examen des qualifications ; les documents non exigés par les critères d’évaluation technique ou commerciale peuvent ne pas être fournis.]</w:t>
      </w:r>
    </w:p>
    <w:p w14:paraId="33D2CB6D">
      <w:pPr>
        <w:adjustRightInd w:val="0"/>
        <w:snapToGrid w:val="0"/>
        <w:spacing w:line="360" w:lineRule="auto"/>
        <w:ind w:firstLine="480"/>
        <w:rPr>
          <w:rFonts w:hint="eastAsia" w:ascii="等线" w:hAnsi="等线" w:eastAsia="等线"/>
          <w:szCs w:val="20"/>
          <w:highlight w:val="none"/>
          <w:lang w:bidi="ar"/>
        </w:rPr>
      </w:pPr>
    </w:p>
    <w:p w14:paraId="0C47CC10">
      <w:pPr>
        <w:widowControl/>
        <w:jc w:val="left"/>
        <w:rPr>
          <w:rFonts w:hint="eastAsia" w:ascii="宋体" w:hAnsi="宋体"/>
          <w:b/>
          <w:szCs w:val="21"/>
          <w:highlight w:val="none"/>
        </w:rPr>
      </w:pPr>
      <w:r>
        <w:rPr>
          <w:rFonts w:ascii="等线" w:hAnsi="等线" w:eastAsia="等线"/>
          <w:szCs w:val="20"/>
          <w:highlight w:val="none"/>
          <w:lang w:bidi="ar"/>
        </w:rPr>
        <w:br w:type="page"/>
      </w:r>
      <w:bookmarkStart w:id="98" w:name="_Toc105593702"/>
      <w:bookmarkStart w:id="99" w:name="_Toc6561278"/>
      <w:r>
        <w:rPr>
          <w:rFonts w:hint="eastAsia"/>
          <w:b/>
          <w:szCs w:val="21"/>
          <w:highlight w:val="none"/>
        </w:rPr>
        <w:t>（五）</w:t>
      </w:r>
      <w:bookmarkEnd w:id="98"/>
      <w:bookmarkEnd w:id="99"/>
      <w:bookmarkStart w:id="100" w:name="_Toc105743625"/>
      <w:bookmarkStart w:id="101" w:name="_Toc247514302"/>
      <w:bookmarkStart w:id="102" w:name="_Toc144974878"/>
      <w:bookmarkStart w:id="103" w:name="_Toc300835226"/>
      <w:bookmarkStart w:id="104" w:name="_Toc152042599"/>
      <w:bookmarkStart w:id="105" w:name="_Toc152045810"/>
      <w:bookmarkStart w:id="106" w:name="_Toc247527850"/>
      <w:r>
        <w:rPr>
          <w:rFonts w:hint="eastAsia" w:ascii="宋体" w:hAnsi="宋体"/>
          <w:b/>
          <w:szCs w:val="21"/>
          <w:highlight w:val="none"/>
        </w:rPr>
        <w:t>近年完成的类似项目情况表</w:t>
      </w:r>
      <w:bookmarkEnd w:id="100"/>
      <w:bookmarkEnd w:id="101"/>
      <w:bookmarkEnd w:id="102"/>
      <w:bookmarkEnd w:id="103"/>
      <w:bookmarkEnd w:id="104"/>
      <w:bookmarkEnd w:id="105"/>
      <w:bookmarkEnd w:id="106"/>
    </w:p>
    <w:p w14:paraId="0B5CCF76">
      <w:pPr>
        <w:widowControl/>
        <w:jc w:val="left"/>
        <w:rPr>
          <w:rFonts w:hint="eastAsia" w:ascii="宋体" w:hAnsi="宋体"/>
          <w:b/>
          <w:szCs w:val="21"/>
          <w:highlight w:val="none"/>
        </w:rPr>
      </w:pPr>
      <w:r>
        <w:rPr>
          <w:rFonts w:hint="eastAsia" w:ascii="Times New Roman" w:hAnsi="Times New Roman" w:cs="Times New Roman"/>
          <w:b/>
          <w:szCs w:val="21"/>
          <w:highlight w:val="none"/>
        </w:rPr>
        <w:t>(V) Tableau des projets similaires réalisés au cours des dernières années</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27"/>
        <w:gridCol w:w="1127"/>
        <w:gridCol w:w="973"/>
        <w:gridCol w:w="1127"/>
        <w:gridCol w:w="1025"/>
        <w:gridCol w:w="1026"/>
        <w:gridCol w:w="1026"/>
        <w:gridCol w:w="1106"/>
        <w:gridCol w:w="1237"/>
      </w:tblGrid>
      <w:tr w14:paraId="3B2F3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9" w:type="pct"/>
            <w:tcBorders>
              <w:top w:val="single" w:color="auto" w:sz="12" w:space="0"/>
              <w:left w:val="single" w:color="auto" w:sz="12" w:space="0"/>
              <w:bottom w:val="single" w:color="auto" w:sz="6" w:space="0"/>
              <w:right w:val="single" w:color="auto" w:sz="6" w:space="0"/>
            </w:tcBorders>
            <w:noWrap w:val="0"/>
            <w:vAlign w:val="center"/>
          </w:tcPr>
          <w:p w14:paraId="11EE4FBA">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序号</w:t>
            </w:r>
          </w:p>
          <w:p w14:paraId="7D4323EA">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N°</w:t>
            </w:r>
          </w:p>
        </w:tc>
        <w:tc>
          <w:tcPr>
            <w:tcW w:w="589" w:type="pct"/>
            <w:tcBorders>
              <w:top w:val="single" w:color="auto" w:sz="12" w:space="0"/>
              <w:left w:val="single" w:color="auto" w:sz="6" w:space="0"/>
              <w:bottom w:val="single" w:color="auto" w:sz="6" w:space="0"/>
              <w:right w:val="single" w:color="auto" w:sz="6" w:space="0"/>
            </w:tcBorders>
            <w:noWrap w:val="0"/>
            <w:vAlign w:val="center"/>
          </w:tcPr>
          <w:p w14:paraId="6DACDC9F">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项目</w:t>
            </w:r>
          </w:p>
          <w:p w14:paraId="7D085144">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Projet</w:t>
            </w:r>
          </w:p>
          <w:p w14:paraId="6BD8DED8">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名称</w:t>
            </w:r>
          </w:p>
          <w:p w14:paraId="52D7263E">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Désignation</w:t>
            </w:r>
          </w:p>
        </w:tc>
        <w:tc>
          <w:tcPr>
            <w:tcW w:w="589" w:type="pct"/>
            <w:tcBorders>
              <w:top w:val="single" w:color="auto" w:sz="12" w:space="0"/>
              <w:left w:val="single" w:color="auto" w:sz="6" w:space="0"/>
              <w:bottom w:val="single" w:color="auto" w:sz="6" w:space="0"/>
              <w:right w:val="single" w:color="auto" w:sz="6" w:space="0"/>
            </w:tcBorders>
            <w:noWrap w:val="0"/>
            <w:vAlign w:val="center"/>
          </w:tcPr>
          <w:p w14:paraId="31B44BE5">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项目所</w:t>
            </w:r>
          </w:p>
          <w:p w14:paraId="020B719C">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Lieu du</w:t>
            </w:r>
          </w:p>
          <w:p w14:paraId="4F32730E">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在地</w:t>
            </w:r>
          </w:p>
          <w:p w14:paraId="53B79EEA">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projet</w:t>
            </w:r>
          </w:p>
        </w:tc>
        <w:tc>
          <w:tcPr>
            <w:tcW w:w="589" w:type="pct"/>
            <w:tcBorders>
              <w:top w:val="single" w:color="auto" w:sz="12" w:space="0"/>
              <w:left w:val="single" w:color="auto" w:sz="6" w:space="0"/>
              <w:bottom w:val="single" w:color="auto" w:sz="6" w:space="0"/>
              <w:right w:val="single" w:color="auto" w:sz="6" w:space="0"/>
            </w:tcBorders>
            <w:noWrap w:val="0"/>
            <w:vAlign w:val="center"/>
          </w:tcPr>
          <w:p w14:paraId="772E1035">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发包人</w:t>
            </w:r>
          </w:p>
          <w:p w14:paraId="3C871CCF">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Donneur d’ordre</w:t>
            </w:r>
          </w:p>
          <w:p w14:paraId="0D4B7D36">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名称</w:t>
            </w:r>
          </w:p>
          <w:p w14:paraId="45D10567">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Désignation</w:t>
            </w:r>
          </w:p>
        </w:tc>
        <w:tc>
          <w:tcPr>
            <w:tcW w:w="589" w:type="pct"/>
            <w:tcBorders>
              <w:top w:val="single" w:color="auto" w:sz="12" w:space="0"/>
              <w:left w:val="single" w:color="auto" w:sz="6" w:space="0"/>
              <w:bottom w:val="single" w:color="auto" w:sz="6" w:space="0"/>
              <w:right w:val="single" w:color="auto" w:sz="6" w:space="0"/>
            </w:tcBorders>
            <w:noWrap w:val="0"/>
            <w:vAlign w:val="center"/>
          </w:tcPr>
          <w:p w14:paraId="65899D12">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发包人</w:t>
            </w:r>
          </w:p>
          <w:p w14:paraId="49BCC19B">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Donneur d’ordre</w:t>
            </w:r>
          </w:p>
          <w:p w14:paraId="101022BF">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电话</w:t>
            </w:r>
          </w:p>
          <w:p w14:paraId="424D4D7B">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Téléphone</w:t>
            </w:r>
          </w:p>
        </w:tc>
        <w:tc>
          <w:tcPr>
            <w:tcW w:w="589" w:type="pct"/>
            <w:tcBorders>
              <w:top w:val="single" w:color="auto" w:sz="12" w:space="0"/>
              <w:left w:val="single" w:color="auto" w:sz="6" w:space="0"/>
              <w:bottom w:val="single" w:color="auto" w:sz="6" w:space="0"/>
              <w:right w:val="single" w:color="auto" w:sz="6" w:space="0"/>
            </w:tcBorders>
            <w:noWrap w:val="0"/>
            <w:vAlign w:val="center"/>
          </w:tcPr>
          <w:p w14:paraId="057EDC13">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签约合</w:t>
            </w:r>
          </w:p>
          <w:p w14:paraId="10C65C20">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Montant du</w:t>
            </w:r>
          </w:p>
          <w:p w14:paraId="36924786">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同价</w:t>
            </w:r>
          </w:p>
          <w:p w14:paraId="2A4CD7FF">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contrat signé</w:t>
            </w:r>
          </w:p>
        </w:tc>
        <w:tc>
          <w:tcPr>
            <w:tcW w:w="589" w:type="pct"/>
            <w:tcBorders>
              <w:top w:val="single" w:color="auto" w:sz="12" w:space="0"/>
              <w:left w:val="single" w:color="auto" w:sz="6" w:space="0"/>
              <w:bottom w:val="single" w:color="auto" w:sz="6" w:space="0"/>
              <w:right w:val="single" w:color="auto" w:sz="6" w:space="0"/>
            </w:tcBorders>
            <w:noWrap w:val="0"/>
            <w:vAlign w:val="center"/>
          </w:tcPr>
          <w:p w14:paraId="35D3E1B1">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开始/结束日期</w:t>
            </w:r>
          </w:p>
          <w:p w14:paraId="4B6EA72D">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Date de début/fin</w:t>
            </w:r>
          </w:p>
        </w:tc>
        <w:tc>
          <w:tcPr>
            <w:tcW w:w="589" w:type="pct"/>
            <w:tcBorders>
              <w:top w:val="single" w:color="auto" w:sz="12" w:space="0"/>
              <w:left w:val="single" w:color="auto" w:sz="6" w:space="0"/>
              <w:bottom w:val="single" w:color="auto" w:sz="6" w:space="0"/>
              <w:right w:val="single" w:color="auto" w:sz="6" w:space="0"/>
            </w:tcBorders>
            <w:noWrap w:val="0"/>
            <w:vAlign w:val="center"/>
          </w:tcPr>
          <w:p w14:paraId="55A44751">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服务范围描述</w:t>
            </w:r>
          </w:p>
          <w:p w14:paraId="039404BF">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Description de l’étendue des services</w:t>
            </w:r>
          </w:p>
        </w:tc>
        <w:tc>
          <w:tcPr>
            <w:tcW w:w="587" w:type="pct"/>
            <w:tcBorders>
              <w:top w:val="single" w:color="auto" w:sz="12" w:space="0"/>
              <w:left w:val="single" w:color="auto" w:sz="6" w:space="0"/>
              <w:bottom w:val="single" w:color="auto" w:sz="6" w:space="0"/>
              <w:right w:val="single" w:color="auto" w:sz="12" w:space="0"/>
            </w:tcBorders>
            <w:noWrap w:val="0"/>
            <w:vAlign w:val="center"/>
          </w:tcPr>
          <w:p w14:paraId="72CBC039">
            <w:pPr>
              <w:adjustRightInd w:val="0"/>
              <w:snapToGrid w:val="0"/>
              <w:jc w:val="center"/>
              <w:rPr>
                <w:rFonts w:hint="eastAsia" w:ascii="宋体" w:hAnsi="宋体" w:cs="宋体"/>
                <w:b/>
                <w:color w:val="000000"/>
                <w:sz w:val="18"/>
                <w:szCs w:val="18"/>
                <w:highlight w:val="none"/>
              </w:rPr>
            </w:pPr>
            <w:r>
              <w:rPr>
                <w:rFonts w:hint="eastAsia" w:ascii="宋体" w:hAnsi="宋体" w:cs="宋体"/>
                <w:b/>
                <w:color w:val="000000"/>
                <w:sz w:val="18"/>
                <w:szCs w:val="18"/>
                <w:highlight w:val="none"/>
              </w:rPr>
              <w:t>备注</w:t>
            </w:r>
          </w:p>
          <w:p w14:paraId="0243DAD3">
            <w:pPr>
              <w:adjustRightInd w:val="0"/>
              <w:snapToGrid w:val="0"/>
              <w:jc w:val="center"/>
              <w:rPr>
                <w:rFonts w:hint="eastAsia" w:ascii="宋体" w:hAnsi="宋体" w:cs="宋体"/>
                <w:b/>
                <w:color w:val="000000"/>
                <w:sz w:val="18"/>
                <w:szCs w:val="18"/>
                <w:highlight w:val="none"/>
              </w:rPr>
            </w:pPr>
            <w:r>
              <w:rPr>
                <w:rFonts w:hint="eastAsia" w:ascii="Times New Roman" w:hAnsi="Times New Roman" w:cs="Times New Roman"/>
                <w:b/>
                <w:color w:val="000000"/>
                <w:sz w:val="18"/>
                <w:szCs w:val="18"/>
                <w:highlight w:val="none"/>
              </w:rPr>
              <w:t>Observations</w:t>
            </w:r>
          </w:p>
        </w:tc>
      </w:tr>
      <w:tr w14:paraId="387220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9" w:type="pct"/>
            <w:tcBorders>
              <w:top w:val="single" w:color="auto" w:sz="6" w:space="0"/>
              <w:left w:val="single" w:color="auto" w:sz="12" w:space="0"/>
              <w:bottom w:val="single" w:color="auto" w:sz="6" w:space="0"/>
              <w:right w:val="single" w:color="auto" w:sz="6" w:space="0"/>
            </w:tcBorders>
            <w:noWrap w:val="0"/>
            <w:vAlign w:val="center"/>
          </w:tcPr>
          <w:p w14:paraId="197F53DE">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62612DF9">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0A8A2083">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6F64D678">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433A257F">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7A021800">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2C0E4E22">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7A37645E">
            <w:pPr>
              <w:adjustRightInd w:val="0"/>
              <w:snapToGrid w:val="0"/>
              <w:jc w:val="center"/>
              <w:rPr>
                <w:rFonts w:hint="eastAsia" w:ascii="宋体" w:hAnsi="宋体" w:cs="宋体"/>
                <w:color w:val="000000"/>
                <w:sz w:val="18"/>
                <w:szCs w:val="18"/>
                <w:highlight w:val="none"/>
              </w:rPr>
            </w:pPr>
          </w:p>
        </w:tc>
        <w:tc>
          <w:tcPr>
            <w:tcW w:w="587" w:type="pct"/>
            <w:tcBorders>
              <w:top w:val="single" w:color="auto" w:sz="6" w:space="0"/>
              <w:left w:val="single" w:color="auto" w:sz="6" w:space="0"/>
              <w:bottom w:val="single" w:color="auto" w:sz="6" w:space="0"/>
              <w:right w:val="single" w:color="auto" w:sz="12" w:space="0"/>
            </w:tcBorders>
            <w:noWrap w:val="0"/>
            <w:vAlign w:val="center"/>
          </w:tcPr>
          <w:p w14:paraId="226F3665">
            <w:pPr>
              <w:adjustRightInd w:val="0"/>
              <w:snapToGrid w:val="0"/>
              <w:jc w:val="center"/>
              <w:rPr>
                <w:rFonts w:hint="eastAsia" w:ascii="宋体" w:hAnsi="宋体" w:cs="宋体"/>
                <w:color w:val="000000"/>
                <w:sz w:val="18"/>
                <w:szCs w:val="18"/>
                <w:highlight w:val="none"/>
              </w:rPr>
            </w:pPr>
          </w:p>
        </w:tc>
      </w:tr>
      <w:tr w14:paraId="2325F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9" w:type="pct"/>
            <w:tcBorders>
              <w:top w:val="single" w:color="auto" w:sz="6" w:space="0"/>
              <w:left w:val="single" w:color="auto" w:sz="12" w:space="0"/>
              <w:bottom w:val="single" w:color="auto" w:sz="6" w:space="0"/>
              <w:right w:val="single" w:color="auto" w:sz="6" w:space="0"/>
            </w:tcBorders>
            <w:noWrap w:val="0"/>
            <w:vAlign w:val="center"/>
          </w:tcPr>
          <w:p w14:paraId="6DB4027C">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76437117">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7E5E1526">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7B2F350B">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420D0F90">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374569EE">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0690282A">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349076C7">
            <w:pPr>
              <w:adjustRightInd w:val="0"/>
              <w:snapToGrid w:val="0"/>
              <w:jc w:val="center"/>
              <w:rPr>
                <w:rFonts w:hint="eastAsia" w:ascii="宋体" w:hAnsi="宋体" w:cs="宋体"/>
                <w:color w:val="000000"/>
                <w:sz w:val="18"/>
                <w:szCs w:val="18"/>
                <w:highlight w:val="none"/>
              </w:rPr>
            </w:pPr>
          </w:p>
        </w:tc>
        <w:tc>
          <w:tcPr>
            <w:tcW w:w="587" w:type="pct"/>
            <w:tcBorders>
              <w:top w:val="single" w:color="auto" w:sz="6" w:space="0"/>
              <w:left w:val="single" w:color="auto" w:sz="6" w:space="0"/>
              <w:bottom w:val="single" w:color="auto" w:sz="6" w:space="0"/>
              <w:right w:val="single" w:color="auto" w:sz="12" w:space="0"/>
            </w:tcBorders>
            <w:noWrap w:val="0"/>
            <w:vAlign w:val="center"/>
          </w:tcPr>
          <w:p w14:paraId="642E10CA">
            <w:pPr>
              <w:adjustRightInd w:val="0"/>
              <w:snapToGrid w:val="0"/>
              <w:jc w:val="center"/>
              <w:rPr>
                <w:rFonts w:hint="eastAsia" w:ascii="宋体" w:hAnsi="宋体" w:cs="宋体"/>
                <w:color w:val="000000"/>
                <w:sz w:val="18"/>
                <w:szCs w:val="18"/>
                <w:highlight w:val="none"/>
              </w:rPr>
            </w:pPr>
          </w:p>
        </w:tc>
      </w:tr>
      <w:tr w14:paraId="72A672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9" w:type="pct"/>
            <w:tcBorders>
              <w:top w:val="single" w:color="auto" w:sz="6" w:space="0"/>
              <w:left w:val="single" w:color="auto" w:sz="12" w:space="0"/>
              <w:bottom w:val="single" w:color="auto" w:sz="6" w:space="0"/>
              <w:right w:val="single" w:color="auto" w:sz="6" w:space="0"/>
            </w:tcBorders>
            <w:noWrap w:val="0"/>
            <w:vAlign w:val="center"/>
          </w:tcPr>
          <w:p w14:paraId="2B705C8F">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4F017844">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5E3F7F90">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7FFF4B9C">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564344A0">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4EF13889">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4C7879F9">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208839D5">
            <w:pPr>
              <w:adjustRightInd w:val="0"/>
              <w:snapToGrid w:val="0"/>
              <w:jc w:val="center"/>
              <w:rPr>
                <w:rFonts w:hint="eastAsia" w:ascii="宋体" w:hAnsi="宋体" w:cs="宋体"/>
                <w:color w:val="000000"/>
                <w:sz w:val="18"/>
                <w:szCs w:val="18"/>
                <w:highlight w:val="none"/>
              </w:rPr>
            </w:pPr>
          </w:p>
        </w:tc>
        <w:tc>
          <w:tcPr>
            <w:tcW w:w="587" w:type="pct"/>
            <w:tcBorders>
              <w:top w:val="single" w:color="auto" w:sz="6" w:space="0"/>
              <w:left w:val="single" w:color="auto" w:sz="6" w:space="0"/>
              <w:bottom w:val="single" w:color="auto" w:sz="6" w:space="0"/>
              <w:right w:val="single" w:color="auto" w:sz="12" w:space="0"/>
            </w:tcBorders>
            <w:noWrap w:val="0"/>
            <w:vAlign w:val="center"/>
          </w:tcPr>
          <w:p w14:paraId="1630837A">
            <w:pPr>
              <w:adjustRightInd w:val="0"/>
              <w:snapToGrid w:val="0"/>
              <w:jc w:val="center"/>
              <w:rPr>
                <w:rFonts w:hint="eastAsia" w:ascii="宋体" w:hAnsi="宋体" w:cs="宋体"/>
                <w:color w:val="000000"/>
                <w:sz w:val="18"/>
                <w:szCs w:val="18"/>
                <w:highlight w:val="none"/>
              </w:rPr>
            </w:pPr>
          </w:p>
        </w:tc>
      </w:tr>
      <w:tr w14:paraId="352B34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9" w:type="pct"/>
            <w:tcBorders>
              <w:top w:val="single" w:color="auto" w:sz="6" w:space="0"/>
              <w:left w:val="single" w:color="auto" w:sz="12" w:space="0"/>
              <w:bottom w:val="single" w:color="auto" w:sz="6" w:space="0"/>
              <w:right w:val="single" w:color="auto" w:sz="6" w:space="0"/>
            </w:tcBorders>
            <w:noWrap w:val="0"/>
            <w:vAlign w:val="center"/>
          </w:tcPr>
          <w:p w14:paraId="36EC2F98">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4FBF2C96">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099648B4">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68193212">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13215374">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6DFE14B9">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3447E2CF">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7A24C492">
            <w:pPr>
              <w:adjustRightInd w:val="0"/>
              <w:snapToGrid w:val="0"/>
              <w:jc w:val="center"/>
              <w:rPr>
                <w:rFonts w:hint="eastAsia" w:ascii="宋体" w:hAnsi="宋体" w:cs="宋体"/>
                <w:color w:val="000000"/>
                <w:sz w:val="18"/>
                <w:szCs w:val="18"/>
                <w:highlight w:val="none"/>
              </w:rPr>
            </w:pPr>
          </w:p>
        </w:tc>
        <w:tc>
          <w:tcPr>
            <w:tcW w:w="587" w:type="pct"/>
            <w:tcBorders>
              <w:top w:val="single" w:color="auto" w:sz="6" w:space="0"/>
              <w:left w:val="single" w:color="auto" w:sz="6" w:space="0"/>
              <w:bottom w:val="single" w:color="auto" w:sz="6" w:space="0"/>
              <w:right w:val="single" w:color="auto" w:sz="12" w:space="0"/>
            </w:tcBorders>
            <w:noWrap w:val="0"/>
            <w:vAlign w:val="center"/>
          </w:tcPr>
          <w:p w14:paraId="37EED78C">
            <w:pPr>
              <w:adjustRightInd w:val="0"/>
              <w:snapToGrid w:val="0"/>
              <w:jc w:val="center"/>
              <w:rPr>
                <w:rFonts w:hint="eastAsia" w:ascii="宋体" w:hAnsi="宋体" w:cs="宋体"/>
                <w:color w:val="000000"/>
                <w:sz w:val="18"/>
                <w:szCs w:val="18"/>
                <w:highlight w:val="none"/>
              </w:rPr>
            </w:pPr>
          </w:p>
        </w:tc>
      </w:tr>
      <w:tr w14:paraId="273BB1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9" w:type="pct"/>
            <w:tcBorders>
              <w:top w:val="single" w:color="auto" w:sz="6" w:space="0"/>
              <w:left w:val="single" w:color="auto" w:sz="12" w:space="0"/>
              <w:bottom w:val="single" w:color="auto" w:sz="6" w:space="0"/>
              <w:right w:val="single" w:color="auto" w:sz="6" w:space="0"/>
            </w:tcBorders>
            <w:noWrap w:val="0"/>
            <w:vAlign w:val="center"/>
          </w:tcPr>
          <w:p w14:paraId="7B48CADC">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0D0BB5FF">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2F8792DF">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2438C107">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3904A671">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40FE0722">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0925C739">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6" w:space="0"/>
              <w:right w:val="single" w:color="auto" w:sz="6" w:space="0"/>
            </w:tcBorders>
            <w:noWrap w:val="0"/>
            <w:vAlign w:val="center"/>
          </w:tcPr>
          <w:p w14:paraId="5D092AA6">
            <w:pPr>
              <w:adjustRightInd w:val="0"/>
              <w:snapToGrid w:val="0"/>
              <w:jc w:val="center"/>
              <w:rPr>
                <w:rFonts w:hint="eastAsia" w:ascii="宋体" w:hAnsi="宋体" w:cs="宋体"/>
                <w:color w:val="000000"/>
                <w:sz w:val="18"/>
                <w:szCs w:val="18"/>
                <w:highlight w:val="none"/>
              </w:rPr>
            </w:pPr>
          </w:p>
        </w:tc>
        <w:tc>
          <w:tcPr>
            <w:tcW w:w="587" w:type="pct"/>
            <w:tcBorders>
              <w:top w:val="single" w:color="auto" w:sz="6" w:space="0"/>
              <w:left w:val="single" w:color="auto" w:sz="6" w:space="0"/>
              <w:bottom w:val="single" w:color="auto" w:sz="6" w:space="0"/>
              <w:right w:val="single" w:color="auto" w:sz="12" w:space="0"/>
            </w:tcBorders>
            <w:noWrap w:val="0"/>
            <w:vAlign w:val="center"/>
          </w:tcPr>
          <w:p w14:paraId="1B0DF9CE">
            <w:pPr>
              <w:adjustRightInd w:val="0"/>
              <w:snapToGrid w:val="0"/>
              <w:jc w:val="center"/>
              <w:rPr>
                <w:rFonts w:hint="eastAsia" w:ascii="宋体" w:hAnsi="宋体" w:cs="宋体"/>
                <w:color w:val="000000"/>
                <w:sz w:val="18"/>
                <w:szCs w:val="18"/>
                <w:highlight w:val="none"/>
              </w:rPr>
            </w:pPr>
          </w:p>
        </w:tc>
      </w:tr>
      <w:tr w14:paraId="535866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9" w:type="pct"/>
            <w:tcBorders>
              <w:top w:val="single" w:color="auto" w:sz="6" w:space="0"/>
              <w:left w:val="single" w:color="auto" w:sz="12" w:space="0"/>
              <w:bottom w:val="single" w:color="auto" w:sz="12" w:space="0"/>
              <w:right w:val="single" w:color="auto" w:sz="6" w:space="0"/>
            </w:tcBorders>
            <w:noWrap w:val="0"/>
            <w:vAlign w:val="center"/>
          </w:tcPr>
          <w:p w14:paraId="22FB59A7">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12" w:space="0"/>
              <w:right w:val="single" w:color="auto" w:sz="6" w:space="0"/>
            </w:tcBorders>
            <w:noWrap w:val="0"/>
            <w:vAlign w:val="center"/>
          </w:tcPr>
          <w:p w14:paraId="0FE009EF">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12" w:space="0"/>
              <w:right w:val="single" w:color="auto" w:sz="6" w:space="0"/>
            </w:tcBorders>
            <w:noWrap w:val="0"/>
            <w:vAlign w:val="center"/>
          </w:tcPr>
          <w:p w14:paraId="276FD637">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12" w:space="0"/>
              <w:right w:val="single" w:color="auto" w:sz="6" w:space="0"/>
            </w:tcBorders>
            <w:noWrap w:val="0"/>
            <w:vAlign w:val="center"/>
          </w:tcPr>
          <w:p w14:paraId="4C6C8FB6">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12" w:space="0"/>
              <w:right w:val="single" w:color="auto" w:sz="6" w:space="0"/>
            </w:tcBorders>
            <w:noWrap w:val="0"/>
            <w:vAlign w:val="center"/>
          </w:tcPr>
          <w:p w14:paraId="259AE3CC">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12" w:space="0"/>
              <w:right w:val="single" w:color="auto" w:sz="6" w:space="0"/>
            </w:tcBorders>
            <w:noWrap w:val="0"/>
            <w:vAlign w:val="center"/>
          </w:tcPr>
          <w:p w14:paraId="78528AF4">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12" w:space="0"/>
              <w:right w:val="single" w:color="auto" w:sz="6" w:space="0"/>
            </w:tcBorders>
            <w:noWrap w:val="0"/>
            <w:vAlign w:val="center"/>
          </w:tcPr>
          <w:p w14:paraId="0515C247">
            <w:pPr>
              <w:adjustRightInd w:val="0"/>
              <w:snapToGrid w:val="0"/>
              <w:jc w:val="center"/>
              <w:rPr>
                <w:rFonts w:hint="eastAsia" w:ascii="宋体" w:hAnsi="宋体" w:cs="宋体"/>
                <w:color w:val="000000"/>
                <w:sz w:val="18"/>
                <w:szCs w:val="18"/>
                <w:highlight w:val="none"/>
              </w:rPr>
            </w:pPr>
          </w:p>
        </w:tc>
        <w:tc>
          <w:tcPr>
            <w:tcW w:w="589" w:type="pct"/>
            <w:tcBorders>
              <w:top w:val="single" w:color="auto" w:sz="6" w:space="0"/>
              <w:left w:val="single" w:color="auto" w:sz="6" w:space="0"/>
              <w:bottom w:val="single" w:color="auto" w:sz="12" w:space="0"/>
              <w:right w:val="single" w:color="auto" w:sz="6" w:space="0"/>
            </w:tcBorders>
            <w:noWrap w:val="0"/>
            <w:vAlign w:val="center"/>
          </w:tcPr>
          <w:p w14:paraId="498E6E4E">
            <w:pPr>
              <w:adjustRightInd w:val="0"/>
              <w:snapToGrid w:val="0"/>
              <w:jc w:val="center"/>
              <w:rPr>
                <w:rFonts w:hint="eastAsia" w:ascii="宋体" w:hAnsi="宋体" w:cs="宋体"/>
                <w:color w:val="000000"/>
                <w:sz w:val="18"/>
                <w:szCs w:val="18"/>
                <w:highlight w:val="none"/>
              </w:rPr>
            </w:pPr>
          </w:p>
        </w:tc>
        <w:tc>
          <w:tcPr>
            <w:tcW w:w="587" w:type="pct"/>
            <w:tcBorders>
              <w:top w:val="single" w:color="auto" w:sz="6" w:space="0"/>
              <w:left w:val="single" w:color="auto" w:sz="6" w:space="0"/>
              <w:bottom w:val="single" w:color="auto" w:sz="12" w:space="0"/>
              <w:right w:val="single" w:color="auto" w:sz="12" w:space="0"/>
            </w:tcBorders>
            <w:noWrap w:val="0"/>
            <w:vAlign w:val="center"/>
          </w:tcPr>
          <w:p w14:paraId="40CC31A2">
            <w:pPr>
              <w:adjustRightInd w:val="0"/>
              <w:snapToGrid w:val="0"/>
              <w:jc w:val="center"/>
              <w:rPr>
                <w:rFonts w:hint="eastAsia" w:ascii="宋体" w:hAnsi="宋体" w:cs="宋体"/>
                <w:color w:val="000000"/>
                <w:sz w:val="18"/>
                <w:szCs w:val="18"/>
                <w:highlight w:val="none"/>
              </w:rPr>
            </w:pPr>
          </w:p>
        </w:tc>
      </w:tr>
    </w:tbl>
    <w:p w14:paraId="164D7E54">
      <w:pPr>
        <w:spacing w:line="360" w:lineRule="auto"/>
        <w:rPr>
          <w:rFonts w:hint="eastAsia" w:ascii="宋体" w:hAnsi="宋体"/>
          <w:szCs w:val="21"/>
          <w:highlight w:val="none"/>
        </w:rPr>
      </w:pPr>
      <w:r>
        <w:rPr>
          <w:rFonts w:hint="eastAsia" w:ascii="宋体" w:hAnsi="宋体"/>
          <w:szCs w:val="21"/>
          <w:highlight w:val="none"/>
        </w:rPr>
        <w:t>【编著说明：</w:t>
      </w:r>
    </w:p>
    <w:p w14:paraId="19B28F80">
      <w:pPr>
        <w:spacing w:line="360" w:lineRule="auto"/>
        <w:rPr>
          <w:rFonts w:hint="eastAsia" w:ascii="宋体" w:hAnsi="宋体"/>
          <w:szCs w:val="21"/>
          <w:highlight w:val="none"/>
        </w:rPr>
      </w:pPr>
      <w:r>
        <w:rPr>
          <w:rFonts w:hint="eastAsia" w:ascii="Times New Roman" w:hAnsi="Times New Roman" w:cs="Times New Roman"/>
          <w:szCs w:val="21"/>
          <w:highlight w:val="none"/>
        </w:rPr>
        <w:t>[Note de rédaction :</w:t>
      </w:r>
    </w:p>
    <w:p w14:paraId="126227FD">
      <w:pPr>
        <w:adjustRightInd w:val="0"/>
        <w:snapToGrid w:val="0"/>
        <w:spacing w:line="360" w:lineRule="auto"/>
        <w:rPr>
          <w:rFonts w:hint="eastAsia" w:ascii="宋体" w:hAnsi="宋体"/>
          <w:highlight w:val="none"/>
        </w:rPr>
      </w:pPr>
      <w:r>
        <w:rPr>
          <w:rFonts w:hint="eastAsia" w:ascii="宋体" w:hAnsi="宋体"/>
          <w:highlight w:val="none"/>
        </w:rPr>
        <w:t>1. 提供满足采购文件第一章要求的业绩，严禁填写不相关业绩。</w:t>
      </w:r>
    </w:p>
    <w:p w14:paraId="3AC56E93">
      <w:pPr>
        <w:adjustRightInd w:val="0"/>
        <w:snapToGrid w:val="0"/>
        <w:spacing w:line="360" w:lineRule="auto"/>
        <w:rPr>
          <w:rFonts w:hint="eastAsia" w:ascii="宋体" w:hAnsi="宋体"/>
          <w:highlight w:val="none"/>
        </w:rPr>
      </w:pPr>
      <w:r>
        <w:rPr>
          <w:rFonts w:hint="eastAsia" w:ascii="Times New Roman" w:hAnsi="Times New Roman" w:cs="Times New Roman"/>
          <w:highlight w:val="none"/>
        </w:rPr>
        <w:t>1. Fournir les références répondant aux exigences du chapitre I du dossier de consultation ; les références sans rapport avec le projet ne doivent pas être renseignées.</w:t>
      </w:r>
    </w:p>
    <w:p w14:paraId="73EB4D3D">
      <w:pPr>
        <w:adjustRightInd w:val="0"/>
        <w:snapToGrid w:val="0"/>
        <w:spacing w:line="360" w:lineRule="auto"/>
        <w:rPr>
          <w:rFonts w:hint="eastAsia" w:ascii="宋体" w:hAnsi="宋体"/>
          <w:highlight w:val="none"/>
        </w:rPr>
      </w:pPr>
      <w:r>
        <w:rPr>
          <w:rFonts w:ascii="宋体" w:hAnsi="宋体"/>
          <w:highlight w:val="none"/>
        </w:rPr>
        <w:t>2.</w:t>
      </w:r>
      <w:r>
        <w:rPr>
          <w:rFonts w:hint="eastAsia" w:ascii="宋体" w:hAnsi="宋体"/>
          <w:highlight w:val="none"/>
        </w:rPr>
        <w:t xml:space="preserve"> 服务范围描述</w:t>
      </w:r>
      <w:r>
        <w:rPr>
          <w:rFonts w:ascii="宋体" w:hAnsi="宋体"/>
          <w:highlight w:val="none"/>
        </w:rPr>
        <w:t>：请详细描述项目规模及</w:t>
      </w:r>
      <w:r>
        <w:rPr>
          <w:rFonts w:hint="eastAsia" w:ascii="宋体" w:hAnsi="宋体"/>
          <w:highlight w:val="none"/>
        </w:rPr>
        <w:t>服务</w:t>
      </w:r>
      <w:r>
        <w:rPr>
          <w:rFonts w:ascii="宋体" w:hAnsi="宋体"/>
          <w:highlight w:val="none"/>
        </w:rPr>
        <w:t>范围</w:t>
      </w:r>
    </w:p>
    <w:p w14:paraId="4EED936C">
      <w:pPr>
        <w:adjustRightInd w:val="0"/>
        <w:snapToGrid w:val="0"/>
        <w:spacing w:line="360" w:lineRule="auto"/>
        <w:rPr>
          <w:rFonts w:hint="eastAsia" w:ascii="宋体" w:hAnsi="宋体"/>
          <w:highlight w:val="none"/>
        </w:rPr>
      </w:pPr>
      <w:r>
        <w:rPr>
          <w:rFonts w:ascii="Times New Roman" w:hAnsi="Times New Roman" w:cs="Times New Roman"/>
          <w:highlight w:val="none"/>
        </w:rPr>
        <w:t>2. Description du périmètre des services : décrire en détail l’ampleur du projet et l’étendue des services.</w:t>
      </w:r>
    </w:p>
    <w:p w14:paraId="33437801">
      <w:pPr>
        <w:adjustRightInd w:val="0"/>
        <w:snapToGrid w:val="0"/>
        <w:spacing w:line="360" w:lineRule="auto"/>
        <w:rPr>
          <w:rFonts w:hint="eastAsia" w:ascii="宋体" w:hAnsi="宋体"/>
          <w:highlight w:val="none"/>
        </w:rPr>
        <w:sectPr>
          <w:pgSz w:w="11906" w:h="16838"/>
          <w:pgMar w:top="1474" w:right="1474" w:bottom="1474" w:left="1474" w:header="851" w:footer="567" w:gutter="0"/>
          <w:cols w:space="720" w:num="1"/>
          <w:docGrid w:linePitch="312" w:charSpace="0"/>
        </w:sectPr>
      </w:pPr>
      <w:r>
        <w:rPr>
          <w:rFonts w:hint="eastAsia" w:ascii="宋体" w:hAnsi="宋体"/>
          <w:highlight w:val="none"/>
        </w:rPr>
        <w:br w:type="textWrapping"/>
      </w:r>
    </w:p>
    <w:p w14:paraId="4622D727">
      <w:pPr>
        <w:adjustRightInd w:val="0"/>
        <w:snapToGrid w:val="0"/>
        <w:spacing w:line="360" w:lineRule="auto"/>
        <w:rPr>
          <w:rFonts w:hint="eastAsia" w:ascii="宋体" w:hAnsi="宋体"/>
          <w:highlight w:val="none"/>
        </w:rPr>
      </w:pPr>
      <w:r>
        <w:rPr>
          <w:rFonts w:hint="eastAsia" w:ascii="宋体" w:hAnsi="宋体"/>
          <w:b/>
          <w:bCs/>
          <w:highlight w:val="none"/>
          <w:lang w:val="en-US" w:eastAsia="zh-CN"/>
        </w:rPr>
        <w:t>业绩要求：</w:t>
      </w:r>
      <w:r>
        <w:rPr>
          <w:rFonts w:hint="eastAsia" w:ascii="宋体" w:hAnsi="宋体"/>
          <w:szCs w:val="21"/>
          <w:highlight w:val="none"/>
          <w:u w:val="none"/>
          <w:lang w:val="en-US" w:eastAsia="zh-CN"/>
        </w:rPr>
        <w:t>响应人</w:t>
      </w:r>
      <w:r>
        <w:rPr>
          <w:rFonts w:hint="eastAsia" w:ascii="宋体" w:hAnsi="宋体"/>
          <w:szCs w:val="21"/>
          <w:highlight w:val="none"/>
          <w:u w:val="single"/>
          <w:lang w:val="en-US" w:eastAsia="zh-CN"/>
        </w:rPr>
        <w:t>2021</w:t>
      </w:r>
      <w:r>
        <w:rPr>
          <w:rFonts w:hint="eastAsia" w:ascii="宋体" w:hAnsi="宋体"/>
          <w:szCs w:val="21"/>
          <w:highlight w:val="none"/>
        </w:rPr>
        <w:t>年</w:t>
      </w:r>
      <w:r>
        <w:rPr>
          <w:rFonts w:hint="eastAsia" w:ascii="宋体" w:hAnsi="宋体"/>
          <w:szCs w:val="21"/>
          <w:highlight w:val="none"/>
          <w:u w:val="single"/>
          <w:lang w:val="en-US" w:eastAsia="zh-CN"/>
        </w:rPr>
        <w:t>9</w:t>
      </w:r>
      <w:r>
        <w:rPr>
          <w:rFonts w:hint="eastAsia" w:ascii="宋体" w:hAnsi="宋体"/>
          <w:szCs w:val="21"/>
          <w:highlight w:val="none"/>
        </w:rPr>
        <w:t>月</w:t>
      </w:r>
      <w:r>
        <w:rPr>
          <w:rFonts w:hint="eastAsia" w:ascii="宋体" w:hAnsi="宋体"/>
          <w:szCs w:val="21"/>
          <w:highlight w:val="none"/>
          <w:u w:val="single"/>
          <w:lang w:val="en-US" w:eastAsia="zh-CN"/>
        </w:rPr>
        <w:t>1</w:t>
      </w:r>
      <w:r>
        <w:rPr>
          <w:rFonts w:hint="eastAsia" w:ascii="宋体" w:hAnsi="宋体"/>
          <w:szCs w:val="21"/>
          <w:highlight w:val="none"/>
        </w:rPr>
        <w:t>日至</w:t>
      </w:r>
      <w:r>
        <w:rPr>
          <w:rFonts w:hint="eastAsia" w:ascii="宋体" w:hAnsi="宋体"/>
          <w:szCs w:val="21"/>
          <w:highlight w:val="none"/>
          <w:u w:val="single"/>
          <w:lang w:val="en-US" w:eastAsia="zh-CN"/>
        </w:rPr>
        <w:t>报价截止日</w:t>
      </w:r>
      <w:r>
        <w:rPr>
          <w:rFonts w:hint="eastAsia" w:ascii="宋体" w:hAnsi="宋体"/>
          <w:highlight w:val="none"/>
          <w:lang w:eastAsia="zh-CN"/>
        </w:rPr>
        <w:t>内</w:t>
      </w:r>
      <w:r>
        <w:rPr>
          <w:rFonts w:hint="eastAsia" w:ascii="宋体" w:hAnsi="宋体"/>
          <w:highlight w:val="none"/>
          <w:lang w:val="en-US" w:eastAsia="zh-CN"/>
        </w:rPr>
        <w:t>具有</w:t>
      </w:r>
      <w:r>
        <w:rPr>
          <w:rFonts w:hint="eastAsia" w:ascii="宋体" w:hAnsi="宋体"/>
          <w:szCs w:val="21"/>
          <w:highlight w:val="none"/>
          <w:lang w:eastAsia="zh-CN"/>
        </w:rPr>
        <w:t>不</w:t>
      </w:r>
      <w:r>
        <w:rPr>
          <w:rFonts w:hint="eastAsia" w:ascii="宋体" w:hAnsi="宋体"/>
          <w:szCs w:val="21"/>
          <w:highlight w:val="none"/>
          <w:lang w:val="en-US" w:eastAsia="zh-CN"/>
        </w:rPr>
        <w:t>少</w:t>
      </w:r>
      <w:r>
        <w:rPr>
          <w:rFonts w:hint="eastAsia" w:ascii="宋体" w:hAnsi="宋体"/>
          <w:szCs w:val="21"/>
          <w:highlight w:val="none"/>
          <w:lang w:eastAsia="zh-CN"/>
        </w:rPr>
        <w:t>于</w:t>
      </w:r>
      <w:r>
        <w:rPr>
          <w:rFonts w:hint="eastAsia" w:ascii="宋体" w:hAnsi="宋体"/>
          <w:szCs w:val="21"/>
          <w:highlight w:val="none"/>
          <w:lang w:val="en-US" w:eastAsia="zh-CN"/>
        </w:rPr>
        <w:t>2项</w:t>
      </w:r>
      <w:r>
        <w:rPr>
          <w:rFonts w:hint="eastAsia" w:ascii="宋体" w:hAnsi="宋体"/>
          <w:szCs w:val="21"/>
          <w:highlight w:val="none"/>
        </w:rPr>
        <w:t>为</w:t>
      </w:r>
      <w:r>
        <w:rPr>
          <w:rFonts w:hint="eastAsia" w:ascii="宋体" w:hAnsi="宋体"/>
          <w:color w:val="auto"/>
          <w:szCs w:val="21"/>
          <w:highlight w:val="none"/>
        </w:rPr>
        <w:t>政府机关、事业单位</w:t>
      </w:r>
      <w:r>
        <w:rPr>
          <w:rFonts w:hint="eastAsia" w:ascii="宋体" w:hAnsi="宋体"/>
          <w:color w:val="auto"/>
          <w:szCs w:val="21"/>
          <w:highlight w:val="none"/>
          <w:lang w:val="en-US" w:eastAsia="zh-CN"/>
        </w:rPr>
        <w:t>或国企</w:t>
      </w:r>
      <w:r>
        <w:rPr>
          <w:rFonts w:hint="eastAsia" w:ascii="宋体" w:hAnsi="宋体"/>
          <w:szCs w:val="21"/>
          <w:highlight w:val="none"/>
        </w:rPr>
        <w:t>提供国际机票代理服务</w:t>
      </w:r>
      <w:r>
        <w:rPr>
          <w:rFonts w:hint="eastAsia" w:ascii="宋体" w:hAnsi="宋体"/>
          <w:szCs w:val="21"/>
          <w:highlight w:val="none"/>
          <w:lang w:val="en-US" w:eastAsia="zh-CN"/>
        </w:rPr>
        <w:t>相关</w:t>
      </w:r>
      <w:r>
        <w:rPr>
          <w:rFonts w:hint="eastAsia" w:ascii="宋体" w:hAnsi="宋体"/>
          <w:szCs w:val="21"/>
          <w:highlight w:val="none"/>
        </w:rPr>
        <w:t>业绩（需提供合同关键页，包含但不限于合同首页、签字页、主要服务范围页、合同起始时间/有效期页）。</w:t>
      </w:r>
    </w:p>
    <w:p w14:paraId="6DA08216">
      <w:pPr>
        <w:adjustRightInd w:val="0"/>
        <w:snapToGrid w:val="0"/>
        <w:spacing w:line="360" w:lineRule="auto"/>
        <w:rPr>
          <w:rFonts w:hint="eastAsia" w:ascii="宋体" w:hAnsi="宋体"/>
          <w:highlight w:val="none"/>
        </w:rPr>
      </w:pPr>
      <w:r>
        <w:rPr>
          <w:rFonts w:hint="eastAsia" w:ascii="Times New Roman" w:hAnsi="Times New Roman" w:cs="Times New Roman"/>
          <w:b/>
          <w:bCs/>
          <w:highlight w:val="none"/>
          <w:lang w:val="en-US" w:eastAsia="zh-CN"/>
        </w:rPr>
        <w:t>Exigences de références : entre le 1er septembre 202</w:t>
      </w:r>
      <w:r>
        <w:rPr>
          <w:rFonts w:hint="eastAsia" w:cs="Times New Roman"/>
          <w:b/>
          <w:bCs/>
          <w:highlight w:val="none"/>
          <w:lang w:val="en-US" w:eastAsia="zh-CN"/>
        </w:rPr>
        <w:t>1</w:t>
      </w:r>
      <w:r>
        <w:rPr>
          <w:rFonts w:hint="eastAsia" w:ascii="Times New Roman" w:hAnsi="Times New Roman" w:cs="Times New Roman"/>
          <w:b/>
          <w:bCs/>
          <w:highlight w:val="none"/>
          <w:lang w:val="en-US" w:eastAsia="zh-CN"/>
        </w:rPr>
        <w:t xml:space="preserve"> et la date limite de remise des offres, le soumissionnaire doit justifier d’au moins </w:t>
      </w:r>
      <w:r>
        <w:rPr>
          <w:rFonts w:hint="eastAsia" w:cs="Times New Roman"/>
          <w:b/>
          <w:bCs/>
          <w:highlight w:val="none"/>
          <w:lang w:val="en-US" w:eastAsia="zh-CN"/>
        </w:rPr>
        <w:t>six</w:t>
      </w:r>
      <w:r>
        <w:rPr>
          <w:rFonts w:hint="eastAsia" w:ascii="Times New Roman" w:hAnsi="Times New Roman" w:cs="Times New Roman"/>
          <w:b/>
          <w:bCs/>
          <w:highlight w:val="none"/>
          <w:lang w:val="en-US" w:eastAsia="zh-CN"/>
        </w:rPr>
        <w:t xml:space="preserve"> références de services d’agence pour billets d’avion internationaux fournis à des administrations publiques, établissements publics ou grandes et moyennes entreprises. Les pages essentielles des contrats doivent être fournies, notamment la page de garde, la page de signature, les pages décrivant le périmètre principal des services et les pages indiquant la date de début/la durée de validité du contrat.</w:t>
      </w:r>
    </w:p>
    <w:p w14:paraId="2B00CFA4">
      <w:pPr>
        <w:adjustRightInd w:val="0"/>
        <w:snapToGrid w:val="0"/>
        <w:spacing w:line="360" w:lineRule="auto"/>
        <w:ind w:firstLine="200"/>
        <w:rPr>
          <w:rFonts w:hint="eastAsia" w:ascii="宋体" w:hAnsi="宋体"/>
          <w:highlight w:val="none"/>
        </w:rPr>
      </w:pPr>
    </w:p>
    <w:p w14:paraId="28BAB005">
      <w:pPr>
        <w:widowControl/>
        <w:jc w:val="left"/>
        <w:rPr>
          <w:rFonts w:hint="default"/>
          <w:highlight w:val="none"/>
          <w:lang w:val="en-US" w:eastAsia="zh-CN"/>
        </w:rPr>
      </w:pPr>
      <w:r>
        <w:rPr>
          <w:rFonts w:ascii="宋体" w:hAnsi="宋体" w:eastAsia="宋体"/>
          <w:highlight w:val="none"/>
        </w:rPr>
        <w:t>（六）技术、服务评审资料及服务大纲</w:t>
      </w:r>
    </w:p>
    <w:p w14:paraId="03CB9E0C">
      <w:pPr>
        <w:widowControl/>
        <w:jc w:val="left"/>
        <w:rPr>
          <w:rFonts w:hint="default"/>
          <w:highlight w:val="none"/>
          <w:lang w:val="en-US" w:eastAsia="zh-CN"/>
        </w:rPr>
      </w:pPr>
      <w:r>
        <w:rPr>
          <w:rFonts w:ascii="Times New Roman" w:hAnsi="Times New Roman" w:eastAsia="宋体" w:cs="Times New Roman"/>
          <w:highlight w:val="none"/>
        </w:rPr>
        <w:t>(VI) Documents d’évaluation technique et des services et plan de prestation de services</w:t>
      </w:r>
    </w:p>
    <w:tbl>
      <w:tblPr>
        <w:tblStyle w:val="33"/>
        <w:tblW w:w="4947"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06"/>
        <w:gridCol w:w="4846"/>
        <w:gridCol w:w="3525"/>
      </w:tblGrid>
      <w:tr w14:paraId="7E8CF0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9" w:type="pct"/>
            <w:noWrap w:val="0"/>
            <w:vAlign w:val="center"/>
          </w:tcPr>
          <w:p w14:paraId="2156ABB3">
            <w:pPr>
              <w:jc w:val="center"/>
              <w:rPr>
                <w:rFonts w:hint="eastAsia" w:ascii="宋体" w:hAnsi="宋体"/>
                <w:b/>
                <w:bCs/>
                <w:sz w:val="18"/>
                <w:szCs w:val="18"/>
                <w:highlight w:val="none"/>
              </w:rPr>
            </w:pPr>
            <w:r>
              <w:rPr>
                <w:rFonts w:hint="eastAsia" w:ascii="宋体" w:hAnsi="宋体"/>
                <w:b/>
                <w:bCs/>
                <w:sz w:val="18"/>
                <w:szCs w:val="18"/>
                <w:highlight w:val="none"/>
              </w:rPr>
              <w:t>序号</w:t>
            </w:r>
          </w:p>
          <w:p w14:paraId="40564743">
            <w:pPr>
              <w:jc w:val="center"/>
              <w:rPr>
                <w:rFonts w:hint="eastAsia" w:ascii="宋体" w:hAnsi="宋体"/>
                <w:b/>
                <w:bCs/>
                <w:sz w:val="18"/>
                <w:szCs w:val="18"/>
                <w:highlight w:val="none"/>
              </w:rPr>
            </w:pPr>
            <w:r>
              <w:rPr>
                <w:rFonts w:hint="eastAsia" w:ascii="Times New Roman" w:hAnsi="Times New Roman" w:cs="Times New Roman"/>
                <w:b/>
                <w:bCs/>
                <w:sz w:val="18"/>
                <w:szCs w:val="18"/>
                <w:highlight w:val="none"/>
              </w:rPr>
              <w:t>N°</w:t>
            </w:r>
          </w:p>
        </w:tc>
        <w:tc>
          <w:tcPr>
            <w:tcW w:w="2669" w:type="pct"/>
            <w:noWrap w:val="0"/>
            <w:vAlign w:val="center"/>
          </w:tcPr>
          <w:p w14:paraId="3AFB9BE8">
            <w:pPr>
              <w:jc w:val="center"/>
              <w:rPr>
                <w:rFonts w:hint="default" w:ascii="宋体" w:hAnsi="宋体" w:eastAsia="宋体"/>
                <w:b/>
                <w:bCs/>
                <w:sz w:val="18"/>
                <w:szCs w:val="18"/>
                <w:highlight w:val="none"/>
                <w:lang w:val="en-US" w:eastAsia="zh-CN"/>
              </w:rPr>
            </w:pPr>
            <w:r>
              <w:rPr>
                <w:rFonts w:hint="eastAsia" w:ascii="宋体" w:hAnsi="宋体"/>
                <w:b/>
                <w:bCs/>
                <w:sz w:val="18"/>
                <w:szCs w:val="18"/>
                <w:highlight w:val="none"/>
                <w:lang w:val="en-US" w:eastAsia="zh-CN"/>
              </w:rPr>
              <w:t>因素</w:t>
            </w:r>
          </w:p>
          <w:p w14:paraId="6DAE51E3">
            <w:pPr>
              <w:jc w:val="center"/>
              <w:rPr>
                <w:rFonts w:hint="default" w:ascii="宋体" w:hAnsi="宋体" w:eastAsia="宋体"/>
                <w:b/>
                <w:bCs/>
                <w:sz w:val="18"/>
                <w:szCs w:val="18"/>
                <w:highlight w:val="none"/>
                <w:lang w:val="en-US" w:eastAsia="zh-CN"/>
              </w:rPr>
            </w:pPr>
            <w:r>
              <w:rPr>
                <w:rFonts w:hint="eastAsia" w:ascii="Times New Roman" w:hAnsi="Times New Roman" w:cs="Times New Roman"/>
                <w:b/>
                <w:bCs/>
                <w:sz w:val="18"/>
                <w:szCs w:val="18"/>
                <w:highlight w:val="none"/>
                <w:lang w:val="en-US" w:eastAsia="zh-CN"/>
              </w:rPr>
              <w:t>Facteur</w:t>
            </w:r>
          </w:p>
        </w:tc>
        <w:tc>
          <w:tcPr>
            <w:tcW w:w="1941" w:type="pct"/>
            <w:noWrap w:val="0"/>
            <w:vAlign w:val="center"/>
          </w:tcPr>
          <w:p w14:paraId="02E3C97B">
            <w:pPr>
              <w:jc w:val="center"/>
              <w:rPr>
                <w:rFonts w:hint="eastAsia" w:ascii="宋体" w:hAnsi="宋体"/>
                <w:b/>
                <w:bCs/>
                <w:sz w:val="18"/>
                <w:szCs w:val="18"/>
                <w:highlight w:val="none"/>
              </w:rPr>
            </w:pPr>
            <w:r>
              <w:rPr>
                <w:rFonts w:hint="eastAsia" w:ascii="宋体" w:hAnsi="宋体"/>
                <w:b/>
                <w:bCs/>
                <w:sz w:val="18"/>
                <w:szCs w:val="18"/>
                <w:highlight w:val="none"/>
              </w:rPr>
              <w:t>响应人填写内容</w:t>
            </w:r>
          </w:p>
          <w:p w14:paraId="6E329A2A">
            <w:pPr>
              <w:jc w:val="center"/>
              <w:rPr>
                <w:rFonts w:hint="eastAsia" w:ascii="宋体" w:hAnsi="宋体"/>
                <w:b/>
                <w:bCs/>
                <w:sz w:val="18"/>
                <w:szCs w:val="18"/>
                <w:highlight w:val="none"/>
              </w:rPr>
            </w:pPr>
            <w:r>
              <w:rPr>
                <w:rFonts w:hint="eastAsia" w:ascii="Times New Roman" w:hAnsi="Times New Roman" w:cs="Times New Roman"/>
                <w:b/>
                <w:bCs/>
                <w:sz w:val="18"/>
                <w:szCs w:val="18"/>
                <w:highlight w:val="none"/>
              </w:rPr>
              <w:t>À compléter par le soumissionnaire</w:t>
            </w:r>
          </w:p>
        </w:tc>
      </w:tr>
      <w:tr w14:paraId="4CFFC1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9" w:type="pct"/>
            <w:noWrap w:val="0"/>
            <w:vAlign w:val="center"/>
          </w:tcPr>
          <w:p w14:paraId="453C7CBA">
            <w:pPr>
              <w:jc w:val="center"/>
              <w:rPr>
                <w:rFonts w:hint="eastAsia" w:ascii="宋体" w:hAnsi="宋体"/>
                <w:sz w:val="18"/>
                <w:szCs w:val="18"/>
                <w:highlight w:val="none"/>
              </w:rPr>
            </w:pPr>
            <w:r>
              <w:rPr>
                <w:rFonts w:ascii="宋体" w:hAnsi="宋体"/>
                <w:sz w:val="18"/>
                <w:szCs w:val="18"/>
                <w:highlight w:val="none"/>
              </w:rPr>
              <w:t>1</w:t>
            </w:r>
          </w:p>
        </w:tc>
        <w:tc>
          <w:tcPr>
            <w:tcW w:w="2669" w:type="pct"/>
            <w:noWrap w:val="0"/>
            <w:vAlign w:val="center"/>
          </w:tcPr>
          <w:p w14:paraId="21C98F85">
            <w:pPr>
              <w:jc w:val="center"/>
              <w:rPr>
                <w:rFonts w:hint="eastAsia" w:ascii="宋体" w:hAnsi="宋体" w:eastAsia="宋体"/>
                <w:sz w:val="18"/>
                <w:szCs w:val="18"/>
                <w:highlight w:val="none"/>
                <w:lang w:eastAsia="zh-CN"/>
              </w:rPr>
            </w:pPr>
            <w:r>
              <w:rPr>
                <w:rFonts w:hint="eastAsia" w:ascii="宋体" w:hAnsi="宋体" w:eastAsia="宋体" w:cs="Times New Roman"/>
                <w:sz w:val="18"/>
                <w:szCs w:val="18"/>
                <w:highlight w:val="none"/>
                <w:lang w:val="en-US" w:eastAsia="zh-CN"/>
              </w:rPr>
              <w:t>响应人获得航空公司授权的总数量</w:t>
            </w:r>
          </w:p>
          <w:p w14:paraId="08904484">
            <w:pPr>
              <w:jc w:val="center"/>
              <w:rPr>
                <w:rFonts w:hint="eastAsia" w:ascii="宋体" w:hAnsi="宋体" w:eastAsia="宋体"/>
                <w:sz w:val="18"/>
                <w:szCs w:val="18"/>
                <w:highlight w:val="none"/>
                <w:lang w:eastAsia="zh-CN"/>
              </w:rPr>
            </w:pPr>
            <w:r>
              <w:rPr>
                <w:rFonts w:hint="eastAsia" w:ascii="Times New Roman" w:hAnsi="Times New Roman" w:eastAsia="宋体" w:cs="Times New Roman"/>
                <w:sz w:val="18"/>
                <w:szCs w:val="18"/>
                <w:highlight w:val="none"/>
                <w:lang w:val="en-US" w:eastAsia="zh-CN"/>
              </w:rPr>
              <w:t>Nombre total d’autorisations de compagnies aériennes obtenues par le soumissionnaire</w:t>
            </w:r>
          </w:p>
        </w:tc>
        <w:tc>
          <w:tcPr>
            <w:tcW w:w="1941" w:type="pct"/>
            <w:noWrap w:val="0"/>
            <w:vAlign w:val="center"/>
          </w:tcPr>
          <w:p w14:paraId="24B8E027">
            <w:pPr>
              <w:jc w:val="center"/>
              <w:rPr>
                <w:rFonts w:hint="eastAsia" w:ascii="宋体" w:hAnsi="宋体"/>
                <w:sz w:val="18"/>
                <w:szCs w:val="18"/>
                <w:highlight w:val="none"/>
              </w:rPr>
            </w:pPr>
          </w:p>
        </w:tc>
      </w:tr>
      <w:tr w14:paraId="153531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9" w:type="pct"/>
            <w:noWrap w:val="0"/>
            <w:vAlign w:val="center"/>
          </w:tcPr>
          <w:p w14:paraId="0E19DA69">
            <w:pPr>
              <w:jc w:val="center"/>
              <w:rPr>
                <w:rFonts w:hint="eastAsia" w:ascii="宋体" w:hAnsi="宋体"/>
                <w:sz w:val="18"/>
                <w:szCs w:val="18"/>
                <w:highlight w:val="none"/>
              </w:rPr>
            </w:pPr>
            <w:r>
              <w:rPr>
                <w:rFonts w:ascii="宋体" w:hAnsi="宋体"/>
                <w:sz w:val="18"/>
                <w:szCs w:val="18"/>
                <w:highlight w:val="none"/>
              </w:rPr>
              <w:t>2</w:t>
            </w:r>
          </w:p>
        </w:tc>
        <w:tc>
          <w:tcPr>
            <w:tcW w:w="2669" w:type="pct"/>
            <w:noWrap w:val="0"/>
            <w:vAlign w:val="center"/>
          </w:tcPr>
          <w:p w14:paraId="327F8268">
            <w:pPr>
              <w:jc w:val="center"/>
              <w:rPr>
                <w:rFonts w:hint="default" w:ascii="宋体" w:hAnsi="宋体" w:eastAsia="宋体"/>
                <w:sz w:val="18"/>
                <w:szCs w:val="18"/>
                <w:highlight w:val="none"/>
                <w:lang w:val="en-US" w:eastAsia="zh-CN"/>
              </w:rPr>
            </w:pPr>
            <w:r>
              <w:rPr>
                <w:rFonts w:hint="eastAsia" w:ascii="宋体" w:hAnsi="宋体" w:eastAsia="宋体" w:cs="Times New Roman"/>
                <w:sz w:val="18"/>
                <w:szCs w:val="18"/>
                <w:highlight w:val="none"/>
                <w:lang w:val="en-US" w:eastAsia="zh-CN"/>
              </w:rPr>
              <w:t>采购人常用的航空公司向响应人授权的数量</w:t>
            </w:r>
          </w:p>
          <w:p w14:paraId="6CD5D81B">
            <w:pPr>
              <w:jc w:val="center"/>
              <w:rPr>
                <w:rFonts w:hint="default" w:ascii="宋体" w:hAnsi="宋体" w:eastAsia="宋体"/>
                <w:sz w:val="18"/>
                <w:szCs w:val="18"/>
                <w:highlight w:val="none"/>
                <w:lang w:val="en-US" w:eastAsia="zh-CN"/>
              </w:rPr>
            </w:pPr>
            <w:r>
              <w:rPr>
                <w:rFonts w:hint="eastAsia" w:ascii="Times New Roman" w:hAnsi="Times New Roman" w:eastAsia="宋体" w:cs="Times New Roman"/>
                <w:sz w:val="18"/>
                <w:szCs w:val="18"/>
                <w:highlight w:val="none"/>
                <w:lang w:val="en-US" w:eastAsia="zh-CN"/>
              </w:rPr>
              <w:t>Nombre de compagnies aériennes habituellement utilisées par l’Acheteur ayant autorisé le soumissionnaire</w:t>
            </w:r>
          </w:p>
        </w:tc>
        <w:tc>
          <w:tcPr>
            <w:tcW w:w="1941" w:type="pct"/>
            <w:noWrap w:val="0"/>
            <w:vAlign w:val="center"/>
          </w:tcPr>
          <w:p w14:paraId="1F191ABB">
            <w:pPr>
              <w:jc w:val="center"/>
              <w:rPr>
                <w:rFonts w:hint="eastAsia" w:ascii="宋体" w:hAnsi="宋体"/>
                <w:sz w:val="18"/>
                <w:szCs w:val="18"/>
                <w:highlight w:val="none"/>
              </w:rPr>
            </w:pPr>
          </w:p>
        </w:tc>
      </w:tr>
      <w:tr w14:paraId="361EC7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9" w:type="pct"/>
            <w:noWrap w:val="0"/>
            <w:vAlign w:val="center"/>
          </w:tcPr>
          <w:p w14:paraId="1E5D0B5A">
            <w:pPr>
              <w:jc w:val="center"/>
              <w:rPr>
                <w:rFonts w:hint="eastAsia" w:ascii="宋体" w:hAnsi="宋体"/>
                <w:sz w:val="18"/>
                <w:szCs w:val="18"/>
                <w:highlight w:val="none"/>
              </w:rPr>
            </w:pPr>
            <w:r>
              <w:rPr>
                <w:rFonts w:ascii="宋体" w:hAnsi="宋体"/>
                <w:sz w:val="18"/>
                <w:szCs w:val="18"/>
                <w:highlight w:val="none"/>
              </w:rPr>
              <w:t>3</w:t>
            </w:r>
          </w:p>
        </w:tc>
        <w:tc>
          <w:tcPr>
            <w:tcW w:w="2669" w:type="pct"/>
            <w:noWrap w:val="0"/>
            <w:vAlign w:val="center"/>
          </w:tcPr>
          <w:p w14:paraId="4975D994">
            <w:pPr>
              <w:jc w:val="center"/>
              <w:rPr>
                <w:rFonts w:hint="eastAsia" w:ascii="宋体" w:hAnsi="宋体"/>
                <w:sz w:val="18"/>
                <w:szCs w:val="18"/>
                <w:highlight w:val="none"/>
              </w:rPr>
            </w:pPr>
            <w:r>
              <w:rPr>
                <w:rFonts w:hint="eastAsia" w:ascii="宋体" w:hAnsi="宋体" w:eastAsia="宋体" w:cs="Times New Roman"/>
                <w:sz w:val="18"/>
                <w:szCs w:val="18"/>
                <w:highlight w:val="none"/>
                <w:lang w:val="en-US" w:eastAsia="zh-CN"/>
              </w:rPr>
              <w:t>采购人常用的航空公司向响应人提供私有运价</w:t>
            </w:r>
          </w:p>
          <w:p w14:paraId="60BF9624">
            <w:pPr>
              <w:jc w:val="center"/>
              <w:rPr>
                <w:rFonts w:hint="eastAsia" w:ascii="宋体" w:hAnsi="宋体"/>
                <w:sz w:val="18"/>
                <w:szCs w:val="18"/>
                <w:highlight w:val="none"/>
              </w:rPr>
            </w:pPr>
            <w:r>
              <w:rPr>
                <w:rFonts w:hint="eastAsia" w:ascii="Times New Roman" w:hAnsi="Times New Roman" w:eastAsia="宋体" w:cs="Times New Roman"/>
                <w:sz w:val="18"/>
                <w:szCs w:val="18"/>
                <w:highlight w:val="none"/>
                <w:lang w:val="en-US" w:eastAsia="zh-CN"/>
              </w:rPr>
              <w:t>Tarifs privés accordés au soumissionnaire par les compagnies aériennes habituellement utilisées par l’Acheteur</w:t>
            </w:r>
          </w:p>
        </w:tc>
        <w:tc>
          <w:tcPr>
            <w:tcW w:w="1941" w:type="pct"/>
            <w:noWrap w:val="0"/>
            <w:vAlign w:val="center"/>
          </w:tcPr>
          <w:p w14:paraId="2E6793DE">
            <w:pPr>
              <w:jc w:val="center"/>
              <w:rPr>
                <w:rFonts w:hint="eastAsia" w:ascii="宋体" w:hAnsi="宋体"/>
                <w:sz w:val="18"/>
                <w:szCs w:val="18"/>
                <w:highlight w:val="none"/>
              </w:rPr>
            </w:pPr>
          </w:p>
        </w:tc>
      </w:tr>
      <w:tr w14:paraId="665616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9" w:type="pct"/>
            <w:noWrap w:val="0"/>
            <w:vAlign w:val="center"/>
          </w:tcPr>
          <w:p w14:paraId="38FC0AE9">
            <w:pPr>
              <w:jc w:val="center"/>
              <w:rPr>
                <w:rFonts w:hint="eastAsia" w:ascii="宋体" w:hAnsi="宋体"/>
                <w:sz w:val="18"/>
                <w:szCs w:val="18"/>
                <w:highlight w:val="none"/>
              </w:rPr>
            </w:pPr>
            <w:r>
              <w:rPr>
                <w:rFonts w:ascii="宋体" w:hAnsi="宋体"/>
                <w:sz w:val="18"/>
                <w:szCs w:val="18"/>
                <w:highlight w:val="none"/>
              </w:rPr>
              <w:t>4</w:t>
            </w:r>
          </w:p>
        </w:tc>
        <w:tc>
          <w:tcPr>
            <w:tcW w:w="2669" w:type="pct"/>
            <w:noWrap w:val="0"/>
            <w:vAlign w:val="center"/>
          </w:tcPr>
          <w:p w14:paraId="251480A8">
            <w:pPr>
              <w:jc w:val="center"/>
              <w:rPr>
                <w:rFonts w:hint="default" w:ascii="宋体" w:hAnsi="宋体" w:eastAsia="宋体" w:cs="Times New Roman"/>
                <w:sz w:val="18"/>
                <w:szCs w:val="18"/>
                <w:highlight w:val="none"/>
                <w:lang w:val="en-US" w:eastAsia="zh-CN"/>
              </w:rPr>
            </w:pPr>
            <w:r>
              <w:rPr>
                <w:rFonts w:hint="eastAsia" w:ascii="宋体" w:hAnsi="宋体" w:eastAsia="宋体" w:cs="Times New Roman"/>
                <w:sz w:val="18"/>
                <w:szCs w:val="18"/>
                <w:highlight w:val="none"/>
                <w:lang w:val="en-US" w:eastAsia="zh-CN"/>
              </w:rPr>
              <w:t>为采购人配备的专属服务人员从事国际机票工作年限</w:t>
            </w:r>
          </w:p>
          <w:p w14:paraId="3997AD23">
            <w:pPr>
              <w:jc w:val="center"/>
              <w:rPr>
                <w:rFonts w:hint="default" w:ascii="宋体" w:hAnsi="宋体"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Années d’expérience dans le domaine de la billetterie aérienne internationale du personnel dédié affecté à l’Acheteur</w:t>
            </w:r>
          </w:p>
        </w:tc>
        <w:tc>
          <w:tcPr>
            <w:tcW w:w="1941" w:type="pct"/>
            <w:noWrap w:val="0"/>
            <w:vAlign w:val="center"/>
          </w:tcPr>
          <w:p w14:paraId="19A852E4">
            <w:pPr>
              <w:jc w:val="center"/>
              <w:rPr>
                <w:rFonts w:hint="eastAsia" w:ascii="宋体" w:hAnsi="宋体"/>
                <w:sz w:val="18"/>
                <w:szCs w:val="18"/>
                <w:highlight w:val="none"/>
              </w:rPr>
            </w:pPr>
          </w:p>
        </w:tc>
      </w:tr>
      <w:tr w14:paraId="668F62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9" w:type="pct"/>
            <w:noWrap w:val="0"/>
            <w:vAlign w:val="center"/>
          </w:tcPr>
          <w:p w14:paraId="6ABD2FC6">
            <w:pPr>
              <w:jc w:val="center"/>
              <w:rPr>
                <w:rFonts w:hint="eastAsia" w:ascii="宋体" w:hAnsi="宋体"/>
                <w:sz w:val="18"/>
                <w:szCs w:val="18"/>
                <w:highlight w:val="none"/>
              </w:rPr>
            </w:pPr>
            <w:r>
              <w:rPr>
                <w:rFonts w:ascii="宋体" w:hAnsi="宋体"/>
                <w:sz w:val="18"/>
                <w:szCs w:val="18"/>
                <w:highlight w:val="none"/>
              </w:rPr>
              <w:t>5</w:t>
            </w:r>
          </w:p>
        </w:tc>
        <w:tc>
          <w:tcPr>
            <w:tcW w:w="2669" w:type="pct"/>
            <w:noWrap w:val="0"/>
            <w:vAlign w:val="center"/>
          </w:tcPr>
          <w:p w14:paraId="4D075535">
            <w:pPr>
              <w:jc w:val="center"/>
              <w:rPr>
                <w:rFonts w:hint="default" w:ascii="宋体" w:hAnsi="宋体" w:eastAsia="宋体" w:cs="Times New Roman"/>
                <w:sz w:val="18"/>
                <w:szCs w:val="18"/>
                <w:highlight w:val="none"/>
                <w:lang w:val="en-US" w:eastAsia="zh-CN"/>
              </w:rPr>
            </w:pPr>
            <w:r>
              <w:rPr>
                <w:rFonts w:hint="eastAsia" w:ascii="宋体" w:hAnsi="宋体" w:eastAsia="宋体" w:cs="Times New Roman"/>
                <w:sz w:val="18"/>
                <w:szCs w:val="18"/>
                <w:highlight w:val="none"/>
                <w:lang w:val="en-US" w:eastAsia="zh-CN"/>
              </w:rPr>
              <w:t>对响应人为采购人配备的专属服务人员持证人数</w:t>
            </w:r>
          </w:p>
          <w:p w14:paraId="6F39B7AC">
            <w:pPr>
              <w:jc w:val="center"/>
              <w:rPr>
                <w:rFonts w:hint="default" w:ascii="宋体" w:hAnsi="宋体"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Nombre de titulaires de certificats parmi le personnel dédié affecté à l’Acheteur</w:t>
            </w:r>
          </w:p>
        </w:tc>
        <w:tc>
          <w:tcPr>
            <w:tcW w:w="1941" w:type="pct"/>
            <w:noWrap w:val="0"/>
            <w:vAlign w:val="center"/>
          </w:tcPr>
          <w:p w14:paraId="2A98D08B">
            <w:pPr>
              <w:jc w:val="center"/>
              <w:rPr>
                <w:rFonts w:hint="eastAsia" w:ascii="宋体" w:hAnsi="宋体"/>
                <w:sz w:val="18"/>
                <w:szCs w:val="18"/>
                <w:highlight w:val="none"/>
              </w:rPr>
            </w:pPr>
          </w:p>
        </w:tc>
      </w:tr>
      <w:tr w14:paraId="10F8CB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389" w:type="pct"/>
            <w:noWrap w:val="0"/>
            <w:vAlign w:val="center"/>
          </w:tcPr>
          <w:p w14:paraId="5E1F5AD8">
            <w:pPr>
              <w:jc w:val="center"/>
              <w:rPr>
                <w:rFonts w:hint="eastAsia" w:ascii="宋体" w:hAnsi="宋体"/>
                <w:sz w:val="18"/>
                <w:szCs w:val="18"/>
                <w:highlight w:val="none"/>
              </w:rPr>
            </w:pPr>
            <w:r>
              <w:rPr>
                <w:rFonts w:ascii="宋体" w:hAnsi="宋体"/>
                <w:sz w:val="18"/>
                <w:szCs w:val="18"/>
                <w:highlight w:val="none"/>
              </w:rPr>
              <w:t>6</w:t>
            </w:r>
          </w:p>
        </w:tc>
        <w:tc>
          <w:tcPr>
            <w:tcW w:w="2669" w:type="pct"/>
            <w:noWrap w:val="0"/>
            <w:vAlign w:val="center"/>
          </w:tcPr>
          <w:p w14:paraId="24314F64">
            <w:pPr>
              <w:jc w:val="center"/>
              <w:rPr>
                <w:rFonts w:hint="default" w:ascii="宋体" w:hAnsi="宋体" w:eastAsia="宋体" w:cs="Times New Roman"/>
                <w:sz w:val="18"/>
                <w:szCs w:val="18"/>
                <w:highlight w:val="none"/>
                <w:lang w:val="en-US" w:eastAsia="zh-CN"/>
              </w:rPr>
            </w:pPr>
            <w:r>
              <w:rPr>
                <w:rFonts w:hint="eastAsia" w:ascii="宋体" w:hAnsi="宋体" w:eastAsia="宋体" w:cs="Times New Roman"/>
                <w:sz w:val="18"/>
                <w:szCs w:val="18"/>
                <w:highlight w:val="none"/>
                <w:lang w:val="en-US" w:eastAsia="zh-CN"/>
              </w:rPr>
              <w:t>响应人安全保密管理措施、制度</w:t>
            </w:r>
          </w:p>
          <w:p w14:paraId="5DA3CF10">
            <w:pPr>
              <w:jc w:val="center"/>
              <w:rPr>
                <w:rFonts w:hint="default" w:ascii="宋体" w:hAnsi="宋体"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Mesures et systèmes de sécurité et de confidentialité du soumissionnaire</w:t>
            </w:r>
          </w:p>
        </w:tc>
        <w:tc>
          <w:tcPr>
            <w:tcW w:w="1941" w:type="pct"/>
            <w:noWrap w:val="0"/>
            <w:vAlign w:val="center"/>
          </w:tcPr>
          <w:p w14:paraId="231E0594">
            <w:pPr>
              <w:jc w:val="center"/>
              <w:rPr>
                <w:rFonts w:hint="eastAsia" w:ascii="宋体" w:hAnsi="宋体"/>
                <w:sz w:val="18"/>
                <w:szCs w:val="18"/>
                <w:highlight w:val="none"/>
              </w:rPr>
            </w:pPr>
          </w:p>
        </w:tc>
      </w:tr>
    </w:tbl>
    <w:p w14:paraId="5248C71D">
      <w:pPr>
        <w:adjustRightInd w:val="0"/>
        <w:snapToGrid w:val="0"/>
        <w:spacing w:line="360" w:lineRule="auto"/>
        <w:ind w:firstLine="420" w:firstLineChars="200"/>
        <w:rPr>
          <w:rFonts w:hint="default" w:ascii="宋体" w:hAnsi="宋体" w:eastAsia="宋体" w:cs="Times New Roman"/>
          <w:szCs w:val="21"/>
          <w:highlight w:val="none"/>
          <w:lang w:val="en-US" w:eastAsia="zh-CN"/>
        </w:rPr>
      </w:pPr>
      <w:r>
        <w:rPr>
          <w:rFonts w:hint="eastAsia" w:ascii="宋体" w:hAnsi="宋体"/>
          <w:szCs w:val="21"/>
          <w:highlight w:val="none"/>
        </w:rPr>
        <w:t>【编制说明：请响应人按第一章3.6评审表3.6.9（1）有关标准逐条响应，并按要求提供证明材料。响应人还应围绕7×24小时服务、航线方案优化、退改签、应急保障、票款垫付及月度结算、信息安全与保密等内容编制服务大纲。】</w:t>
      </w:r>
    </w:p>
    <w:p w14:paraId="08321C73">
      <w:pPr>
        <w:adjustRightInd w:val="0"/>
        <w:snapToGrid w:val="0"/>
        <w:spacing w:line="360" w:lineRule="auto"/>
        <w:ind w:firstLine="420" w:firstLineChars="200"/>
        <w:rPr>
          <w:rFonts w:hint="default" w:ascii="宋体" w:hAnsi="宋体" w:eastAsia="宋体" w:cs="Times New Roman"/>
          <w:szCs w:val="21"/>
          <w:highlight w:val="none"/>
          <w:lang w:val="en-US" w:eastAsia="zh-CN"/>
        </w:rPr>
      </w:pPr>
      <w:r>
        <w:rPr>
          <w:rFonts w:hint="eastAsia" w:ascii="Times New Roman" w:hAnsi="Times New Roman" w:cs="Times New Roman"/>
          <w:szCs w:val="21"/>
          <w:highlight w:val="none"/>
        </w:rPr>
        <w:t>[Instructions de rédaction : le soumissionnaire doit répondre point par point aux critères prévus au chapitre I, tableau d’évaluation 3.6, article 3.6.9(1), et fournir les justificatifs requis. Il doit également élaborer un plan de prestation de services portant notamment sur le service 24 h/24 et 7 j/7, l’optimisation des itinéraires, les modifications et remboursements, l’assistance d’urgence, l’avance des frais de billetterie et le règlement mensuel, ainsi que la sécurité de l’information et la confidentialité.]</w:t>
      </w:r>
    </w:p>
    <w:p w14:paraId="1ED7A54C">
      <w:pPr>
        <w:adjustRightInd w:val="0"/>
        <w:snapToGrid w:val="0"/>
        <w:spacing w:line="360" w:lineRule="auto"/>
        <w:ind w:firstLine="420" w:firstLineChars="200"/>
        <w:rPr>
          <w:rFonts w:hint="default" w:ascii="宋体" w:hAnsi="宋体" w:eastAsia="宋体" w:cs="Times New Roman"/>
          <w:szCs w:val="21"/>
          <w:highlight w:val="none"/>
          <w:lang w:val="en-US" w:eastAsia="zh-CN"/>
        </w:rPr>
      </w:pPr>
    </w:p>
    <w:p w14:paraId="61C3DBCA">
      <w:pPr>
        <w:pStyle w:val="44"/>
        <w:numPr>
          <w:ilvl w:val="0"/>
          <w:numId w:val="0"/>
        </w:numPr>
        <w:rPr>
          <w:rFonts w:hint="default"/>
          <w:highlight w:val="none"/>
          <w:lang w:val="en-US" w:eastAsia="zh-CN"/>
        </w:rPr>
      </w:pPr>
    </w:p>
    <w:p w14:paraId="7EB0AFBA">
      <w:pPr>
        <w:pStyle w:val="44"/>
        <w:numPr>
          <w:ilvl w:val="0"/>
          <w:numId w:val="0"/>
        </w:numPr>
        <w:rPr>
          <w:rFonts w:hint="default"/>
          <w:highlight w:val="none"/>
          <w:lang w:val="en-US" w:eastAsia="zh-CN"/>
        </w:rPr>
      </w:pPr>
    </w:p>
    <w:p w14:paraId="3B35D557">
      <w:pPr>
        <w:pStyle w:val="3"/>
        <w:spacing w:before="0" w:after="0" w:line="360" w:lineRule="auto"/>
        <w:jc w:val="left"/>
        <w:rPr>
          <w:rFonts w:hint="eastAsia" w:ascii="宋体" w:hAnsi="宋体" w:eastAsia="宋体"/>
          <w:sz w:val="21"/>
          <w:szCs w:val="21"/>
          <w:highlight w:val="none"/>
        </w:rPr>
      </w:pPr>
      <w:bookmarkStart w:id="107" w:name="_Toc6702516"/>
      <w:bookmarkStart w:id="108" w:name="_Toc5714797"/>
      <w:bookmarkStart w:id="109" w:name="_Toc132633104"/>
      <w:bookmarkStart w:id="110" w:name="_Toc184635145"/>
      <w:bookmarkStart w:id="111" w:name="_Toc129941727"/>
      <w:bookmarkStart w:id="112" w:name="_Toc6701359"/>
      <w:bookmarkStart w:id="113" w:name="_Toc132269044"/>
      <w:bookmarkStart w:id="114" w:name="_Toc14193"/>
      <w:bookmarkStart w:id="115" w:name="_Toc143634652"/>
      <w:r>
        <w:rPr>
          <w:rFonts w:hint="eastAsia" w:ascii="宋体" w:hAnsi="宋体" w:eastAsia="宋体"/>
          <w:sz w:val="21"/>
          <w:szCs w:val="21"/>
          <w:highlight w:val="none"/>
        </w:rPr>
        <w:br w:type="page"/>
      </w:r>
      <w:r>
        <w:rPr>
          <w:rFonts w:hint="eastAsia" w:ascii="宋体" w:hAnsi="宋体" w:eastAsia="宋体"/>
          <w:sz w:val="21"/>
          <w:szCs w:val="21"/>
          <w:highlight w:val="none"/>
        </w:rPr>
        <w:t>附表一：</w:t>
      </w:r>
      <w:bookmarkEnd w:id="107"/>
      <w:bookmarkEnd w:id="108"/>
      <w:bookmarkEnd w:id="109"/>
      <w:bookmarkEnd w:id="110"/>
      <w:bookmarkEnd w:id="111"/>
      <w:bookmarkEnd w:id="112"/>
      <w:bookmarkEnd w:id="113"/>
      <w:bookmarkEnd w:id="114"/>
      <w:bookmarkEnd w:id="115"/>
      <w:r>
        <w:rPr>
          <w:rFonts w:hint="eastAsia" w:ascii="宋体" w:hAnsi="宋体" w:eastAsia="宋体"/>
          <w:sz w:val="21"/>
          <w:szCs w:val="21"/>
          <w:highlight w:val="none"/>
        </w:rPr>
        <w:t>服务团队</w:t>
      </w:r>
    </w:p>
    <w:p w14:paraId="307CD14E">
      <w:pPr>
        <w:spacing w:before="0" w:after="0" w:line="360" w:lineRule="auto"/>
        <w:jc w:val="left"/>
        <w:rPr>
          <w:rFonts w:hint="eastAsia" w:ascii="宋体" w:hAnsi="宋体" w:eastAsia="宋体"/>
          <w:sz w:val="21"/>
          <w:szCs w:val="21"/>
          <w:highlight w:val="none"/>
        </w:rPr>
      </w:pPr>
      <w:r>
        <w:rPr>
          <w:rFonts w:hint="eastAsia" w:ascii="Times New Roman" w:hAnsi="Times New Roman" w:eastAsia="宋体" w:cs="Times New Roman"/>
          <w:sz w:val="21"/>
          <w:szCs w:val="21"/>
          <w:highlight w:val="none"/>
        </w:rPr>
        <w:t>Annexe 1 : Équipe de service</w:t>
      </w:r>
    </w:p>
    <w:p w14:paraId="4C8F0B1A">
      <w:pPr>
        <w:keepNext/>
        <w:keepLines/>
        <w:spacing w:line="360" w:lineRule="auto"/>
        <w:outlineLvl w:val="2"/>
        <w:rPr>
          <w:rFonts w:hint="eastAsia" w:ascii="宋体" w:hAnsi="宋体"/>
          <w:b/>
          <w:szCs w:val="21"/>
          <w:highlight w:val="none"/>
        </w:rPr>
      </w:pPr>
      <w:bookmarkStart w:id="116" w:name="_Toc6701360"/>
      <w:bookmarkStart w:id="117" w:name="_Toc5714798"/>
      <w:bookmarkStart w:id="118" w:name="_Toc129941728"/>
      <w:bookmarkStart w:id="119" w:name="_Toc6702517"/>
      <w:r>
        <w:rPr>
          <w:rFonts w:ascii="宋体" w:hAnsi="宋体"/>
          <w:b/>
          <w:szCs w:val="21"/>
          <w:highlight w:val="none"/>
        </w:rPr>
        <w:t>（一）</w:t>
      </w:r>
      <w:r>
        <w:rPr>
          <w:rFonts w:hint="eastAsia" w:ascii="宋体" w:hAnsi="宋体"/>
          <w:b/>
          <w:szCs w:val="21"/>
          <w:highlight w:val="none"/>
        </w:rPr>
        <w:t>服务团队</w:t>
      </w:r>
      <w:r>
        <w:rPr>
          <w:rFonts w:ascii="宋体" w:hAnsi="宋体"/>
          <w:b/>
          <w:szCs w:val="21"/>
          <w:highlight w:val="none"/>
        </w:rPr>
        <w:t>组成表</w:t>
      </w:r>
      <w:bookmarkEnd w:id="116"/>
      <w:bookmarkEnd w:id="117"/>
      <w:bookmarkEnd w:id="118"/>
      <w:bookmarkEnd w:id="119"/>
    </w:p>
    <w:p w14:paraId="5B91CCD1">
      <w:pPr>
        <w:keepLines/>
        <w:spacing w:line="360" w:lineRule="auto"/>
        <w:outlineLvl w:val="2"/>
        <w:rPr>
          <w:rFonts w:hint="eastAsia" w:ascii="宋体" w:hAnsi="宋体"/>
          <w:b/>
          <w:szCs w:val="21"/>
          <w:highlight w:val="none"/>
        </w:rPr>
      </w:pPr>
      <w:r>
        <w:rPr>
          <w:rFonts w:ascii="Times New Roman" w:hAnsi="Times New Roman" w:cs="Times New Roman"/>
          <w:b/>
          <w:szCs w:val="21"/>
          <w:highlight w:val="none"/>
        </w:rPr>
        <w:t>(I) Composition de l’équipe de service</w:t>
      </w:r>
    </w:p>
    <w:tbl>
      <w:tblPr>
        <w:tblStyle w:val="33"/>
        <w:tblW w:w="4833" w:type="pct"/>
        <w:jc w:val="center"/>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Layout w:type="autofit"/>
        <w:tblCellMar>
          <w:top w:w="0" w:type="dxa"/>
          <w:left w:w="108" w:type="dxa"/>
          <w:bottom w:w="0" w:type="dxa"/>
          <w:right w:w="108" w:type="dxa"/>
        </w:tblCellMar>
      </w:tblPr>
      <w:tblGrid>
        <w:gridCol w:w="510"/>
        <w:gridCol w:w="860"/>
        <w:gridCol w:w="566"/>
        <w:gridCol w:w="1177"/>
        <w:gridCol w:w="868"/>
        <w:gridCol w:w="726"/>
        <w:gridCol w:w="868"/>
        <w:gridCol w:w="915"/>
        <w:gridCol w:w="1502"/>
        <w:gridCol w:w="1182"/>
      </w:tblGrid>
      <w:tr w14:paraId="3083200D">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jc w:val="center"/>
        </w:trPr>
        <w:tc>
          <w:tcPr>
            <w:tcW w:w="237" w:type="pct"/>
            <w:vMerge w:val="restart"/>
            <w:noWrap w:val="0"/>
            <w:vAlign w:val="center"/>
          </w:tcPr>
          <w:p w14:paraId="63184825">
            <w:pPr>
              <w:adjustRightInd w:val="0"/>
              <w:snapToGrid w:val="0"/>
              <w:jc w:val="center"/>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序号</w:t>
            </w:r>
          </w:p>
          <w:p w14:paraId="75B911B2">
            <w:pPr>
              <w:adjustRightInd w:val="0"/>
              <w:snapToGrid w:val="0"/>
              <w:jc w:val="center"/>
              <w:rPr>
                <w:rFonts w:hint="eastAsia" w:ascii="宋体" w:hAnsi="宋体" w:eastAsia="宋体" w:cs="宋体"/>
                <w:b/>
                <w:color w:val="000000"/>
                <w:sz w:val="18"/>
                <w:szCs w:val="18"/>
                <w:highlight w:val="none"/>
              </w:rPr>
            </w:pPr>
            <w:r>
              <w:rPr>
                <w:rFonts w:hint="eastAsia" w:ascii="Times New Roman" w:hAnsi="Times New Roman" w:eastAsia="宋体" w:cs="Times New Roman"/>
                <w:b/>
                <w:color w:val="000000"/>
                <w:sz w:val="18"/>
                <w:szCs w:val="18"/>
                <w:highlight w:val="none"/>
              </w:rPr>
              <w:t>N°</w:t>
            </w:r>
          </w:p>
        </w:tc>
        <w:tc>
          <w:tcPr>
            <w:tcW w:w="461" w:type="pct"/>
            <w:vMerge w:val="restart"/>
            <w:noWrap w:val="0"/>
            <w:vAlign w:val="center"/>
          </w:tcPr>
          <w:p w14:paraId="4B0E9EC3">
            <w:pPr>
              <w:adjustRightInd w:val="0"/>
              <w:snapToGrid w:val="0"/>
              <w:jc w:val="center"/>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本项目任职</w:t>
            </w:r>
          </w:p>
          <w:p w14:paraId="0B59FF0A">
            <w:pPr>
              <w:adjustRightInd w:val="0"/>
              <w:snapToGrid w:val="0"/>
              <w:jc w:val="center"/>
              <w:rPr>
                <w:rFonts w:hint="eastAsia" w:ascii="宋体" w:hAnsi="宋体" w:eastAsia="宋体" w:cs="宋体"/>
                <w:b/>
                <w:color w:val="000000"/>
                <w:sz w:val="18"/>
                <w:szCs w:val="18"/>
                <w:highlight w:val="none"/>
              </w:rPr>
            </w:pPr>
            <w:r>
              <w:rPr>
                <w:rFonts w:hint="eastAsia" w:ascii="Times New Roman" w:hAnsi="Times New Roman" w:eastAsia="宋体" w:cs="Times New Roman"/>
                <w:b/>
                <w:color w:val="000000"/>
                <w:sz w:val="18"/>
                <w:szCs w:val="18"/>
                <w:highlight w:val="none"/>
              </w:rPr>
              <w:t>Fonction dans le présent projet</w:t>
            </w:r>
          </w:p>
        </w:tc>
        <w:tc>
          <w:tcPr>
            <w:tcW w:w="439" w:type="pct"/>
            <w:vMerge w:val="restart"/>
            <w:noWrap w:val="0"/>
            <w:vAlign w:val="center"/>
          </w:tcPr>
          <w:p w14:paraId="587CC95D">
            <w:pPr>
              <w:adjustRightInd w:val="0"/>
              <w:snapToGrid w:val="0"/>
              <w:jc w:val="center"/>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姓名</w:t>
            </w:r>
          </w:p>
          <w:p w14:paraId="02D3A10B">
            <w:pPr>
              <w:adjustRightInd w:val="0"/>
              <w:snapToGrid w:val="0"/>
              <w:jc w:val="center"/>
              <w:rPr>
                <w:rFonts w:hint="eastAsia" w:ascii="宋体" w:hAnsi="宋体" w:eastAsia="宋体" w:cs="宋体"/>
                <w:b/>
                <w:color w:val="000000"/>
                <w:sz w:val="18"/>
                <w:szCs w:val="18"/>
                <w:highlight w:val="none"/>
              </w:rPr>
            </w:pPr>
            <w:r>
              <w:rPr>
                <w:rFonts w:hint="eastAsia" w:ascii="Times New Roman" w:hAnsi="Times New Roman" w:eastAsia="宋体" w:cs="Times New Roman"/>
                <w:b/>
                <w:color w:val="000000"/>
                <w:sz w:val="18"/>
                <w:szCs w:val="18"/>
                <w:highlight w:val="none"/>
              </w:rPr>
              <w:t>Nom</w:t>
            </w:r>
          </w:p>
        </w:tc>
        <w:tc>
          <w:tcPr>
            <w:tcW w:w="612" w:type="pct"/>
            <w:vMerge w:val="restart"/>
            <w:noWrap w:val="0"/>
            <w:vAlign w:val="center"/>
          </w:tcPr>
          <w:p w14:paraId="391C52E2">
            <w:pPr>
              <w:adjustRightInd w:val="0"/>
              <w:snapToGrid w:val="0"/>
              <w:jc w:val="center"/>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职称</w:t>
            </w:r>
          </w:p>
          <w:p w14:paraId="0D5FE508">
            <w:pPr>
              <w:adjustRightInd w:val="0"/>
              <w:snapToGrid w:val="0"/>
              <w:jc w:val="center"/>
              <w:rPr>
                <w:rFonts w:hint="eastAsia" w:ascii="宋体" w:hAnsi="宋体" w:eastAsia="宋体" w:cs="宋体"/>
                <w:b/>
                <w:color w:val="000000"/>
                <w:sz w:val="18"/>
                <w:szCs w:val="18"/>
                <w:highlight w:val="none"/>
              </w:rPr>
            </w:pPr>
            <w:r>
              <w:rPr>
                <w:rFonts w:hint="eastAsia" w:ascii="Times New Roman" w:hAnsi="Times New Roman" w:eastAsia="宋体" w:cs="Times New Roman"/>
                <w:b/>
                <w:color w:val="000000"/>
                <w:sz w:val="18"/>
                <w:szCs w:val="18"/>
                <w:highlight w:val="none"/>
              </w:rPr>
              <w:t>Titre professionnel</w:t>
            </w:r>
          </w:p>
        </w:tc>
        <w:tc>
          <w:tcPr>
            <w:tcW w:w="2879" w:type="pct"/>
            <w:gridSpan w:val="5"/>
            <w:noWrap w:val="0"/>
            <w:vAlign w:val="center"/>
          </w:tcPr>
          <w:p w14:paraId="1A194E1E">
            <w:pPr>
              <w:adjustRightInd w:val="0"/>
              <w:snapToGrid w:val="0"/>
              <w:jc w:val="center"/>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执业或职业资格证明</w:t>
            </w:r>
          </w:p>
          <w:p w14:paraId="4050706C">
            <w:pPr>
              <w:adjustRightInd w:val="0"/>
              <w:snapToGrid w:val="0"/>
              <w:jc w:val="center"/>
              <w:rPr>
                <w:rFonts w:hint="eastAsia" w:ascii="宋体" w:hAnsi="宋体" w:eastAsia="宋体" w:cs="宋体"/>
                <w:b/>
                <w:color w:val="000000"/>
                <w:sz w:val="18"/>
                <w:szCs w:val="18"/>
                <w:highlight w:val="none"/>
              </w:rPr>
            </w:pPr>
            <w:r>
              <w:rPr>
                <w:rFonts w:hint="eastAsia" w:ascii="Times New Roman" w:hAnsi="Times New Roman" w:eastAsia="宋体" w:cs="Times New Roman"/>
                <w:b/>
                <w:color w:val="000000"/>
                <w:sz w:val="18"/>
                <w:szCs w:val="18"/>
                <w:highlight w:val="none"/>
              </w:rPr>
              <w:t>Certificat d’exercice ou de qualification professionnelle</w:t>
            </w:r>
          </w:p>
        </w:tc>
        <w:tc>
          <w:tcPr>
            <w:tcW w:w="370" w:type="pct"/>
            <w:vMerge w:val="restart"/>
            <w:noWrap w:val="0"/>
            <w:vAlign w:val="center"/>
          </w:tcPr>
          <w:p w14:paraId="77A03969">
            <w:pPr>
              <w:jc w:val="center"/>
              <w:rPr>
                <w:rFonts w:hint="eastAsia" w:ascii="宋体" w:hAnsi="宋体"/>
                <w:b/>
                <w:sz w:val="18"/>
                <w:szCs w:val="18"/>
                <w:highlight w:val="none"/>
              </w:rPr>
            </w:pPr>
            <w:r>
              <w:rPr>
                <w:rFonts w:ascii="宋体" w:hAnsi="宋体"/>
                <w:b/>
                <w:sz w:val="18"/>
                <w:szCs w:val="18"/>
                <w:highlight w:val="none"/>
              </w:rPr>
              <w:t>备注</w:t>
            </w:r>
          </w:p>
          <w:p w14:paraId="329F0EC5">
            <w:pPr>
              <w:jc w:val="center"/>
              <w:rPr>
                <w:rFonts w:hint="eastAsia" w:ascii="宋体" w:hAnsi="宋体"/>
                <w:b/>
                <w:sz w:val="18"/>
                <w:szCs w:val="18"/>
                <w:highlight w:val="none"/>
              </w:rPr>
            </w:pPr>
            <w:r>
              <w:rPr>
                <w:rFonts w:ascii="Times New Roman" w:hAnsi="Times New Roman" w:cs="Times New Roman"/>
                <w:b/>
                <w:sz w:val="18"/>
                <w:szCs w:val="18"/>
                <w:highlight w:val="none"/>
              </w:rPr>
              <w:t>Observations</w:t>
            </w:r>
          </w:p>
        </w:tc>
      </w:tr>
      <w:tr w14:paraId="787CE27C">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jc w:val="center"/>
        </w:trPr>
        <w:tc>
          <w:tcPr>
            <w:tcW w:w="237" w:type="pct"/>
            <w:vMerge w:val="continue"/>
            <w:noWrap w:val="0"/>
            <w:vAlign w:val="center"/>
          </w:tcPr>
          <w:p w14:paraId="552E3F05">
            <w:pPr>
              <w:adjustRightInd w:val="0"/>
              <w:snapToGrid w:val="0"/>
              <w:jc w:val="center"/>
              <w:rPr>
                <w:rFonts w:hint="eastAsia" w:ascii="宋体" w:hAnsi="宋体" w:eastAsia="宋体" w:cs="宋体"/>
                <w:b/>
                <w:color w:val="000000"/>
                <w:sz w:val="18"/>
                <w:szCs w:val="18"/>
                <w:highlight w:val="none"/>
              </w:rPr>
            </w:pPr>
          </w:p>
        </w:tc>
        <w:tc>
          <w:tcPr>
            <w:tcW w:w="461" w:type="pct"/>
            <w:vMerge w:val="continue"/>
            <w:noWrap w:val="0"/>
            <w:vAlign w:val="center"/>
          </w:tcPr>
          <w:p w14:paraId="60F52CFA">
            <w:pPr>
              <w:adjustRightInd w:val="0"/>
              <w:snapToGrid w:val="0"/>
              <w:jc w:val="center"/>
              <w:rPr>
                <w:rFonts w:hint="eastAsia" w:ascii="宋体" w:hAnsi="宋体" w:eastAsia="宋体" w:cs="宋体"/>
                <w:b/>
                <w:color w:val="000000"/>
                <w:sz w:val="18"/>
                <w:szCs w:val="18"/>
                <w:highlight w:val="none"/>
              </w:rPr>
            </w:pPr>
          </w:p>
        </w:tc>
        <w:tc>
          <w:tcPr>
            <w:tcW w:w="439" w:type="pct"/>
            <w:vMerge w:val="continue"/>
            <w:noWrap w:val="0"/>
            <w:vAlign w:val="center"/>
          </w:tcPr>
          <w:p w14:paraId="70C592CB">
            <w:pPr>
              <w:adjustRightInd w:val="0"/>
              <w:snapToGrid w:val="0"/>
              <w:jc w:val="center"/>
              <w:rPr>
                <w:rFonts w:hint="eastAsia" w:ascii="宋体" w:hAnsi="宋体" w:eastAsia="宋体" w:cs="宋体"/>
                <w:b/>
                <w:color w:val="000000"/>
                <w:sz w:val="18"/>
                <w:szCs w:val="18"/>
                <w:highlight w:val="none"/>
              </w:rPr>
            </w:pPr>
          </w:p>
        </w:tc>
        <w:tc>
          <w:tcPr>
            <w:tcW w:w="612" w:type="pct"/>
            <w:vMerge w:val="continue"/>
            <w:noWrap w:val="0"/>
            <w:vAlign w:val="center"/>
          </w:tcPr>
          <w:p w14:paraId="337F85A8">
            <w:pPr>
              <w:adjustRightInd w:val="0"/>
              <w:snapToGrid w:val="0"/>
              <w:jc w:val="center"/>
              <w:rPr>
                <w:rFonts w:hint="eastAsia" w:ascii="宋体" w:hAnsi="宋体" w:eastAsia="宋体" w:cs="宋体"/>
                <w:b/>
                <w:color w:val="000000"/>
                <w:sz w:val="18"/>
                <w:szCs w:val="18"/>
                <w:highlight w:val="none"/>
              </w:rPr>
            </w:pPr>
          </w:p>
        </w:tc>
        <w:tc>
          <w:tcPr>
            <w:tcW w:w="629" w:type="pct"/>
            <w:noWrap w:val="0"/>
            <w:vAlign w:val="center"/>
          </w:tcPr>
          <w:p w14:paraId="1E9FD1CD">
            <w:pPr>
              <w:adjustRightInd w:val="0"/>
              <w:snapToGrid w:val="0"/>
              <w:jc w:val="center"/>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证书名称</w:t>
            </w:r>
          </w:p>
          <w:p w14:paraId="14266EE2">
            <w:pPr>
              <w:adjustRightInd w:val="0"/>
              <w:snapToGrid w:val="0"/>
              <w:jc w:val="center"/>
              <w:rPr>
                <w:rFonts w:hint="eastAsia" w:ascii="宋体" w:hAnsi="宋体" w:eastAsia="宋体" w:cs="宋体"/>
                <w:b/>
                <w:color w:val="000000"/>
                <w:sz w:val="18"/>
                <w:szCs w:val="18"/>
                <w:highlight w:val="none"/>
              </w:rPr>
            </w:pPr>
            <w:r>
              <w:rPr>
                <w:rFonts w:hint="eastAsia" w:ascii="Times New Roman" w:hAnsi="Times New Roman" w:eastAsia="宋体" w:cs="Times New Roman"/>
                <w:b/>
                <w:color w:val="000000"/>
                <w:sz w:val="18"/>
                <w:szCs w:val="18"/>
                <w:highlight w:val="none"/>
              </w:rPr>
              <w:t>Nom du certificat</w:t>
            </w:r>
          </w:p>
        </w:tc>
        <w:tc>
          <w:tcPr>
            <w:tcW w:w="470" w:type="pct"/>
            <w:noWrap w:val="0"/>
            <w:vAlign w:val="center"/>
          </w:tcPr>
          <w:p w14:paraId="4832D16F">
            <w:pPr>
              <w:adjustRightInd w:val="0"/>
              <w:snapToGrid w:val="0"/>
              <w:jc w:val="center"/>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级别</w:t>
            </w:r>
          </w:p>
          <w:p w14:paraId="16C08797">
            <w:pPr>
              <w:adjustRightInd w:val="0"/>
              <w:snapToGrid w:val="0"/>
              <w:jc w:val="center"/>
              <w:rPr>
                <w:rFonts w:hint="eastAsia" w:ascii="宋体" w:hAnsi="宋体" w:eastAsia="宋体" w:cs="宋体"/>
                <w:b/>
                <w:color w:val="000000"/>
                <w:sz w:val="18"/>
                <w:szCs w:val="18"/>
                <w:highlight w:val="none"/>
              </w:rPr>
            </w:pPr>
            <w:r>
              <w:rPr>
                <w:rFonts w:hint="eastAsia" w:ascii="Times New Roman" w:hAnsi="Times New Roman" w:eastAsia="宋体" w:cs="Times New Roman"/>
                <w:b/>
                <w:color w:val="000000"/>
                <w:sz w:val="18"/>
                <w:szCs w:val="18"/>
                <w:highlight w:val="none"/>
              </w:rPr>
              <w:t>Niveau</w:t>
            </w:r>
          </w:p>
        </w:tc>
        <w:tc>
          <w:tcPr>
            <w:tcW w:w="430" w:type="pct"/>
            <w:noWrap w:val="0"/>
            <w:vAlign w:val="center"/>
          </w:tcPr>
          <w:p w14:paraId="67F5419C">
            <w:pPr>
              <w:adjustRightInd w:val="0"/>
              <w:snapToGrid w:val="0"/>
              <w:jc w:val="center"/>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证号</w:t>
            </w:r>
          </w:p>
          <w:p w14:paraId="03BE877F">
            <w:pPr>
              <w:adjustRightInd w:val="0"/>
              <w:snapToGrid w:val="0"/>
              <w:jc w:val="center"/>
              <w:rPr>
                <w:rFonts w:hint="eastAsia" w:ascii="宋体" w:hAnsi="宋体" w:eastAsia="宋体" w:cs="宋体"/>
                <w:b/>
                <w:color w:val="000000"/>
                <w:sz w:val="18"/>
                <w:szCs w:val="18"/>
                <w:highlight w:val="none"/>
              </w:rPr>
            </w:pPr>
            <w:r>
              <w:rPr>
                <w:rFonts w:hint="eastAsia" w:ascii="Times New Roman" w:hAnsi="Times New Roman" w:eastAsia="宋体" w:cs="Times New Roman"/>
                <w:b/>
                <w:color w:val="000000"/>
                <w:sz w:val="18"/>
                <w:szCs w:val="18"/>
                <w:highlight w:val="none"/>
              </w:rPr>
              <w:t>N° du certificat</w:t>
            </w:r>
          </w:p>
        </w:tc>
        <w:tc>
          <w:tcPr>
            <w:tcW w:w="653" w:type="pct"/>
            <w:noWrap w:val="0"/>
            <w:vAlign w:val="center"/>
          </w:tcPr>
          <w:p w14:paraId="5D8963AA">
            <w:pPr>
              <w:adjustRightInd w:val="0"/>
              <w:snapToGrid w:val="0"/>
              <w:jc w:val="center"/>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专业</w:t>
            </w:r>
          </w:p>
          <w:p w14:paraId="78BEC3C0">
            <w:pPr>
              <w:adjustRightInd w:val="0"/>
              <w:snapToGrid w:val="0"/>
              <w:jc w:val="center"/>
              <w:rPr>
                <w:rFonts w:hint="eastAsia" w:ascii="宋体" w:hAnsi="宋体" w:eastAsia="宋体" w:cs="宋体"/>
                <w:b/>
                <w:color w:val="000000"/>
                <w:sz w:val="18"/>
                <w:szCs w:val="18"/>
                <w:highlight w:val="none"/>
              </w:rPr>
            </w:pPr>
            <w:r>
              <w:rPr>
                <w:rFonts w:hint="eastAsia" w:ascii="Times New Roman" w:hAnsi="Times New Roman" w:eastAsia="宋体" w:cs="Times New Roman"/>
                <w:b/>
                <w:color w:val="000000"/>
                <w:sz w:val="18"/>
                <w:szCs w:val="18"/>
                <w:highlight w:val="none"/>
              </w:rPr>
              <w:t>Spécialité</w:t>
            </w:r>
          </w:p>
        </w:tc>
        <w:tc>
          <w:tcPr>
            <w:tcW w:w="695" w:type="pct"/>
            <w:noWrap w:val="0"/>
            <w:vAlign w:val="center"/>
          </w:tcPr>
          <w:p w14:paraId="64FE852D">
            <w:pPr>
              <w:adjustRightInd w:val="0"/>
              <w:snapToGrid w:val="0"/>
              <w:jc w:val="center"/>
              <w:rPr>
                <w:rFonts w:hint="eastAsia" w:ascii="宋体" w:hAnsi="宋体" w:eastAsia="宋体" w:cs="宋体"/>
                <w:b/>
                <w:color w:val="000000"/>
                <w:sz w:val="18"/>
                <w:szCs w:val="18"/>
                <w:highlight w:val="none"/>
              </w:rPr>
            </w:pPr>
            <w:r>
              <w:rPr>
                <w:rFonts w:hint="eastAsia" w:ascii="宋体" w:hAnsi="宋体" w:eastAsia="宋体" w:cs="宋体"/>
                <w:b/>
                <w:color w:val="000000"/>
                <w:sz w:val="18"/>
                <w:szCs w:val="18"/>
                <w:highlight w:val="none"/>
              </w:rPr>
              <w:t>社保/在岗证明</w:t>
            </w:r>
          </w:p>
          <w:p w14:paraId="6782D25F">
            <w:pPr>
              <w:adjustRightInd w:val="0"/>
              <w:snapToGrid w:val="0"/>
              <w:jc w:val="center"/>
              <w:rPr>
                <w:rFonts w:hint="eastAsia" w:ascii="宋体" w:hAnsi="宋体" w:eastAsia="宋体" w:cs="宋体"/>
                <w:b/>
                <w:color w:val="000000"/>
                <w:sz w:val="18"/>
                <w:szCs w:val="18"/>
                <w:highlight w:val="none"/>
              </w:rPr>
            </w:pPr>
            <w:r>
              <w:rPr>
                <w:rFonts w:hint="eastAsia" w:ascii="Times New Roman" w:hAnsi="Times New Roman" w:eastAsia="宋体" w:cs="Times New Roman"/>
                <w:b/>
                <w:color w:val="000000"/>
                <w:sz w:val="18"/>
                <w:szCs w:val="18"/>
                <w:highlight w:val="none"/>
              </w:rPr>
              <w:t>Justificatif de sécurité sociale/d’emploi en cours</w:t>
            </w:r>
          </w:p>
        </w:tc>
        <w:tc>
          <w:tcPr>
            <w:tcW w:w="370" w:type="pct"/>
            <w:vMerge w:val="continue"/>
            <w:noWrap w:val="0"/>
            <w:vAlign w:val="center"/>
          </w:tcPr>
          <w:p w14:paraId="5A8F31B2">
            <w:pPr>
              <w:jc w:val="center"/>
              <w:rPr>
                <w:rFonts w:hint="eastAsia" w:ascii="宋体" w:hAnsi="宋体"/>
                <w:sz w:val="18"/>
                <w:szCs w:val="18"/>
                <w:highlight w:val="none"/>
              </w:rPr>
            </w:pPr>
          </w:p>
        </w:tc>
      </w:tr>
      <w:tr w14:paraId="1437E936">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jc w:val="center"/>
        </w:trPr>
        <w:tc>
          <w:tcPr>
            <w:tcW w:w="237" w:type="pct"/>
            <w:noWrap w:val="0"/>
            <w:vAlign w:val="center"/>
          </w:tcPr>
          <w:p w14:paraId="0A049A70">
            <w:pPr>
              <w:jc w:val="center"/>
              <w:rPr>
                <w:rFonts w:hint="eastAsia" w:ascii="宋体" w:hAnsi="宋体"/>
                <w:sz w:val="18"/>
                <w:szCs w:val="18"/>
                <w:highlight w:val="none"/>
              </w:rPr>
            </w:pPr>
          </w:p>
        </w:tc>
        <w:tc>
          <w:tcPr>
            <w:tcW w:w="461" w:type="pct"/>
            <w:noWrap w:val="0"/>
            <w:vAlign w:val="center"/>
          </w:tcPr>
          <w:p w14:paraId="09526391">
            <w:pPr>
              <w:jc w:val="center"/>
              <w:rPr>
                <w:rFonts w:hint="eastAsia" w:ascii="宋体" w:hAnsi="宋体"/>
                <w:sz w:val="18"/>
                <w:szCs w:val="18"/>
                <w:highlight w:val="none"/>
              </w:rPr>
            </w:pPr>
          </w:p>
        </w:tc>
        <w:tc>
          <w:tcPr>
            <w:tcW w:w="439" w:type="pct"/>
            <w:noWrap w:val="0"/>
            <w:vAlign w:val="center"/>
          </w:tcPr>
          <w:p w14:paraId="67BFC9A0">
            <w:pPr>
              <w:jc w:val="center"/>
              <w:rPr>
                <w:rFonts w:hint="eastAsia" w:ascii="宋体" w:hAnsi="宋体"/>
                <w:sz w:val="18"/>
                <w:szCs w:val="18"/>
                <w:highlight w:val="none"/>
              </w:rPr>
            </w:pPr>
          </w:p>
        </w:tc>
        <w:tc>
          <w:tcPr>
            <w:tcW w:w="612" w:type="pct"/>
            <w:noWrap w:val="0"/>
            <w:vAlign w:val="center"/>
          </w:tcPr>
          <w:p w14:paraId="197985CE">
            <w:pPr>
              <w:jc w:val="center"/>
              <w:rPr>
                <w:rFonts w:hint="eastAsia" w:ascii="宋体" w:hAnsi="宋体"/>
                <w:sz w:val="18"/>
                <w:szCs w:val="18"/>
                <w:highlight w:val="none"/>
              </w:rPr>
            </w:pPr>
          </w:p>
        </w:tc>
        <w:tc>
          <w:tcPr>
            <w:tcW w:w="629" w:type="pct"/>
            <w:noWrap w:val="0"/>
            <w:vAlign w:val="center"/>
          </w:tcPr>
          <w:p w14:paraId="46A1F0E8">
            <w:pPr>
              <w:jc w:val="center"/>
              <w:rPr>
                <w:rFonts w:hint="eastAsia" w:ascii="宋体" w:hAnsi="宋体"/>
                <w:sz w:val="18"/>
                <w:szCs w:val="18"/>
                <w:highlight w:val="none"/>
              </w:rPr>
            </w:pPr>
          </w:p>
        </w:tc>
        <w:tc>
          <w:tcPr>
            <w:tcW w:w="470" w:type="pct"/>
            <w:noWrap w:val="0"/>
            <w:vAlign w:val="center"/>
          </w:tcPr>
          <w:p w14:paraId="1DC81287">
            <w:pPr>
              <w:jc w:val="center"/>
              <w:rPr>
                <w:rFonts w:hint="eastAsia" w:ascii="宋体" w:hAnsi="宋体"/>
                <w:sz w:val="18"/>
                <w:szCs w:val="18"/>
                <w:highlight w:val="none"/>
              </w:rPr>
            </w:pPr>
          </w:p>
        </w:tc>
        <w:tc>
          <w:tcPr>
            <w:tcW w:w="430" w:type="pct"/>
            <w:noWrap w:val="0"/>
            <w:vAlign w:val="center"/>
          </w:tcPr>
          <w:p w14:paraId="13EC8271">
            <w:pPr>
              <w:jc w:val="center"/>
              <w:rPr>
                <w:rFonts w:hint="eastAsia" w:ascii="宋体" w:hAnsi="宋体"/>
                <w:sz w:val="18"/>
                <w:szCs w:val="18"/>
                <w:highlight w:val="none"/>
              </w:rPr>
            </w:pPr>
          </w:p>
        </w:tc>
        <w:tc>
          <w:tcPr>
            <w:tcW w:w="653" w:type="pct"/>
            <w:noWrap w:val="0"/>
            <w:vAlign w:val="center"/>
          </w:tcPr>
          <w:p w14:paraId="0DD254F4">
            <w:pPr>
              <w:jc w:val="center"/>
              <w:rPr>
                <w:rFonts w:hint="eastAsia" w:ascii="宋体" w:hAnsi="宋体"/>
                <w:sz w:val="18"/>
                <w:szCs w:val="18"/>
                <w:highlight w:val="none"/>
              </w:rPr>
            </w:pPr>
          </w:p>
        </w:tc>
        <w:tc>
          <w:tcPr>
            <w:tcW w:w="695" w:type="pct"/>
            <w:noWrap w:val="0"/>
            <w:vAlign w:val="center"/>
          </w:tcPr>
          <w:p w14:paraId="0CF34C85">
            <w:pPr>
              <w:ind w:firstLine="360" w:firstLineChars="200"/>
              <w:jc w:val="center"/>
              <w:rPr>
                <w:rFonts w:hint="eastAsia" w:ascii="宋体" w:hAnsi="宋体"/>
                <w:sz w:val="18"/>
                <w:szCs w:val="18"/>
                <w:highlight w:val="none"/>
              </w:rPr>
            </w:pPr>
          </w:p>
        </w:tc>
        <w:tc>
          <w:tcPr>
            <w:tcW w:w="370" w:type="pct"/>
            <w:noWrap w:val="0"/>
            <w:vAlign w:val="center"/>
          </w:tcPr>
          <w:p w14:paraId="49686022">
            <w:pPr>
              <w:jc w:val="center"/>
              <w:rPr>
                <w:rFonts w:hint="eastAsia" w:ascii="宋体" w:hAnsi="宋体"/>
                <w:sz w:val="18"/>
                <w:szCs w:val="18"/>
                <w:highlight w:val="none"/>
              </w:rPr>
            </w:pPr>
          </w:p>
        </w:tc>
      </w:tr>
      <w:tr w14:paraId="3017E3B8">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jc w:val="center"/>
        </w:trPr>
        <w:tc>
          <w:tcPr>
            <w:tcW w:w="237" w:type="pct"/>
            <w:noWrap w:val="0"/>
            <w:vAlign w:val="center"/>
          </w:tcPr>
          <w:p w14:paraId="143BFDFB">
            <w:pPr>
              <w:jc w:val="center"/>
              <w:rPr>
                <w:rFonts w:hint="eastAsia" w:ascii="宋体" w:hAnsi="宋体"/>
                <w:sz w:val="18"/>
                <w:szCs w:val="18"/>
                <w:highlight w:val="none"/>
              </w:rPr>
            </w:pPr>
          </w:p>
        </w:tc>
        <w:tc>
          <w:tcPr>
            <w:tcW w:w="461" w:type="pct"/>
            <w:noWrap w:val="0"/>
            <w:vAlign w:val="center"/>
          </w:tcPr>
          <w:p w14:paraId="4E3A18A4">
            <w:pPr>
              <w:jc w:val="center"/>
              <w:rPr>
                <w:rFonts w:hint="eastAsia" w:ascii="宋体" w:hAnsi="宋体"/>
                <w:sz w:val="18"/>
                <w:szCs w:val="18"/>
                <w:highlight w:val="none"/>
              </w:rPr>
            </w:pPr>
          </w:p>
        </w:tc>
        <w:tc>
          <w:tcPr>
            <w:tcW w:w="439" w:type="pct"/>
            <w:noWrap w:val="0"/>
            <w:vAlign w:val="center"/>
          </w:tcPr>
          <w:p w14:paraId="2599D101">
            <w:pPr>
              <w:jc w:val="center"/>
              <w:rPr>
                <w:rFonts w:hint="eastAsia" w:ascii="宋体" w:hAnsi="宋体"/>
                <w:sz w:val="18"/>
                <w:szCs w:val="18"/>
                <w:highlight w:val="none"/>
              </w:rPr>
            </w:pPr>
          </w:p>
        </w:tc>
        <w:tc>
          <w:tcPr>
            <w:tcW w:w="612" w:type="pct"/>
            <w:noWrap w:val="0"/>
            <w:vAlign w:val="center"/>
          </w:tcPr>
          <w:p w14:paraId="5974E2BD">
            <w:pPr>
              <w:jc w:val="center"/>
              <w:rPr>
                <w:rFonts w:hint="eastAsia" w:ascii="宋体" w:hAnsi="宋体"/>
                <w:sz w:val="18"/>
                <w:szCs w:val="18"/>
                <w:highlight w:val="none"/>
              </w:rPr>
            </w:pPr>
          </w:p>
        </w:tc>
        <w:tc>
          <w:tcPr>
            <w:tcW w:w="629" w:type="pct"/>
            <w:noWrap w:val="0"/>
            <w:vAlign w:val="center"/>
          </w:tcPr>
          <w:p w14:paraId="3BC3524C">
            <w:pPr>
              <w:jc w:val="center"/>
              <w:rPr>
                <w:rFonts w:hint="eastAsia" w:ascii="宋体" w:hAnsi="宋体"/>
                <w:sz w:val="18"/>
                <w:szCs w:val="18"/>
                <w:highlight w:val="none"/>
              </w:rPr>
            </w:pPr>
          </w:p>
        </w:tc>
        <w:tc>
          <w:tcPr>
            <w:tcW w:w="470" w:type="pct"/>
            <w:noWrap w:val="0"/>
            <w:vAlign w:val="center"/>
          </w:tcPr>
          <w:p w14:paraId="41CD48E2">
            <w:pPr>
              <w:jc w:val="center"/>
              <w:rPr>
                <w:rFonts w:hint="eastAsia" w:ascii="宋体" w:hAnsi="宋体"/>
                <w:sz w:val="18"/>
                <w:szCs w:val="18"/>
                <w:highlight w:val="none"/>
              </w:rPr>
            </w:pPr>
          </w:p>
        </w:tc>
        <w:tc>
          <w:tcPr>
            <w:tcW w:w="430" w:type="pct"/>
            <w:noWrap w:val="0"/>
            <w:vAlign w:val="center"/>
          </w:tcPr>
          <w:p w14:paraId="0251B4AC">
            <w:pPr>
              <w:jc w:val="center"/>
              <w:rPr>
                <w:rFonts w:hint="eastAsia" w:ascii="宋体" w:hAnsi="宋体"/>
                <w:sz w:val="18"/>
                <w:szCs w:val="18"/>
                <w:highlight w:val="none"/>
              </w:rPr>
            </w:pPr>
          </w:p>
        </w:tc>
        <w:tc>
          <w:tcPr>
            <w:tcW w:w="653" w:type="pct"/>
            <w:noWrap w:val="0"/>
            <w:vAlign w:val="center"/>
          </w:tcPr>
          <w:p w14:paraId="2685FE36">
            <w:pPr>
              <w:jc w:val="center"/>
              <w:rPr>
                <w:rFonts w:hint="eastAsia" w:ascii="宋体" w:hAnsi="宋体"/>
                <w:sz w:val="18"/>
                <w:szCs w:val="18"/>
                <w:highlight w:val="none"/>
              </w:rPr>
            </w:pPr>
          </w:p>
        </w:tc>
        <w:tc>
          <w:tcPr>
            <w:tcW w:w="695" w:type="pct"/>
            <w:noWrap w:val="0"/>
            <w:vAlign w:val="center"/>
          </w:tcPr>
          <w:p w14:paraId="500099C4">
            <w:pPr>
              <w:jc w:val="center"/>
              <w:rPr>
                <w:rFonts w:hint="eastAsia" w:ascii="宋体" w:hAnsi="宋体"/>
                <w:sz w:val="18"/>
                <w:szCs w:val="18"/>
                <w:highlight w:val="none"/>
              </w:rPr>
            </w:pPr>
          </w:p>
        </w:tc>
        <w:tc>
          <w:tcPr>
            <w:tcW w:w="370" w:type="pct"/>
            <w:noWrap w:val="0"/>
            <w:vAlign w:val="center"/>
          </w:tcPr>
          <w:p w14:paraId="5763FB2D">
            <w:pPr>
              <w:jc w:val="center"/>
              <w:rPr>
                <w:rFonts w:hint="eastAsia" w:ascii="宋体" w:hAnsi="宋体"/>
                <w:sz w:val="18"/>
                <w:szCs w:val="18"/>
                <w:highlight w:val="none"/>
              </w:rPr>
            </w:pPr>
          </w:p>
        </w:tc>
      </w:tr>
      <w:tr w14:paraId="46A9BC6D">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jc w:val="center"/>
        </w:trPr>
        <w:tc>
          <w:tcPr>
            <w:tcW w:w="237" w:type="pct"/>
            <w:noWrap w:val="0"/>
            <w:vAlign w:val="center"/>
          </w:tcPr>
          <w:p w14:paraId="4CA2C8D5">
            <w:pPr>
              <w:jc w:val="center"/>
              <w:rPr>
                <w:rFonts w:hint="eastAsia" w:ascii="宋体" w:hAnsi="宋体"/>
                <w:sz w:val="18"/>
                <w:szCs w:val="18"/>
                <w:highlight w:val="none"/>
              </w:rPr>
            </w:pPr>
          </w:p>
        </w:tc>
        <w:tc>
          <w:tcPr>
            <w:tcW w:w="461" w:type="pct"/>
            <w:noWrap w:val="0"/>
            <w:vAlign w:val="center"/>
          </w:tcPr>
          <w:p w14:paraId="61918951">
            <w:pPr>
              <w:jc w:val="center"/>
              <w:rPr>
                <w:rFonts w:hint="eastAsia" w:ascii="宋体" w:hAnsi="宋体"/>
                <w:sz w:val="18"/>
                <w:szCs w:val="18"/>
                <w:highlight w:val="none"/>
              </w:rPr>
            </w:pPr>
          </w:p>
        </w:tc>
        <w:tc>
          <w:tcPr>
            <w:tcW w:w="439" w:type="pct"/>
            <w:noWrap w:val="0"/>
            <w:vAlign w:val="center"/>
          </w:tcPr>
          <w:p w14:paraId="5B145E23">
            <w:pPr>
              <w:jc w:val="center"/>
              <w:rPr>
                <w:rFonts w:hint="eastAsia" w:ascii="宋体" w:hAnsi="宋体"/>
                <w:sz w:val="18"/>
                <w:szCs w:val="18"/>
                <w:highlight w:val="none"/>
              </w:rPr>
            </w:pPr>
          </w:p>
        </w:tc>
        <w:tc>
          <w:tcPr>
            <w:tcW w:w="612" w:type="pct"/>
            <w:noWrap w:val="0"/>
            <w:vAlign w:val="center"/>
          </w:tcPr>
          <w:p w14:paraId="18DC7D36">
            <w:pPr>
              <w:jc w:val="center"/>
              <w:rPr>
                <w:rFonts w:hint="eastAsia" w:ascii="宋体" w:hAnsi="宋体"/>
                <w:sz w:val="18"/>
                <w:szCs w:val="18"/>
                <w:highlight w:val="none"/>
              </w:rPr>
            </w:pPr>
          </w:p>
        </w:tc>
        <w:tc>
          <w:tcPr>
            <w:tcW w:w="629" w:type="pct"/>
            <w:noWrap w:val="0"/>
            <w:vAlign w:val="center"/>
          </w:tcPr>
          <w:p w14:paraId="4EA03B46">
            <w:pPr>
              <w:jc w:val="center"/>
              <w:rPr>
                <w:rFonts w:hint="eastAsia" w:ascii="宋体" w:hAnsi="宋体"/>
                <w:sz w:val="18"/>
                <w:szCs w:val="18"/>
                <w:highlight w:val="none"/>
              </w:rPr>
            </w:pPr>
          </w:p>
        </w:tc>
        <w:tc>
          <w:tcPr>
            <w:tcW w:w="470" w:type="pct"/>
            <w:noWrap w:val="0"/>
            <w:vAlign w:val="center"/>
          </w:tcPr>
          <w:p w14:paraId="074F7232">
            <w:pPr>
              <w:jc w:val="center"/>
              <w:rPr>
                <w:rFonts w:hint="eastAsia" w:ascii="宋体" w:hAnsi="宋体"/>
                <w:sz w:val="18"/>
                <w:szCs w:val="18"/>
                <w:highlight w:val="none"/>
              </w:rPr>
            </w:pPr>
          </w:p>
        </w:tc>
        <w:tc>
          <w:tcPr>
            <w:tcW w:w="430" w:type="pct"/>
            <w:noWrap w:val="0"/>
            <w:vAlign w:val="center"/>
          </w:tcPr>
          <w:p w14:paraId="1AB67CF3">
            <w:pPr>
              <w:jc w:val="center"/>
              <w:rPr>
                <w:rFonts w:hint="eastAsia" w:ascii="宋体" w:hAnsi="宋体"/>
                <w:sz w:val="18"/>
                <w:szCs w:val="18"/>
                <w:highlight w:val="none"/>
              </w:rPr>
            </w:pPr>
          </w:p>
        </w:tc>
        <w:tc>
          <w:tcPr>
            <w:tcW w:w="653" w:type="pct"/>
            <w:noWrap w:val="0"/>
            <w:vAlign w:val="center"/>
          </w:tcPr>
          <w:p w14:paraId="6F9C792F">
            <w:pPr>
              <w:jc w:val="center"/>
              <w:rPr>
                <w:rFonts w:hint="eastAsia" w:ascii="宋体" w:hAnsi="宋体"/>
                <w:sz w:val="18"/>
                <w:szCs w:val="18"/>
                <w:highlight w:val="none"/>
              </w:rPr>
            </w:pPr>
          </w:p>
        </w:tc>
        <w:tc>
          <w:tcPr>
            <w:tcW w:w="695" w:type="pct"/>
            <w:noWrap w:val="0"/>
            <w:vAlign w:val="center"/>
          </w:tcPr>
          <w:p w14:paraId="15EE8B4A">
            <w:pPr>
              <w:jc w:val="center"/>
              <w:rPr>
                <w:rFonts w:hint="eastAsia" w:ascii="宋体" w:hAnsi="宋体"/>
                <w:sz w:val="18"/>
                <w:szCs w:val="18"/>
                <w:highlight w:val="none"/>
              </w:rPr>
            </w:pPr>
          </w:p>
        </w:tc>
        <w:tc>
          <w:tcPr>
            <w:tcW w:w="370" w:type="pct"/>
            <w:noWrap w:val="0"/>
            <w:vAlign w:val="center"/>
          </w:tcPr>
          <w:p w14:paraId="5BE34843">
            <w:pPr>
              <w:jc w:val="center"/>
              <w:rPr>
                <w:rFonts w:hint="eastAsia" w:ascii="宋体" w:hAnsi="宋体"/>
                <w:sz w:val="18"/>
                <w:szCs w:val="18"/>
                <w:highlight w:val="none"/>
              </w:rPr>
            </w:pPr>
          </w:p>
        </w:tc>
      </w:tr>
      <w:tr w14:paraId="496E7E97">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jc w:val="center"/>
        </w:trPr>
        <w:tc>
          <w:tcPr>
            <w:tcW w:w="237" w:type="pct"/>
            <w:noWrap w:val="0"/>
            <w:vAlign w:val="center"/>
          </w:tcPr>
          <w:p w14:paraId="27480E4F">
            <w:pPr>
              <w:jc w:val="center"/>
              <w:rPr>
                <w:rFonts w:hint="eastAsia" w:ascii="宋体" w:hAnsi="宋体"/>
                <w:sz w:val="18"/>
                <w:szCs w:val="18"/>
                <w:highlight w:val="none"/>
              </w:rPr>
            </w:pPr>
          </w:p>
        </w:tc>
        <w:tc>
          <w:tcPr>
            <w:tcW w:w="461" w:type="pct"/>
            <w:noWrap w:val="0"/>
            <w:vAlign w:val="center"/>
          </w:tcPr>
          <w:p w14:paraId="40B84A97">
            <w:pPr>
              <w:jc w:val="center"/>
              <w:rPr>
                <w:rFonts w:hint="eastAsia" w:ascii="宋体" w:hAnsi="宋体"/>
                <w:sz w:val="18"/>
                <w:szCs w:val="18"/>
                <w:highlight w:val="none"/>
              </w:rPr>
            </w:pPr>
          </w:p>
        </w:tc>
        <w:tc>
          <w:tcPr>
            <w:tcW w:w="439" w:type="pct"/>
            <w:noWrap w:val="0"/>
            <w:vAlign w:val="center"/>
          </w:tcPr>
          <w:p w14:paraId="497DE79F">
            <w:pPr>
              <w:jc w:val="center"/>
              <w:rPr>
                <w:rFonts w:hint="eastAsia" w:ascii="宋体" w:hAnsi="宋体"/>
                <w:sz w:val="18"/>
                <w:szCs w:val="18"/>
                <w:highlight w:val="none"/>
              </w:rPr>
            </w:pPr>
          </w:p>
        </w:tc>
        <w:tc>
          <w:tcPr>
            <w:tcW w:w="612" w:type="pct"/>
            <w:noWrap w:val="0"/>
            <w:vAlign w:val="center"/>
          </w:tcPr>
          <w:p w14:paraId="3A9424A6">
            <w:pPr>
              <w:jc w:val="center"/>
              <w:rPr>
                <w:rFonts w:hint="eastAsia" w:ascii="宋体" w:hAnsi="宋体"/>
                <w:sz w:val="18"/>
                <w:szCs w:val="18"/>
                <w:highlight w:val="none"/>
              </w:rPr>
            </w:pPr>
          </w:p>
        </w:tc>
        <w:tc>
          <w:tcPr>
            <w:tcW w:w="629" w:type="pct"/>
            <w:noWrap w:val="0"/>
            <w:vAlign w:val="center"/>
          </w:tcPr>
          <w:p w14:paraId="6D7C20E9">
            <w:pPr>
              <w:jc w:val="center"/>
              <w:rPr>
                <w:rFonts w:hint="eastAsia" w:ascii="宋体" w:hAnsi="宋体"/>
                <w:sz w:val="18"/>
                <w:szCs w:val="18"/>
                <w:highlight w:val="none"/>
              </w:rPr>
            </w:pPr>
          </w:p>
        </w:tc>
        <w:tc>
          <w:tcPr>
            <w:tcW w:w="470" w:type="pct"/>
            <w:noWrap w:val="0"/>
            <w:vAlign w:val="center"/>
          </w:tcPr>
          <w:p w14:paraId="75C02D60">
            <w:pPr>
              <w:jc w:val="center"/>
              <w:rPr>
                <w:rFonts w:hint="eastAsia" w:ascii="宋体" w:hAnsi="宋体"/>
                <w:sz w:val="18"/>
                <w:szCs w:val="18"/>
                <w:highlight w:val="none"/>
              </w:rPr>
            </w:pPr>
          </w:p>
        </w:tc>
        <w:tc>
          <w:tcPr>
            <w:tcW w:w="430" w:type="pct"/>
            <w:noWrap w:val="0"/>
            <w:vAlign w:val="center"/>
          </w:tcPr>
          <w:p w14:paraId="34E0FC64">
            <w:pPr>
              <w:jc w:val="center"/>
              <w:rPr>
                <w:rFonts w:hint="eastAsia" w:ascii="宋体" w:hAnsi="宋体"/>
                <w:sz w:val="18"/>
                <w:szCs w:val="18"/>
                <w:highlight w:val="none"/>
              </w:rPr>
            </w:pPr>
          </w:p>
        </w:tc>
        <w:tc>
          <w:tcPr>
            <w:tcW w:w="653" w:type="pct"/>
            <w:noWrap w:val="0"/>
            <w:vAlign w:val="center"/>
          </w:tcPr>
          <w:p w14:paraId="2532EC6B">
            <w:pPr>
              <w:jc w:val="center"/>
              <w:rPr>
                <w:rFonts w:hint="eastAsia" w:ascii="宋体" w:hAnsi="宋体"/>
                <w:sz w:val="18"/>
                <w:szCs w:val="18"/>
                <w:highlight w:val="none"/>
              </w:rPr>
            </w:pPr>
          </w:p>
        </w:tc>
        <w:tc>
          <w:tcPr>
            <w:tcW w:w="695" w:type="pct"/>
            <w:noWrap w:val="0"/>
            <w:vAlign w:val="center"/>
          </w:tcPr>
          <w:p w14:paraId="42A6A332">
            <w:pPr>
              <w:jc w:val="center"/>
              <w:rPr>
                <w:rFonts w:hint="eastAsia" w:ascii="宋体" w:hAnsi="宋体"/>
                <w:sz w:val="18"/>
                <w:szCs w:val="18"/>
                <w:highlight w:val="none"/>
              </w:rPr>
            </w:pPr>
          </w:p>
        </w:tc>
        <w:tc>
          <w:tcPr>
            <w:tcW w:w="370" w:type="pct"/>
            <w:noWrap w:val="0"/>
            <w:vAlign w:val="center"/>
          </w:tcPr>
          <w:p w14:paraId="7DC16F06">
            <w:pPr>
              <w:jc w:val="center"/>
              <w:rPr>
                <w:rFonts w:hint="eastAsia" w:ascii="宋体" w:hAnsi="宋体"/>
                <w:sz w:val="18"/>
                <w:szCs w:val="18"/>
                <w:highlight w:val="none"/>
              </w:rPr>
            </w:pPr>
          </w:p>
        </w:tc>
      </w:tr>
      <w:tr w14:paraId="0C206FA4">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jc w:val="center"/>
        </w:trPr>
        <w:tc>
          <w:tcPr>
            <w:tcW w:w="237" w:type="pct"/>
            <w:noWrap w:val="0"/>
            <w:vAlign w:val="center"/>
          </w:tcPr>
          <w:p w14:paraId="4BFF8FB2">
            <w:pPr>
              <w:jc w:val="center"/>
              <w:rPr>
                <w:rFonts w:hint="eastAsia" w:ascii="宋体" w:hAnsi="宋体"/>
                <w:sz w:val="18"/>
                <w:szCs w:val="18"/>
                <w:highlight w:val="none"/>
              </w:rPr>
            </w:pPr>
          </w:p>
        </w:tc>
        <w:tc>
          <w:tcPr>
            <w:tcW w:w="461" w:type="pct"/>
            <w:noWrap w:val="0"/>
            <w:vAlign w:val="center"/>
          </w:tcPr>
          <w:p w14:paraId="5DF895E8">
            <w:pPr>
              <w:jc w:val="center"/>
              <w:rPr>
                <w:rFonts w:hint="eastAsia" w:ascii="宋体" w:hAnsi="宋体"/>
                <w:sz w:val="18"/>
                <w:szCs w:val="18"/>
                <w:highlight w:val="none"/>
              </w:rPr>
            </w:pPr>
          </w:p>
        </w:tc>
        <w:tc>
          <w:tcPr>
            <w:tcW w:w="439" w:type="pct"/>
            <w:noWrap w:val="0"/>
            <w:vAlign w:val="center"/>
          </w:tcPr>
          <w:p w14:paraId="68A517CC">
            <w:pPr>
              <w:jc w:val="center"/>
              <w:rPr>
                <w:rFonts w:hint="eastAsia" w:ascii="宋体" w:hAnsi="宋体"/>
                <w:sz w:val="18"/>
                <w:szCs w:val="18"/>
                <w:highlight w:val="none"/>
              </w:rPr>
            </w:pPr>
          </w:p>
        </w:tc>
        <w:tc>
          <w:tcPr>
            <w:tcW w:w="612" w:type="pct"/>
            <w:noWrap w:val="0"/>
            <w:vAlign w:val="center"/>
          </w:tcPr>
          <w:p w14:paraId="769F0CB7">
            <w:pPr>
              <w:jc w:val="center"/>
              <w:rPr>
                <w:rFonts w:hint="eastAsia" w:ascii="宋体" w:hAnsi="宋体"/>
                <w:sz w:val="18"/>
                <w:szCs w:val="18"/>
                <w:highlight w:val="none"/>
              </w:rPr>
            </w:pPr>
          </w:p>
        </w:tc>
        <w:tc>
          <w:tcPr>
            <w:tcW w:w="629" w:type="pct"/>
            <w:noWrap w:val="0"/>
            <w:vAlign w:val="center"/>
          </w:tcPr>
          <w:p w14:paraId="012A63E8">
            <w:pPr>
              <w:jc w:val="center"/>
              <w:rPr>
                <w:rFonts w:hint="eastAsia" w:ascii="宋体" w:hAnsi="宋体"/>
                <w:sz w:val="18"/>
                <w:szCs w:val="18"/>
                <w:highlight w:val="none"/>
              </w:rPr>
            </w:pPr>
          </w:p>
        </w:tc>
        <w:tc>
          <w:tcPr>
            <w:tcW w:w="470" w:type="pct"/>
            <w:noWrap w:val="0"/>
            <w:vAlign w:val="center"/>
          </w:tcPr>
          <w:p w14:paraId="53AE2ABA">
            <w:pPr>
              <w:jc w:val="center"/>
              <w:rPr>
                <w:rFonts w:hint="eastAsia" w:ascii="宋体" w:hAnsi="宋体"/>
                <w:sz w:val="18"/>
                <w:szCs w:val="18"/>
                <w:highlight w:val="none"/>
              </w:rPr>
            </w:pPr>
          </w:p>
        </w:tc>
        <w:tc>
          <w:tcPr>
            <w:tcW w:w="430" w:type="pct"/>
            <w:noWrap w:val="0"/>
            <w:vAlign w:val="center"/>
          </w:tcPr>
          <w:p w14:paraId="019885E3">
            <w:pPr>
              <w:jc w:val="center"/>
              <w:rPr>
                <w:rFonts w:hint="eastAsia" w:ascii="宋体" w:hAnsi="宋体"/>
                <w:sz w:val="18"/>
                <w:szCs w:val="18"/>
                <w:highlight w:val="none"/>
              </w:rPr>
            </w:pPr>
          </w:p>
        </w:tc>
        <w:tc>
          <w:tcPr>
            <w:tcW w:w="653" w:type="pct"/>
            <w:noWrap w:val="0"/>
            <w:vAlign w:val="center"/>
          </w:tcPr>
          <w:p w14:paraId="15EEF1A7">
            <w:pPr>
              <w:jc w:val="center"/>
              <w:rPr>
                <w:rFonts w:hint="eastAsia" w:ascii="宋体" w:hAnsi="宋体"/>
                <w:sz w:val="18"/>
                <w:szCs w:val="18"/>
                <w:highlight w:val="none"/>
              </w:rPr>
            </w:pPr>
          </w:p>
        </w:tc>
        <w:tc>
          <w:tcPr>
            <w:tcW w:w="695" w:type="pct"/>
            <w:noWrap w:val="0"/>
            <w:vAlign w:val="center"/>
          </w:tcPr>
          <w:p w14:paraId="7D0C48A4">
            <w:pPr>
              <w:jc w:val="center"/>
              <w:rPr>
                <w:rFonts w:hint="eastAsia" w:ascii="宋体" w:hAnsi="宋体"/>
                <w:sz w:val="18"/>
                <w:szCs w:val="18"/>
                <w:highlight w:val="none"/>
              </w:rPr>
            </w:pPr>
          </w:p>
        </w:tc>
        <w:tc>
          <w:tcPr>
            <w:tcW w:w="370" w:type="pct"/>
            <w:noWrap w:val="0"/>
            <w:vAlign w:val="center"/>
          </w:tcPr>
          <w:p w14:paraId="543A57D6">
            <w:pPr>
              <w:jc w:val="center"/>
              <w:rPr>
                <w:rFonts w:hint="eastAsia" w:ascii="宋体" w:hAnsi="宋体"/>
                <w:sz w:val="18"/>
                <w:szCs w:val="18"/>
                <w:highlight w:val="none"/>
              </w:rPr>
            </w:pPr>
          </w:p>
        </w:tc>
      </w:tr>
    </w:tbl>
    <w:p w14:paraId="5D9B7ADC">
      <w:pPr>
        <w:adjustRightInd w:val="0"/>
        <w:snapToGrid w:val="0"/>
        <w:spacing w:line="360" w:lineRule="auto"/>
        <w:rPr>
          <w:rFonts w:hint="eastAsia" w:ascii="宋体" w:hAnsi="宋体"/>
          <w:szCs w:val="21"/>
          <w:highlight w:val="none"/>
        </w:rPr>
        <w:sectPr>
          <w:pgSz w:w="11906" w:h="16838"/>
          <w:pgMar w:top="1474" w:right="1474" w:bottom="1474" w:left="1474" w:header="851" w:footer="567" w:gutter="0"/>
          <w:cols w:space="720" w:num="1"/>
          <w:docGrid w:linePitch="312" w:charSpace="0"/>
        </w:sectPr>
      </w:pPr>
      <w:r>
        <w:rPr>
          <w:rFonts w:hint="eastAsia" w:ascii="宋体" w:hAnsi="宋体"/>
          <w:szCs w:val="21"/>
          <w:highlight w:val="none"/>
        </w:rPr>
        <w:t>【编制说明：请响应人按第一章3.6评审表3.6.9（1）有关标准进行响应，并按要求提供证明材料。】</w:t>
      </w:r>
      <w:r>
        <w:rPr>
          <w:rFonts w:hint="eastAsia" w:ascii="Times New Roman" w:hAnsi="Times New Roman" w:cs="Times New Roman"/>
          <w:szCs w:val="21"/>
          <w:highlight w:val="none"/>
        </w:rPr>
        <w:t>[Instructions de rédaction : le soumissionnaire doit répondre conformément aux critères du chapitre I, tableau d’évaluation 3.6, article 3.6.9(1), et fournir les justificatifs requis.</w:t>
      </w:r>
    </w:p>
    <w:p w14:paraId="2145D2EF">
      <w:pPr>
        <w:adjustRightInd w:val="0"/>
        <w:snapToGrid w:val="0"/>
        <w:spacing w:line="360" w:lineRule="auto"/>
        <w:rPr>
          <w:rFonts w:hint="eastAsia" w:ascii="宋体" w:hAnsi="宋体" w:eastAsia="宋体" w:cs="Times New Roman"/>
          <w:strike/>
          <w:color w:val="FF0000"/>
          <w:szCs w:val="21"/>
          <w:highlight w:val="yellow"/>
        </w:rPr>
      </w:pPr>
      <w:r>
        <w:rPr>
          <w:rFonts w:hint="eastAsia" w:ascii="宋体" w:hAnsi="宋体" w:eastAsia="宋体" w:cs="Times New Roman"/>
          <w:strike/>
          <w:color w:val="FF0000"/>
          <w:szCs w:val="21"/>
          <w:highlight w:val="yellow"/>
        </w:rPr>
        <w:br w:type="textWrapping"/>
      </w:r>
    </w:p>
    <w:p w14:paraId="66C53FEC">
      <w:pPr>
        <w:keepNext/>
        <w:keepLines/>
        <w:spacing w:line="360" w:lineRule="auto"/>
        <w:outlineLvl w:val="2"/>
        <w:rPr>
          <w:rFonts w:hint="eastAsia" w:ascii="宋体" w:hAnsi="宋体"/>
          <w:b/>
          <w:szCs w:val="21"/>
          <w:highlight w:val="none"/>
        </w:rPr>
      </w:pPr>
      <w:bookmarkStart w:id="120" w:name="_Toc105593705"/>
      <w:r>
        <w:rPr>
          <w:rFonts w:hint="eastAsia" w:ascii="宋体" w:hAnsi="宋体"/>
          <w:b/>
          <w:szCs w:val="21"/>
          <w:highlight w:val="none"/>
        </w:rPr>
        <w:t>（七）其他</w:t>
      </w:r>
    </w:p>
    <w:p w14:paraId="41D34467">
      <w:pPr>
        <w:keepLines/>
        <w:spacing w:line="360" w:lineRule="auto"/>
        <w:outlineLvl w:val="2"/>
        <w:rPr>
          <w:rFonts w:hint="eastAsia" w:ascii="宋体" w:hAnsi="宋体"/>
          <w:b/>
          <w:szCs w:val="21"/>
          <w:highlight w:val="none"/>
        </w:rPr>
      </w:pPr>
      <w:r>
        <w:rPr>
          <w:rFonts w:hint="eastAsia" w:ascii="Times New Roman" w:hAnsi="Times New Roman" w:cs="Times New Roman"/>
          <w:b/>
          <w:szCs w:val="21"/>
          <w:highlight w:val="none"/>
        </w:rPr>
        <w:t>(VII) Autres documents</w:t>
      </w:r>
    </w:p>
    <w:bookmarkEnd w:id="120"/>
    <w:p w14:paraId="395A4BE2">
      <w:pPr>
        <w:spacing w:line="360" w:lineRule="auto"/>
        <w:ind w:left="420" w:leftChars="200" w:firstLine="0" w:firstLineChars="0"/>
        <w:rPr>
          <w:rFonts w:hint="eastAsia" w:ascii="宋体" w:hAnsi="宋体"/>
          <w:highlight w:val="none"/>
          <w:lang w:val="en-US" w:eastAsia="zh-CN"/>
        </w:rPr>
      </w:pPr>
      <w:r>
        <w:rPr>
          <w:rFonts w:hint="eastAsia" w:ascii="宋体" w:hAnsi="宋体"/>
          <w:highlight w:val="none"/>
          <w:lang w:val="en-US" w:eastAsia="zh-CN"/>
        </w:rPr>
        <w:t>1.经营状况良好，没有处于被责令停业，财产被接管、冻结，破产状态的承诺或证明材料；</w:t>
      </w:r>
      <w:r>
        <w:rPr>
          <w:rFonts w:hint="eastAsia" w:ascii="宋体" w:hAnsi="宋体"/>
          <w:highlight w:val="none"/>
          <w:lang w:val="en-US" w:eastAsia="zh-CN"/>
        </w:rPr>
        <w:br w:type="textWrapping"/>
      </w:r>
      <w:r>
        <w:rPr>
          <w:rFonts w:hint="eastAsia" w:ascii="宋体" w:hAnsi="宋体"/>
          <w:highlight w:val="none"/>
          <w:lang w:val="en-US" w:eastAsia="zh-CN"/>
        </w:rPr>
        <w:t>2.近36个月内不存在骗取成交、严重违约及因自身的责任而使任何合同被解除的情形的承诺或证明材料；</w:t>
      </w:r>
    </w:p>
    <w:p w14:paraId="364451BB">
      <w:pPr>
        <w:spacing w:line="360" w:lineRule="auto"/>
        <w:ind w:left="420" w:leftChars="200" w:firstLine="0" w:firstLineChars="0"/>
        <w:rPr>
          <w:rFonts w:hint="eastAsia" w:ascii="宋体" w:hAnsi="宋体"/>
          <w:highlight w:val="none"/>
          <w:lang w:val="en-US" w:eastAsia="zh-CN"/>
        </w:rPr>
      </w:pPr>
      <w:r>
        <w:rPr>
          <w:rFonts w:hint="eastAsia" w:ascii="Times New Roman" w:hAnsi="Times New Roman" w:cs="Times New Roman"/>
          <w:highlight w:val="none"/>
          <w:lang w:val="en-US" w:eastAsia="zh-CN"/>
        </w:rPr>
        <w:t>1. Engagement ou justificatif attestant d’une situation d’exploitation saine et de l’absence de cessation forcée d’activité, de mise sous administration, de gel des biens ou de faillite ; 2. Engagement ou justificatif attestant qu’au cours des 36 derniers mois, le soumissionnaire n’a pas obtenu frauduleusement une attribution, n’a pas commis de manquement contractuel grave et n’a vu aucun contrat résilié du fait de sa propre responsabilité ;</w:t>
      </w:r>
    </w:p>
    <w:p w14:paraId="0D690C9E">
      <w:pPr>
        <w:spacing w:line="360" w:lineRule="auto"/>
        <w:ind w:firstLine="420" w:firstLineChars="200"/>
        <w:rPr>
          <w:rFonts w:hint="eastAsia" w:ascii="宋体" w:hAnsi="宋体"/>
          <w:highlight w:val="none"/>
        </w:rPr>
      </w:pPr>
      <w:r>
        <w:rPr>
          <w:rFonts w:hint="eastAsia" w:ascii="宋体" w:hAnsi="宋体"/>
          <w:highlight w:val="none"/>
          <w:lang w:val="en-US" w:eastAsia="zh-CN"/>
        </w:rPr>
        <w:t>3.响应人没有处于国家电力投资集团有限公司相关文件确认的禁止参与采购的范围和处罚期内；未被列入国家电力投资集团有限公司供应商涉案“黑名单”的承诺或证明材料；</w:t>
      </w:r>
    </w:p>
    <w:p w14:paraId="7677D8F9">
      <w:pPr>
        <w:spacing w:line="360" w:lineRule="auto"/>
        <w:ind w:firstLine="420" w:firstLineChars="200"/>
        <w:rPr>
          <w:rFonts w:hint="eastAsia" w:ascii="宋体" w:hAnsi="宋体"/>
          <w:highlight w:val="none"/>
        </w:rPr>
      </w:pPr>
      <w:r>
        <w:rPr>
          <w:rFonts w:hint="eastAsia" w:ascii="Times New Roman" w:hAnsi="Times New Roman" w:cs="Times New Roman"/>
          <w:highlight w:val="none"/>
          <w:lang w:val="en-US" w:eastAsia="zh-CN"/>
        </w:rPr>
        <w:t>3. Engagement ou justificatif attestant que le soumissionnaire ne se trouve pas dans le champ d’une interdiction de participer aux achats ni dans une période de sanction définie par les documents pertinents de State Power Investment Corporation Limited, et qu’il ne figure pas sur la « liste noire » des fournisseurs impliqués dans des affaires de State Power Investment Corporation Limited ;</w:t>
      </w:r>
    </w:p>
    <w:p w14:paraId="3EBBB9F7">
      <w:pPr>
        <w:spacing w:line="360" w:lineRule="auto"/>
        <w:ind w:firstLine="420" w:firstLineChars="200"/>
        <w:rPr>
          <w:rFonts w:hint="eastAsia" w:ascii="宋体" w:hAnsi="宋体"/>
          <w:highlight w:val="none"/>
        </w:rPr>
      </w:pPr>
      <w:r>
        <w:rPr>
          <w:rFonts w:hint="eastAsia" w:ascii="宋体" w:hAnsi="宋体"/>
          <w:highlight w:val="none"/>
          <w:lang w:val="en-US" w:eastAsia="zh-CN"/>
        </w:rPr>
        <w:t>4</w:t>
      </w:r>
      <w:r>
        <w:rPr>
          <w:rFonts w:ascii="宋体" w:hAnsi="宋体"/>
          <w:highlight w:val="none"/>
        </w:rPr>
        <w:t>.</w:t>
      </w:r>
      <w:r>
        <w:rPr>
          <w:rFonts w:hint="eastAsia" w:ascii="宋体" w:hAnsi="宋体"/>
          <w:highlight w:val="none"/>
        </w:rPr>
        <w:t xml:space="preserve"> 资格要求的相关证明材料</w:t>
      </w:r>
    </w:p>
    <w:p w14:paraId="1CB434D3">
      <w:pPr>
        <w:spacing w:line="360" w:lineRule="auto"/>
        <w:ind w:firstLine="420" w:firstLineChars="200"/>
        <w:rPr>
          <w:rFonts w:hint="eastAsia" w:ascii="宋体" w:hAnsi="宋体"/>
          <w:highlight w:val="none"/>
        </w:rPr>
      </w:pPr>
      <w:r>
        <w:rPr>
          <w:rFonts w:hint="eastAsia" w:ascii="Times New Roman" w:hAnsi="Times New Roman" w:cs="Times New Roman"/>
          <w:highlight w:val="none"/>
          <w:lang w:val="en-US" w:eastAsia="zh-CN"/>
        </w:rPr>
        <w:t>4. Justificatifs relatifs aux exigences de qualification</w:t>
      </w:r>
    </w:p>
    <w:p w14:paraId="4F17B851">
      <w:pPr>
        <w:spacing w:line="360" w:lineRule="auto"/>
        <w:ind w:firstLine="420" w:firstLineChars="200"/>
        <w:rPr>
          <w:rFonts w:hint="eastAsia" w:ascii="宋体" w:hAnsi="宋体"/>
          <w:highlight w:val="none"/>
        </w:rPr>
      </w:pPr>
      <w:r>
        <w:rPr>
          <w:rFonts w:hint="eastAsia" w:ascii="宋体" w:hAnsi="宋体"/>
          <w:highlight w:val="none"/>
        </w:rPr>
        <w:t>响应人依据采购文件要求，分别提供相关证明材料。</w:t>
      </w:r>
    </w:p>
    <w:p w14:paraId="51B744DD">
      <w:pPr>
        <w:spacing w:line="360" w:lineRule="auto"/>
        <w:ind w:firstLine="420" w:firstLineChars="200"/>
        <w:rPr>
          <w:rFonts w:hint="eastAsia" w:ascii="宋体" w:hAnsi="宋体"/>
          <w:highlight w:val="none"/>
        </w:rPr>
      </w:pPr>
      <w:r>
        <w:rPr>
          <w:rFonts w:hint="eastAsia" w:ascii="Times New Roman" w:hAnsi="Times New Roman" w:cs="Times New Roman"/>
          <w:highlight w:val="none"/>
        </w:rPr>
        <w:t>Le soumissionnaire fournit séparément les justificatifs requis conformément au dossier de consultation.</w:t>
      </w:r>
    </w:p>
    <w:p w14:paraId="553BE490">
      <w:pPr>
        <w:keepNext/>
        <w:keepLines/>
        <w:spacing w:line="360" w:lineRule="auto"/>
        <w:outlineLvl w:val="2"/>
        <w:rPr>
          <w:rFonts w:hint="eastAsia" w:ascii="宋体" w:hAnsi="宋体" w:eastAsia="宋体" w:cs="Times New Roman"/>
          <w:b/>
          <w:szCs w:val="21"/>
          <w:highlight w:val="none"/>
        </w:rPr>
      </w:pPr>
      <w:r>
        <w:rPr>
          <w:rFonts w:hint="eastAsia" w:ascii="Times New Roman" w:hAnsi="Times New Roman" w:eastAsia="宋体"/>
          <w:b/>
          <w:bCs/>
          <w:sz w:val="21"/>
          <w:szCs w:val="21"/>
          <w:highlight w:val="none"/>
          <w:lang w:val="en-US" w:eastAsia="zh-CN"/>
        </w:rPr>
        <w:t>（八）响应人需要说明的其他技术问题</w:t>
      </w:r>
    </w:p>
    <w:p w14:paraId="2551906E">
      <w:pPr>
        <w:keepLines/>
        <w:spacing w:line="360" w:lineRule="auto"/>
        <w:outlineLvl w:val="2"/>
        <w:rPr>
          <w:rFonts w:hint="eastAsia" w:ascii="宋体" w:hAnsi="宋体" w:eastAsia="宋体" w:cs="Times New Roman"/>
          <w:b/>
          <w:szCs w:val="21"/>
          <w:highlight w:val="none"/>
        </w:rPr>
      </w:pPr>
      <w:r>
        <w:rPr>
          <w:rFonts w:hint="eastAsia" w:ascii="Times New Roman" w:hAnsi="Times New Roman" w:eastAsia="宋体" w:cs="Times New Roman"/>
          <w:b/>
          <w:bCs/>
          <w:sz w:val="21"/>
          <w:szCs w:val="21"/>
          <w:highlight w:val="none"/>
          <w:lang w:val="en-US" w:eastAsia="zh-CN"/>
        </w:rPr>
        <w:t>(VIII) Autres questions techniques à préciser par le soumissionnaire</w:t>
      </w:r>
    </w:p>
    <w:p w14:paraId="5D0FD223">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1.本部分需提供除上述要求资料外，采购文件要求的（除商务以外其他）或响应人认为可以证明其满足采购文件需要的其他证明材料，没有写“无”。】</w:t>
      </w:r>
    </w:p>
    <w:p w14:paraId="56B7070B">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Times New Roman" w:hAnsi="Times New Roman" w:eastAsia="宋体" w:cs="Times New Roman"/>
          <w:szCs w:val="21"/>
          <w:highlight w:val="none"/>
        </w:rPr>
        <w:t>1. La présente partie doit contenir, outre les documents susmentionnés, tous les autres justificatifs exigés par le dossier de consultation (hors éléments commerciaux) ou que le soumissionnaire estime utiles pour démontrer sa conformité aux besoins du dossier de consultation ; en l’absence d’élément, indiquer « Néant ».]</w:t>
      </w:r>
    </w:p>
    <w:p w14:paraId="76A43F03">
      <w:pPr>
        <w:adjustRightInd w:val="0"/>
        <w:snapToGrid w:val="0"/>
        <w:spacing w:line="360" w:lineRule="auto"/>
        <w:ind w:firstLine="420" w:firstLineChars="200"/>
        <w:rPr>
          <w:rFonts w:hint="eastAsia" w:ascii="宋体" w:hAnsi="宋体" w:eastAsia="宋体" w:cs="Times New Roman"/>
          <w:szCs w:val="21"/>
          <w:highlight w:val="none"/>
          <w:lang w:val="en-US" w:eastAsia="zh-CN"/>
        </w:rPr>
      </w:pPr>
    </w:p>
    <w:p w14:paraId="63DF6724">
      <w:pPr>
        <w:tabs>
          <w:tab w:val="left" w:pos="3820"/>
        </w:tabs>
        <w:spacing w:line="360" w:lineRule="auto"/>
        <w:jc w:val="center"/>
        <w:rPr>
          <w:rFonts w:hint="eastAsia" w:ascii="宋体" w:hAnsi="宋体" w:cs="宋体"/>
          <w:b/>
          <w:bCs/>
          <w:sz w:val="52"/>
          <w:szCs w:val="52"/>
          <w:highlight w:val="none"/>
        </w:rPr>
      </w:pPr>
      <w:r>
        <w:rPr>
          <w:rFonts w:hint="eastAsia" w:ascii="宋体" w:hAnsi="宋体" w:cs="宋体"/>
          <w:b/>
          <w:bCs/>
          <w:sz w:val="52"/>
          <w:szCs w:val="52"/>
          <w:highlight w:val="none"/>
        </w:rPr>
        <w:br w:type="page"/>
      </w:r>
    </w:p>
    <w:p w14:paraId="3DCF7C2B">
      <w:pPr>
        <w:pStyle w:val="44"/>
        <w:rPr>
          <w:rFonts w:hint="eastAsia"/>
          <w:highlight w:val="none"/>
        </w:rPr>
      </w:pPr>
    </w:p>
    <w:p w14:paraId="3CB4A440">
      <w:pPr>
        <w:tabs>
          <w:tab w:val="left" w:pos="3820"/>
        </w:tabs>
        <w:spacing w:line="360" w:lineRule="auto"/>
        <w:jc w:val="center"/>
        <w:rPr>
          <w:rFonts w:hint="eastAsia" w:ascii="宋体" w:hAnsi="宋体" w:cs="宋体"/>
          <w:b/>
          <w:bCs/>
          <w:sz w:val="52"/>
          <w:szCs w:val="52"/>
          <w:highlight w:val="none"/>
        </w:rPr>
      </w:pPr>
    </w:p>
    <w:p w14:paraId="51494E6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宋体" w:hAnsi="宋体"/>
          <w:b/>
          <w:bCs/>
          <w:sz w:val="52"/>
          <w:szCs w:val="52"/>
          <w:highlight w:val="none"/>
          <w:lang w:val="en-US" w:eastAsia="zh-CN"/>
        </w:rPr>
      </w:pPr>
    </w:p>
    <w:p w14:paraId="119308D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宋体" w:hAnsi="宋体"/>
          <w:b/>
          <w:bCs/>
          <w:sz w:val="52"/>
          <w:szCs w:val="52"/>
          <w:highlight w:val="none"/>
          <w:lang w:val="en-US" w:eastAsia="zh-CN"/>
        </w:rPr>
      </w:pPr>
      <w:r>
        <w:rPr>
          <w:rFonts w:hint="eastAsia" w:ascii="宋体" w:hAnsi="宋体"/>
          <w:b/>
          <w:bCs/>
          <w:sz w:val="52"/>
          <w:szCs w:val="52"/>
          <w:highlight w:val="none"/>
          <w:lang w:val="en-US" w:eastAsia="zh-CN"/>
        </w:rPr>
        <w:t>××××公司</w:t>
      </w:r>
    </w:p>
    <w:p w14:paraId="441C5674">
      <w:pPr>
        <w:keepLines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宋体" w:hAnsi="宋体"/>
          <w:b/>
          <w:bCs/>
          <w:sz w:val="52"/>
          <w:szCs w:val="52"/>
          <w:highlight w:val="none"/>
          <w:lang w:val="en-US" w:eastAsia="zh-CN"/>
        </w:rPr>
      </w:pPr>
      <w:r>
        <w:rPr>
          <w:rFonts w:hint="eastAsia" w:ascii="Times New Roman" w:hAnsi="Times New Roman" w:cs="Times New Roman"/>
          <w:b/>
          <w:bCs/>
          <w:sz w:val="52"/>
          <w:szCs w:val="52"/>
          <w:highlight w:val="none"/>
          <w:lang w:val="en-US" w:eastAsia="zh-CN"/>
        </w:rPr>
        <w:t>Société ××××</w:t>
      </w:r>
    </w:p>
    <w:p w14:paraId="1884E6E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宋体" w:hAnsi="宋体"/>
          <w:b/>
          <w:bCs/>
          <w:sz w:val="52"/>
          <w:szCs w:val="52"/>
          <w:highlight w:val="none"/>
          <w:lang w:val="en-US" w:eastAsia="zh-CN"/>
        </w:rPr>
      </w:pPr>
      <w:r>
        <w:rPr>
          <w:rFonts w:hint="eastAsia" w:ascii="宋体" w:hAnsi="宋体"/>
          <w:b/>
          <w:bCs/>
          <w:sz w:val="52"/>
          <w:szCs w:val="52"/>
          <w:highlight w:val="none"/>
          <w:lang w:val="en-US" w:eastAsia="zh-CN"/>
        </w:rPr>
        <w:t>××××（项目名称）</w:t>
      </w:r>
    </w:p>
    <w:p w14:paraId="75447343">
      <w:pPr>
        <w:keepLines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宋体" w:hAnsi="宋体"/>
          <w:b/>
          <w:bCs/>
          <w:sz w:val="52"/>
          <w:szCs w:val="52"/>
          <w:highlight w:val="none"/>
          <w:lang w:val="en-US" w:eastAsia="zh-CN"/>
        </w:rPr>
      </w:pPr>
      <w:r>
        <w:rPr>
          <w:rFonts w:hint="eastAsia" w:ascii="Times New Roman" w:hAnsi="Times New Roman" w:cs="Times New Roman"/>
          <w:b/>
          <w:bCs/>
          <w:sz w:val="52"/>
          <w:szCs w:val="52"/>
          <w:highlight w:val="none"/>
          <w:lang w:val="en-US" w:eastAsia="zh-CN"/>
        </w:rPr>
        <w:t>×××× (nom du projet)</w:t>
      </w:r>
    </w:p>
    <w:p w14:paraId="473B5206">
      <w:pPr>
        <w:tabs>
          <w:tab w:val="left" w:pos="3780"/>
          <w:tab w:val="left" w:pos="4440"/>
          <w:tab w:val="left" w:pos="5100"/>
        </w:tabs>
        <w:ind w:right="11"/>
        <w:jc w:val="center"/>
        <w:outlineLvl w:val="1"/>
        <w:rPr>
          <w:rFonts w:hint="eastAsia" w:ascii="宋体" w:hAnsi="宋体" w:eastAsia="宋体" w:cs="宋体"/>
          <w:b/>
          <w:sz w:val="72"/>
          <w:szCs w:val="44"/>
          <w:highlight w:val="none"/>
          <w:lang w:val="en-US" w:eastAsia="zh-CN"/>
        </w:rPr>
      </w:pPr>
      <w:bookmarkStart w:id="121" w:name="_Toc17194"/>
      <w:r>
        <w:rPr>
          <w:rFonts w:hint="eastAsia" w:ascii="宋体" w:hAnsi="宋体"/>
          <w:b/>
          <w:bCs/>
          <w:sz w:val="52"/>
          <w:szCs w:val="52"/>
          <w:highlight w:val="none"/>
          <w:lang w:val="en-US" w:eastAsia="zh-CN"/>
        </w:rPr>
        <w:t>响应文件B</w:t>
      </w:r>
      <w:bookmarkEnd w:id="121"/>
    </w:p>
    <w:p w14:paraId="0A0B9F64">
      <w:pPr>
        <w:tabs>
          <w:tab w:val="left" w:pos="3780"/>
          <w:tab w:val="left" w:pos="4440"/>
          <w:tab w:val="left" w:pos="5100"/>
        </w:tabs>
        <w:ind w:right="11"/>
        <w:jc w:val="center"/>
        <w:outlineLvl w:val="1"/>
        <w:rPr>
          <w:rFonts w:hint="eastAsia" w:ascii="宋体" w:hAnsi="宋体" w:eastAsia="宋体" w:cs="宋体"/>
          <w:b/>
          <w:sz w:val="72"/>
          <w:szCs w:val="44"/>
          <w:highlight w:val="none"/>
          <w:lang w:val="en-US" w:eastAsia="zh-CN"/>
        </w:rPr>
      </w:pPr>
      <w:r>
        <w:rPr>
          <w:rFonts w:hint="eastAsia" w:ascii="Times New Roman" w:hAnsi="Times New Roman" w:cs="Times New Roman"/>
          <w:b/>
          <w:bCs/>
          <w:sz w:val="52"/>
          <w:szCs w:val="52"/>
          <w:highlight w:val="none"/>
          <w:lang w:val="en-US" w:eastAsia="zh-CN"/>
        </w:rPr>
        <w:t>Dossier de réponse B</w:t>
      </w:r>
    </w:p>
    <w:p w14:paraId="24A7F835">
      <w:pPr>
        <w:rPr>
          <w:rFonts w:hint="eastAsia" w:ascii="宋体" w:hAnsi="宋体" w:cs="宋体"/>
          <w:highlight w:val="none"/>
        </w:rPr>
      </w:pPr>
    </w:p>
    <w:p w14:paraId="40DC6AEC">
      <w:pPr>
        <w:rPr>
          <w:rFonts w:hint="eastAsia" w:ascii="宋体" w:hAnsi="宋体" w:cs="宋体"/>
          <w:highlight w:val="none"/>
        </w:rPr>
      </w:pPr>
    </w:p>
    <w:p w14:paraId="08665BFE">
      <w:pPr>
        <w:rPr>
          <w:rFonts w:hint="eastAsia" w:ascii="宋体" w:hAnsi="宋体" w:cs="宋体"/>
          <w:highlight w:val="none"/>
        </w:rPr>
      </w:pPr>
    </w:p>
    <w:p w14:paraId="131CBE75">
      <w:pPr>
        <w:rPr>
          <w:rFonts w:hint="eastAsia" w:ascii="宋体" w:hAnsi="宋体" w:cs="宋体"/>
          <w:highlight w:val="none"/>
        </w:rPr>
      </w:pPr>
    </w:p>
    <w:p w14:paraId="1BB86282">
      <w:pPr>
        <w:pStyle w:val="11"/>
        <w:rPr>
          <w:rFonts w:hint="eastAsia"/>
        </w:rPr>
      </w:pPr>
    </w:p>
    <w:p w14:paraId="13BC877F">
      <w:pPr>
        <w:rPr>
          <w:rFonts w:hint="eastAsia" w:ascii="宋体" w:hAnsi="宋体" w:cs="宋体"/>
          <w:highlight w:val="none"/>
        </w:rPr>
      </w:pPr>
    </w:p>
    <w:p w14:paraId="5A6E590F">
      <w:pPr>
        <w:rPr>
          <w:rFonts w:hint="eastAsia" w:ascii="宋体" w:hAnsi="宋体" w:cs="宋体"/>
          <w:highlight w:val="none"/>
        </w:rPr>
      </w:pPr>
    </w:p>
    <w:p w14:paraId="089ED71B">
      <w:pPr>
        <w:rPr>
          <w:rFonts w:hint="eastAsia" w:ascii="宋体" w:hAnsi="宋体" w:cs="宋体"/>
          <w:highlight w:val="none"/>
        </w:rPr>
      </w:pPr>
    </w:p>
    <w:p w14:paraId="792BD8AB">
      <w:pPr>
        <w:rPr>
          <w:rFonts w:hint="eastAsia" w:ascii="宋体" w:hAnsi="宋体" w:cs="宋体"/>
          <w:highlight w:val="none"/>
        </w:rPr>
      </w:pPr>
    </w:p>
    <w:p w14:paraId="6986CF71">
      <w:pPr>
        <w:spacing w:line="360" w:lineRule="auto"/>
        <w:ind w:firstLine="1120" w:firstLineChars="400"/>
        <w:rPr>
          <w:rFonts w:hint="eastAsia" w:ascii="宋体" w:hAnsi="宋体" w:cs="宋体"/>
          <w:color w:val="000000"/>
          <w:sz w:val="28"/>
          <w:highlight w:val="none"/>
          <w:u w:val="single"/>
        </w:rPr>
      </w:pPr>
      <w:r>
        <w:rPr>
          <w:rFonts w:hint="eastAsia" w:ascii="宋体" w:hAnsi="宋体" w:eastAsia="宋体" w:cs="宋体"/>
          <w:color w:val="000000"/>
          <w:sz w:val="28"/>
          <w:highlight w:val="none"/>
          <w:lang w:eastAsia="zh-CN"/>
        </w:rPr>
        <w:t>响应</w:t>
      </w:r>
      <w:r>
        <w:rPr>
          <w:rFonts w:hint="eastAsia" w:ascii="宋体" w:hAnsi="宋体" w:cs="宋体"/>
          <w:color w:val="000000"/>
          <w:sz w:val="28"/>
          <w:highlight w:val="none"/>
        </w:rPr>
        <w:t>人：</w:t>
      </w:r>
      <w:r>
        <w:rPr>
          <w:rFonts w:hint="eastAsia" w:ascii="宋体" w:hAnsi="宋体" w:cs="宋体"/>
          <w:color w:val="000000"/>
          <w:highlight w:val="none"/>
          <w:u w:val="single"/>
        </w:rPr>
        <w:t xml:space="preserve">                                            </w:t>
      </w:r>
      <w:r>
        <w:rPr>
          <w:rFonts w:hint="eastAsia" w:ascii="宋体" w:hAnsi="宋体" w:cs="宋体"/>
          <w:color w:val="000000"/>
          <w:sz w:val="28"/>
          <w:highlight w:val="none"/>
        </w:rPr>
        <w:t>（盖单位章）</w:t>
      </w:r>
    </w:p>
    <w:p w14:paraId="7BF8DDE3">
      <w:pPr>
        <w:spacing w:line="360" w:lineRule="auto"/>
        <w:ind w:firstLine="1120" w:firstLineChars="400"/>
        <w:rPr>
          <w:rFonts w:hint="eastAsia" w:ascii="宋体" w:hAnsi="宋体" w:cs="宋体"/>
          <w:color w:val="000000"/>
          <w:sz w:val="28"/>
          <w:highlight w:val="none"/>
          <w:u w:val="single"/>
        </w:rPr>
      </w:pPr>
      <w:r>
        <w:rPr>
          <w:rFonts w:hint="eastAsia" w:ascii="Times New Roman" w:hAnsi="Times New Roman" w:eastAsia="宋体" w:cs="Times New Roman"/>
          <w:color w:val="000000"/>
          <w:sz w:val="28"/>
          <w:highlight w:val="none"/>
          <w:lang w:eastAsia="zh-CN"/>
        </w:rPr>
        <w:t>Soumissionnaire : ____________________ (cachet de l’entreprise)</w:t>
      </w:r>
    </w:p>
    <w:p w14:paraId="4B4E44C5">
      <w:pPr>
        <w:spacing w:line="360" w:lineRule="auto"/>
        <w:ind w:firstLine="1120" w:firstLineChars="400"/>
        <w:jc w:val="left"/>
        <w:rPr>
          <w:rFonts w:hint="eastAsia" w:ascii="宋体" w:hAnsi="宋体" w:cs="宋体"/>
          <w:color w:val="000000"/>
          <w:sz w:val="28"/>
          <w:highlight w:val="none"/>
        </w:rPr>
      </w:pPr>
      <w:r>
        <w:rPr>
          <w:rFonts w:hint="eastAsia" w:ascii="宋体" w:hAnsi="宋体" w:cs="宋体"/>
          <w:color w:val="000000"/>
          <w:sz w:val="28"/>
          <w:highlight w:val="none"/>
        </w:rPr>
        <w:t>法定代表人或其委托代理人：</w:t>
      </w:r>
      <w:r>
        <w:rPr>
          <w:rFonts w:hint="eastAsia" w:ascii="宋体" w:hAnsi="宋体" w:cs="宋体"/>
          <w:color w:val="000000"/>
          <w:highlight w:val="none"/>
          <w:u w:val="single"/>
        </w:rPr>
        <w:t xml:space="preserve">       </w:t>
      </w:r>
      <w:r>
        <w:rPr>
          <w:rFonts w:hint="eastAsia" w:ascii="宋体" w:hAnsi="宋体" w:cs="宋体"/>
          <w:color w:val="000000"/>
          <w:sz w:val="28"/>
          <w:highlight w:val="none"/>
        </w:rPr>
        <w:t>（签字）</w:t>
      </w:r>
    </w:p>
    <w:p w14:paraId="5BE2B34D">
      <w:pPr>
        <w:spacing w:line="360" w:lineRule="auto"/>
        <w:ind w:firstLine="1120" w:firstLineChars="400"/>
        <w:jc w:val="left"/>
        <w:rPr>
          <w:rFonts w:hint="eastAsia" w:ascii="宋体" w:hAnsi="宋体" w:cs="宋体"/>
          <w:color w:val="000000"/>
          <w:sz w:val="28"/>
          <w:highlight w:val="none"/>
        </w:rPr>
      </w:pPr>
      <w:r>
        <w:rPr>
          <w:rFonts w:hint="eastAsia" w:ascii="Times New Roman" w:hAnsi="Times New Roman" w:cs="Times New Roman"/>
          <w:color w:val="000000"/>
          <w:sz w:val="28"/>
          <w:highlight w:val="none"/>
        </w:rPr>
        <w:t>Représentant légal ou son mandataire : ____________________ (signature)</w:t>
      </w:r>
    </w:p>
    <w:p w14:paraId="420C2E2B">
      <w:pPr>
        <w:jc w:val="center"/>
        <w:rPr>
          <w:rFonts w:hint="eastAsia" w:ascii="宋体" w:hAnsi="宋体" w:cs="宋体"/>
          <w:highlight w:val="none"/>
        </w:rPr>
      </w:pPr>
    </w:p>
    <w:p w14:paraId="4717E22C">
      <w:pPr>
        <w:jc w:val="center"/>
        <w:rPr>
          <w:rFonts w:hint="eastAsia" w:ascii="宋体" w:hAnsi="宋体" w:cs="宋体"/>
          <w:color w:val="000000"/>
          <w:sz w:val="28"/>
          <w:highlight w:val="none"/>
        </w:rPr>
      </w:pPr>
      <w:r>
        <w:rPr>
          <w:rFonts w:hint="eastAsia" w:ascii="宋体" w:hAnsi="宋体" w:cs="宋体"/>
          <w:color w:val="000000"/>
          <w:highlight w:val="none"/>
          <w:u w:val="single"/>
        </w:rPr>
        <w:t xml:space="preserve">       </w:t>
      </w:r>
      <w:r>
        <w:rPr>
          <w:rFonts w:hint="eastAsia" w:ascii="宋体" w:hAnsi="宋体" w:cs="宋体"/>
          <w:color w:val="000000"/>
          <w:sz w:val="28"/>
          <w:highlight w:val="none"/>
        </w:rPr>
        <w:t>年</w:t>
      </w:r>
      <w:r>
        <w:rPr>
          <w:rFonts w:hint="eastAsia" w:ascii="宋体" w:hAnsi="宋体" w:cs="宋体"/>
          <w:color w:val="000000"/>
          <w:highlight w:val="none"/>
          <w:u w:val="single"/>
        </w:rPr>
        <w:t xml:space="preserve">       </w:t>
      </w:r>
      <w:r>
        <w:rPr>
          <w:rFonts w:hint="eastAsia" w:ascii="宋体" w:hAnsi="宋体" w:cs="宋体"/>
          <w:color w:val="000000"/>
          <w:sz w:val="28"/>
          <w:highlight w:val="none"/>
        </w:rPr>
        <w:t>月</w:t>
      </w:r>
      <w:r>
        <w:rPr>
          <w:rFonts w:hint="eastAsia" w:ascii="宋体" w:hAnsi="宋体" w:cs="宋体"/>
          <w:color w:val="000000"/>
          <w:highlight w:val="none"/>
          <w:u w:val="single"/>
        </w:rPr>
        <w:t xml:space="preserve">       </w:t>
      </w:r>
      <w:r>
        <w:rPr>
          <w:rFonts w:hint="eastAsia" w:ascii="宋体" w:hAnsi="宋体" w:cs="宋体"/>
          <w:color w:val="000000"/>
          <w:sz w:val="28"/>
          <w:highlight w:val="none"/>
        </w:rPr>
        <w:t>日</w:t>
      </w:r>
    </w:p>
    <w:p w14:paraId="6323B606">
      <w:pPr>
        <w:jc w:val="center"/>
        <w:rPr>
          <w:rFonts w:hint="eastAsia" w:ascii="宋体" w:hAnsi="宋体" w:cs="宋体"/>
          <w:color w:val="000000"/>
          <w:sz w:val="28"/>
          <w:highlight w:val="none"/>
        </w:rPr>
      </w:pPr>
      <w:r>
        <w:rPr>
          <w:rFonts w:hint="eastAsia" w:ascii="Times New Roman" w:hAnsi="Times New Roman" w:cs="Times New Roman"/>
          <w:color w:val="000000"/>
          <w:sz w:val="28"/>
          <w:highlight w:val="none"/>
        </w:rPr>
        <w:t>____ / ____ / ______</w:t>
      </w:r>
    </w:p>
    <w:p w14:paraId="703E7C3B">
      <w:pPr>
        <w:jc w:val="center"/>
        <w:rPr>
          <w:rFonts w:hint="eastAsia" w:ascii="宋体" w:hAnsi="宋体" w:cs="宋体"/>
          <w:color w:val="000000"/>
          <w:sz w:val="28"/>
          <w:highlight w:val="none"/>
        </w:rPr>
        <w:sectPr>
          <w:pgSz w:w="11906" w:h="16838"/>
          <w:pgMar w:top="1417" w:right="1134" w:bottom="1134" w:left="1417" w:header="851" w:footer="850" w:gutter="0"/>
          <w:pgBorders>
            <w:top w:val="none" w:sz="0" w:space="0"/>
            <w:left w:val="none" w:sz="0" w:space="0"/>
            <w:bottom w:val="none" w:sz="0" w:space="0"/>
            <w:right w:val="none" w:sz="0" w:space="0"/>
          </w:pgBorders>
          <w:pgNumType w:fmt="decimal"/>
          <w:cols w:space="720" w:num="1"/>
          <w:titlePg/>
          <w:rtlGutter w:val="0"/>
          <w:docGrid w:linePitch="312" w:charSpace="0"/>
        </w:sectPr>
      </w:pPr>
    </w:p>
    <w:p w14:paraId="5B0530F3">
      <w:pPr>
        <w:pStyle w:val="3"/>
        <w:rPr>
          <w:rFonts w:hint="eastAsia"/>
          <w:highlight w:val="none"/>
        </w:rPr>
      </w:pPr>
    </w:p>
    <w:p w14:paraId="11DE9736">
      <w:pPr>
        <w:pStyle w:val="3"/>
        <w:widowControl/>
        <w:spacing w:before="0" w:after="0" w:line="360" w:lineRule="auto"/>
        <w:jc w:val="center"/>
        <w:rPr>
          <w:color w:val="auto"/>
          <w:highlight w:val="none"/>
        </w:rPr>
      </w:pPr>
      <w:bookmarkStart w:id="122" w:name="_Toc21147"/>
      <w:bookmarkStart w:id="123" w:name="_Toc5714781"/>
      <w:bookmarkStart w:id="124" w:name="_Toc184635138"/>
      <w:bookmarkStart w:id="125" w:name="_Toc6702500"/>
      <w:bookmarkStart w:id="126" w:name="_Toc13649"/>
      <w:bookmarkStart w:id="127" w:name="_Toc64635491"/>
      <w:bookmarkStart w:id="128" w:name="_Toc14803"/>
      <w:bookmarkStart w:id="129" w:name="_Toc3418"/>
      <w:bookmarkStart w:id="130" w:name="_Toc24789"/>
      <w:bookmarkStart w:id="131" w:name="_Toc12466"/>
      <w:bookmarkStart w:id="132" w:name="_Toc32535"/>
      <w:bookmarkStart w:id="133" w:name="_Toc15869"/>
      <w:bookmarkStart w:id="134" w:name="_Toc32617"/>
      <w:bookmarkStart w:id="135" w:name="_Toc7714"/>
      <w:bookmarkStart w:id="136" w:name="_Toc6701343"/>
      <w:bookmarkStart w:id="137" w:name="_Toc20768"/>
      <w:r>
        <w:rPr>
          <w:rFonts w:hint="eastAsia" w:ascii="宋体" w:hAnsi="宋体" w:eastAsia="宋体" w:cs="宋体"/>
          <w:bCs w:val="0"/>
          <w:sz w:val="28"/>
          <w:szCs w:val="28"/>
          <w:highlight w:val="none"/>
        </w:rPr>
        <w:t>目  录</w:t>
      </w:r>
      <w:bookmarkEnd w:id="122"/>
    </w:p>
    <w:p w14:paraId="5B776EE1">
      <w:pPr>
        <w:widowControl/>
        <w:spacing w:before="0" w:after="0" w:line="360" w:lineRule="auto"/>
        <w:jc w:val="center"/>
        <w:rPr>
          <w:color w:val="auto"/>
          <w:highlight w:val="none"/>
        </w:rPr>
      </w:pPr>
      <w:r>
        <w:rPr>
          <w:rFonts w:hint="eastAsia" w:ascii="Times New Roman" w:hAnsi="Times New Roman" w:eastAsia="宋体" w:cs="Times New Roman"/>
          <w:bCs w:val="0"/>
          <w:sz w:val="28"/>
          <w:szCs w:val="28"/>
          <w:highlight w:val="none"/>
        </w:rPr>
        <w:t>TABLE DES MATIÈRES</w:t>
      </w:r>
    </w:p>
    <w:p w14:paraId="0564A3A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ascii="Times New Roman" w:hAnsi="Times New Roman"/>
          <w:color w:val="auto"/>
          <w:highlight w:val="none"/>
        </w:rPr>
      </w:pPr>
      <w:r>
        <w:rPr>
          <w:rFonts w:ascii="Times New Roman" w:hAnsi="Times New Roman"/>
          <w:color w:val="auto"/>
          <w:highlight w:val="none"/>
        </w:rPr>
        <w:t>一、</w:t>
      </w:r>
      <w:r>
        <w:rPr>
          <w:rFonts w:hint="eastAsia" w:ascii="Times New Roman" w:hAnsi="Times New Roman" w:eastAsia="宋体"/>
          <w:color w:val="auto"/>
          <w:highlight w:val="none"/>
          <w:lang w:eastAsia="zh-CN"/>
        </w:rPr>
        <w:t>响应</w:t>
      </w:r>
      <w:r>
        <w:rPr>
          <w:rFonts w:ascii="Times New Roman" w:hAnsi="Times New Roman"/>
          <w:color w:val="auto"/>
          <w:highlight w:val="none"/>
        </w:rPr>
        <w:t>函</w:t>
      </w:r>
    </w:p>
    <w:p w14:paraId="1D017272">
      <w:pPr>
        <w:keepLines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ascii="Times New Roman" w:hAnsi="Times New Roman"/>
          <w:color w:val="auto"/>
          <w:highlight w:val="none"/>
        </w:rPr>
      </w:pPr>
      <w:r>
        <w:rPr>
          <w:rFonts w:ascii="Times New Roman" w:hAnsi="Times New Roman" w:cs="Times New Roman"/>
          <w:color w:val="auto"/>
          <w:highlight w:val="none"/>
        </w:rPr>
        <w:t>I. Lettre de réponse</w:t>
      </w:r>
    </w:p>
    <w:p w14:paraId="30AF2FE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二</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报价格式</w:t>
      </w:r>
    </w:p>
    <w:p w14:paraId="044D9119">
      <w:pPr>
        <w:keepLines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II. Format de l’offre financière</w:t>
      </w:r>
    </w:p>
    <w:p w14:paraId="79743B8B">
      <w:pPr>
        <w:spacing w:before="0" w:after="0" w:line="360" w:lineRule="auto"/>
        <w:outlineLvl w:val="9"/>
        <w:rPr>
          <w:rFonts w:hint="eastAsia" w:ascii="宋体" w:hAnsi="宋体" w:eastAsia="宋体" w:cs="宋体"/>
          <w:bCs w:val="0"/>
          <w:szCs w:val="21"/>
          <w:highlight w:val="none"/>
        </w:rPr>
      </w:pPr>
    </w:p>
    <w:p w14:paraId="56596756">
      <w:pPr>
        <w:pStyle w:val="3"/>
        <w:spacing w:before="0" w:after="0" w:line="360" w:lineRule="auto"/>
        <w:rPr>
          <w:rFonts w:hint="eastAsia" w:ascii="宋体" w:hAnsi="宋体" w:eastAsia="宋体" w:cs="宋体"/>
          <w:bCs w:val="0"/>
          <w:szCs w:val="21"/>
          <w:highlight w:val="none"/>
        </w:rPr>
        <w:sectPr>
          <w:footerReference r:id="rId11" w:type="default"/>
          <w:pgSz w:w="11906" w:h="16838"/>
          <w:pgMar w:top="1417" w:right="1134" w:bottom="1134" w:left="1417" w:header="851" w:footer="850" w:gutter="0"/>
          <w:pgBorders>
            <w:top w:val="none" w:sz="0" w:space="0"/>
            <w:left w:val="none" w:sz="0" w:space="0"/>
            <w:bottom w:val="none" w:sz="0" w:space="0"/>
            <w:right w:val="none" w:sz="0" w:space="0"/>
          </w:pgBorders>
          <w:pgNumType w:fmt="decimal"/>
          <w:cols w:space="720" w:num="1"/>
          <w:titlePg/>
          <w:rtlGutter w:val="0"/>
          <w:docGrid w:linePitch="312" w:charSpace="0"/>
        </w:sectPr>
      </w:pPr>
    </w:p>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14:paraId="31DB3382">
      <w:pPr>
        <w:pStyle w:val="3"/>
        <w:spacing w:before="0" w:after="0" w:line="360" w:lineRule="auto"/>
        <w:jc w:val="center"/>
        <w:rPr>
          <w:rFonts w:hint="eastAsia" w:ascii="宋体" w:hAnsi="宋体" w:eastAsia="宋体" w:cs="宋体"/>
          <w:bCs w:val="0"/>
          <w:szCs w:val="21"/>
          <w:highlight w:val="none"/>
        </w:rPr>
      </w:pPr>
      <w:bookmarkStart w:id="138" w:name="_Toc1581"/>
      <w:bookmarkStart w:id="139" w:name="_Toc28433"/>
      <w:bookmarkStart w:id="140" w:name="_Toc6561426"/>
      <w:bookmarkStart w:id="141" w:name="_Toc492288514"/>
      <w:bookmarkStart w:id="142" w:name="_Toc9513"/>
      <w:bookmarkStart w:id="143" w:name="_Toc30268"/>
      <w:r>
        <w:rPr>
          <w:rFonts w:hint="eastAsia" w:ascii="宋体" w:hAnsi="宋体" w:eastAsia="宋体" w:cs="宋体"/>
          <w:bCs w:val="0"/>
          <w:szCs w:val="21"/>
          <w:highlight w:val="none"/>
        </w:rPr>
        <w:t>一、</w:t>
      </w:r>
      <w:r>
        <w:rPr>
          <w:rFonts w:hint="eastAsia" w:ascii="宋体" w:hAnsi="宋体" w:eastAsia="宋体" w:cs="宋体"/>
          <w:bCs w:val="0"/>
          <w:szCs w:val="21"/>
          <w:highlight w:val="none"/>
          <w:lang w:eastAsia="zh-CN"/>
        </w:rPr>
        <w:t>响应</w:t>
      </w:r>
      <w:r>
        <w:rPr>
          <w:rFonts w:hint="eastAsia" w:ascii="宋体" w:hAnsi="宋体" w:eastAsia="宋体" w:cs="宋体"/>
          <w:bCs w:val="0"/>
          <w:szCs w:val="21"/>
          <w:highlight w:val="none"/>
        </w:rPr>
        <w:t>函</w:t>
      </w:r>
      <w:bookmarkEnd w:id="138"/>
      <w:bookmarkEnd w:id="139"/>
      <w:bookmarkEnd w:id="140"/>
      <w:bookmarkEnd w:id="141"/>
      <w:bookmarkEnd w:id="142"/>
    </w:p>
    <w:p w14:paraId="483B1A46">
      <w:pPr>
        <w:spacing w:before="0" w:after="0" w:line="360" w:lineRule="auto"/>
        <w:jc w:val="center"/>
        <w:rPr>
          <w:rFonts w:hint="eastAsia" w:ascii="宋体" w:hAnsi="宋体" w:eastAsia="宋体" w:cs="宋体"/>
          <w:bCs w:val="0"/>
          <w:szCs w:val="21"/>
          <w:highlight w:val="none"/>
        </w:rPr>
      </w:pPr>
      <w:r>
        <w:rPr>
          <w:rFonts w:hint="eastAsia" w:ascii="Times New Roman" w:hAnsi="Times New Roman" w:eastAsia="宋体" w:cs="Times New Roman"/>
          <w:bCs w:val="0"/>
          <w:szCs w:val="21"/>
          <w:highlight w:val="none"/>
        </w:rPr>
        <w:t>I. Lettre de réponse</w:t>
      </w:r>
    </w:p>
    <w:p w14:paraId="57C6B44D">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u w:val="single"/>
        </w:rPr>
        <w:t xml:space="preserve">                     </w:t>
      </w:r>
      <w:r>
        <w:rPr>
          <w:rFonts w:hint="eastAsia" w:ascii="宋体" w:hAnsi="宋体" w:cs="宋体"/>
          <w:szCs w:val="21"/>
          <w:highlight w:val="none"/>
        </w:rPr>
        <w:t>（</w:t>
      </w:r>
      <w:r>
        <w:rPr>
          <w:rFonts w:hint="eastAsia" w:ascii="宋体" w:hAnsi="宋体" w:eastAsia="宋体" w:cs="宋体"/>
          <w:szCs w:val="21"/>
          <w:highlight w:val="none"/>
          <w:lang w:eastAsia="zh-CN"/>
        </w:rPr>
        <w:t>采购人</w:t>
      </w:r>
      <w:r>
        <w:rPr>
          <w:rFonts w:hint="eastAsia" w:ascii="宋体" w:hAnsi="宋体" w:cs="宋体"/>
          <w:szCs w:val="21"/>
          <w:highlight w:val="none"/>
        </w:rPr>
        <w:t xml:space="preserve">名称）: </w:t>
      </w:r>
    </w:p>
    <w:p w14:paraId="05FC5546">
      <w:pPr>
        <w:adjustRightInd w:val="0"/>
        <w:snapToGrid w:val="0"/>
        <w:spacing w:line="360" w:lineRule="auto"/>
        <w:rPr>
          <w:rFonts w:hint="eastAsia" w:ascii="宋体" w:hAnsi="宋体" w:cs="宋体"/>
          <w:szCs w:val="21"/>
          <w:highlight w:val="none"/>
        </w:rPr>
      </w:pPr>
      <w:r>
        <w:rPr>
          <w:rFonts w:hint="eastAsia" w:ascii="Times New Roman" w:hAnsi="Times New Roman" w:cs="Times New Roman"/>
          <w:szCs w:val="21"/>
          <w:highlight w:val="none"/>
        </w:rPr>
        <w:t>(Nom de l’Acheteur) :</w:t>
      </w:r>
    </w:p>
    <w:p w14:paraId="33AE884B">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cs="宋体"/>
          <w:szCs w:val="21"/>
          <w:highlight w:val="none"/>
        </w:rPr>
        <w:t>1．我方已仔细研究了</w:t>
      </w:r>
      <w:r>
        <w:rPr>
          <w:rFonts w:hint="eastAsia" w:ascii="宋体" w:hAnsi="宋体" w:cs="宋体"/>
          <w:szCs w:val="21"/>
          <w:highlight w:val="none"/>
          <w:u w:val="single"/>
        </w:rPr>
        <w:t xml:space="preserve">                     </w:t>
      </w:r>
      <w:r>
        <w:rPr>
          <w:rFonts w:hint="eastAsia" w:ascii="宋体" w:hAnsi="宋体" w:cs="宋体"/>
          <w:szCs w:val="21"/>
          <w:highlight w:val="none"/>
        </w:rPr>
        <w:t>（项目名称）谈判采购文件的全部内容，愿意按照本响应函及报价表所列含税代理服务费率提供服务，服务期限按采购文件及合同约定执行。</w:t>
      </w:r>
    </w:p>
    <w:p w14:paraId="0F734070">
      <w:pPr>
        <w:adjustRightInd w:val="0"/>
        <w:snapToGrid w:val="0"/>
        <w:spacing w:line="360" w:lineRule="auto"/>
        <w:ind w:firstLine="420" w:firstLineChars="200"/>
        <w:rPr>
          <w:rFonts w:ascii="宋体" w:hAnsi="宋体" w:eastAsia="宋体" w:cs="Times New Roman"/>
          <w:szCs w:val="21"/>
          <w:highlight w:val="none"/>
        </w:rPr>
      </w:pPr>
      <w:r>
        <w:rPr>
          <w:rFonts w:hint="eastAsia" w:ascii="Times New Roman" w:hAnsi="Times New Roman" w:cs="Times New Roman"/>
          <w:szCs w:val="21"/>
          <w:highlight w:val="none"/>
        </w:rPr>
        <w:t>1. Après avoir étudié attentivement l’intégralité du dossier de consultation du projet ____________________ (nom du projet), nous proposons de fournir les services selon les taux des frais de service d’agence, taxes comprises, indiqués dans la présente lettre de réponse et le tableau de prix ; la durée des services sera celle prévue par le dossier de consultation et le contrat.</w:t>
      </w:r>
    </w:p>
    <w:p w14:paraId="21804AEB">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2．我方承诺在</w:t>
      </w:r>
      <w:r>
        <w:rPr>
          <w:rFonts w:hint="eastAsia" w:ascii="宋体" w:hAnsi="宋体" w:eastAsia="宋体" w:cs="宋体"/>
          <w:szCs w:val="21"/>
          <w:highlight w:val="none"/>
          <w:lang w:eastAsia="zh-CN"/>
        </w:rPr>
        <w:t>响应</w:t>
      </w:r>
      <w:r>
        <w:rPr>
          <w:rFonts w:hint="eastAsia" w:ascii="宋体" w:hAnsi="宋体" w:cs="宋体"/>
          <w:szCs w:val="21"/>
          <w:highlight w:val="none"/>
        </w:rPr>
        <w:t>有效期内不修改、撤销</w:t>
      </w:r>
      <w:r>
        <w:rPr>
          <w:rFonts w:hint="eastAsia" w:ascii="宋体" w:hAnsi="宋体" w:eastAsia="宋体" w:cs="宋体"/>
          <w:szCs w:val="21"/>
          <w:highlight w:val="none"/>
          <w:lang w:eastAsia="zh-CN"/>
        </w:rPr>
        <w:t>响应</w:t>
      </w:r>
      <w:r>
        <w:rPr>
          <w:rFonts w:hint="eastAsia" w:ascii="宋体" w:hAnsi="宋体" w:cs="宋体"/>
          <w:szCs w:val="21"/>
          <w:highlight w:val="none"/>
        </w:rPr>
        <w:t>文件。</w:t>
      </w:r>
    </w:p>
    <w:p w14:paraId="6FB5DB5A">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2. Nous nous engageons à ne pas modifier ni retirer notre dossier de réponse pendant sa période de validité.</w:t>
      </w:r>
    </w:p>
    <w:p w14:paraId="071507B4">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val="en-US" w:eastAsia="zh-CN"/>
        </w:rPr>
        <w:t>3</w:t>
      </w:r>
      <w:r>
        <w:rPr>
          <w:rFonts w:hint="eastAsia" w:ascii="宋体" w:hAnsi="宋体" w:cs="宋体"/>
          <w:szCs w:val="21"/>
          <w:highlight w:val="none"/>
        </w:rPr>
        <w:t>．如我方</w:t>
      </w:r>
      <w:r>
        <w:rPr>
          <w:rFonts w:hint="eastAsia" w:ascii="宋体" w:hAnsi="宋体" w:eastAsia="宋体" w:cs="宋体"/>
          <w:szCs w:val="21"/>
          <w:highlight w:val="none"/>
          <w:lang w:eastAsia="zh-CN"/>
        </w:rPr>
        <w:t>成交</w:t>
      </w:r>
      <w:r>
        <w:rPr>
          <w:rFonts w:hint="eastAsia" w:ascii="宋体" w:hAnsi="宋体" w:cs="宋体"/>
          <w:szCs w:val="21"/>
          <w:highlight w:val="none"/>
        </w:rPr>
        <w:t>：</w:t>
      </w:r>
    </w:p>
    <w:p w14:paraId="2B227B6B">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lang w:val="en-US" w:eastAsia="zh-CN"/>
        </w:rPr>
        <w:t>3. Si notre offre est retenue :</w:t>
      </w:r>
    </w:p>
    <w:p w14:paraId="4583284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eastAsia" w:ascii="宋体" w:hAnsi="宋体" w:cs="宋体"/>
          <w:szCs w:val="21"/>
          <w:highlight w:val="none"/>
        </w:rPr>
      </w:pPr>
      <w:r>
        <w:rPr>
          <w:rFonts w:hint="eastAsia" w:ascii="宋体" w:hAnsi="宋体" w:cs="宋体"/>
          <w:szCs w:val="21"/>
          <w:highlight w:val="none"/>
        </w:rPr>
        <w:t>（1）我方承诺在收到</w:t>
      </w:r>
      <w:r>
        <w:rPr>
          <w:rFonts w:hint="eastAsia" w:ascii="宋体" w:hAnsi="宋体" w:eastAsia="宋体" w:cs="宋体"/>
          <w:szCs w:val="21"/>
          <w:highlight w:val="none"/>
          <w:lang w:eastAsia="zh-CN"/>
        </w:rPr>
        <w:t>成交</w:t>
      </w:r>
      <w:r>
        <w:rPr>
          <w:rFonts w:hint="eastAsia" w:ascii="宋体" w:hAnsi="宋体" w:cs="宋体"/>
          <w:szCs w:val="21"/>
          <w:highlight w:val="none"/>
        </w:rPr>
        <w:t>通知书后，在</w:t>
      </w:r>
      <w:r>
        <w:rPr>
          <w:rFonts w:hint="eastAsia" w:ascii="宋体" w:hAnsi="宋体" w:eastAsia="宋体" w:cs="宋体"/>
          <w:szCs w:val="21"/>
          <w:highlight w:val="none"/>
          <w:lang w:eastAsia="zh-CN"/>
        </w:rPr>
        <w:t>成交</w:t>
      </w:r>
      <w:r>
        <w:rPr>
          <w:rFonts w:hint="eastAsia" w:ascii="宋体" w:hAnsi="宋体" w:cs="宋体"/>
          <w:szCs w:val="21"/>
          <w:highlight w:val="none"/>
        </w:rPr>
        <w:t>通知书规定的期限内与你方签订合同。</w:t>
      </w:r>
    </w:p>
    <w:p w14:paraId="5F38CA42">
      <w:pPr>
        <w:keepLines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eastAsia" w:ascii="宋体" w:hAnsi="宋体" w:cs="宋体"/>
          <w:szCs w:val="21"/>
          <w:highlight w:val="none"/>
        </w:rPr>
      </w:pPr>
      <w:r>
        <w:rPr>
          <w:rFonts w:hint="eastAsia" w:ascii="Times New Roman" w:hAnsi="Times New Roman" w:cs="Times New Roman"/>
          <w:szCs w:val="21"/>
          <w:highlight w:val="none"/>
        </w:rPr>
        <w:t>(1) Nous nous engageons, après réception de la notification d’attribution, à conclure avec vous le contrat dans le délai indiqué dans cette notification.</w:t>
      </w:r>
    </w:p>
    <w:p w14:paraId="1FCE7B2A">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（2）随同本</w:t>
      </w:r>
      <w:r>
        <w:rPr>
          <w:rFonts w:hint="eastAsia" w:ascii="宋体" w:hAnsi="宋体" w:eastAsia="宋体" w:cs="宋体"/>
          <w:szCs w:val="21"/>
          <w:highlight w:val="none"/>
          <w:lang w:eastAsia="zh-CN"/>
        </w:rPr>
        <w:t>响应</w:t>
      </w:r>
      <w:r>
        <w:rPr>
          <w:rFonts w:hint="eastAsia" w:ascii="宋体" w:hAnsi="宋体" w:cs="宋体"/>
          <w:szCs w:val="21"/>
          <w:highlight w:val="none"/>
        </w:rPr>
        <w:t>函递交的</w:t>
      </w:r>
      <w:r>
        <w:rPr>
          <w:rFonts w:hint="eastAsia" w:ascii="宋体" w:hAnsi="宋体" w:eastAsia="宋体" w:cs="宋体"/>
          <w:szCs w:val="21"/>
          <w:highlight w:val="none"/>
          <w:lang w:eastAsia="zh-CN"/>
        </w:rPr>
        <w:t>响应</w:t>
      </w:r>
      <w:r>
        <w:rPr>
          <w:rFonts w:hint="eastAsia" w:ascii="宋体" w:hAnsi="宋体" w:cs="宋体"/>
          <w:szCs w:val="21"/>
          <w:highlight w:val="none"/>
        </w:rPr>
        <w:t>函附录属于合同文件的组成部分。</w:t>
      </w:r>
    </w:p>
    <w:p w14:paraId="7DF97327">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(2) L’annexe à la présente lettre de réponse remise avec celle-ci fait partie intégrante des documents contractuels.</w:t>
      </w:r>
    </w:p>
    <w:p w14:paraId="4A7C4B3A">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（3）我方承诺接受谈判采购文件规定的服务、结算、保密及违约责任等要求。</w:t>
      </w:r>
    </w:p>
    <w:p w14:paraId="47F32E9A">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(3) Nous nous engageons à accepter les exigences du dossier de consultation relatives notamment aux services, au règlement, à la confidentialité et à la responsabilité en cas de manquement.</w:t>
      </w:r>
    </w:p>
    <w:p w14:paraId="6290F5E9">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（4）我方承诺在合同约定的期限内持续、完整地提供合同约定的全部服务。</w:t>
      </w:r>
    </w:p>
    <w:p w14:paraId="66901A96">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rPr>
        <w:t>(4) Nous nous engageons à fournir de manière continue et complète l’ensemble des services prévus au contrat pendant toute la durée convenue.</w:t>
      </w:r>
    </w:p>
    <w:p w14:paraId="255148D3">
      <w:pP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val="en-US" w:eastAsia="zh-CN"/>
        </w:rPr>
        <w:t>4</w:t>
      </w:r>
      <w:r>
        <w:rPr>
          <w:rFonts w:hint="eastAsia" w:ascii="宋体" w:hAnsi="宋体" w:cs="宋体"/>
          <w:szCs w:val="21"/>
          <w:highlight w:val="none"/>
        </w:rPr>
        <w:t>．我方在此声明，所递交的</w:t>
      </w:r>
      <w:r>
        <w:rPr>
          <w:rFonts w:hint="eastAsia" w:ascii="宋体" w:hAnsi="宋体" w:eastAsia="宋体" w:cs="宋体"/>
          <w:szCs w:val="21"/>
          <w:highlight w:val="none"/>
          <w:lang w:eastAsia="zh-CN"/>
        </w:rPr>
        <w:t>响应</w:t>
      </w:r>
      <w:r>
        <w:rPr>
          <w:rFonts w:hint="eastAsia" w:ascii="宋体" w:hAnsi="宋体" w:cs="宋体"/>
          <w:szCs w:val="21"/>
          <w:highlight w:val="none"/>
        </w:rPr>
        <w:t>文件及有关资料内容完整、真实和准确。</w:t>
      </w:r>
    </w:p>
    <w:p w14:paraId="7897DCDC">
      <w:pPr>
        <w:adjustRightInd w:val="0"/>
        <w:snapToGrid w:val="0"/>
        <w:spacing w:line="360" w:lineRule="auto"/>
        <w:ind w:firstLine="420" w:firstLineChars="200"/>
        <w:rPr>
          <w:rFonts w:hint="eastAsia" w:ascii="宋体" w:hAnsi="宋体" w:cs="宋体"/>
          <w:szCs w:val="21"/>
          <w:highlight w:val="none"/>
        </w:rPr>
      </w:pPr>
      <w:r>
        <w:rPr>
          <w:rFonts w:hint="eastAsia" w:ascii="Times New Roman" w:hAnsi="Times New Roman" w:cs="Times New Roman"/>
          <w:szCs w:val="21"/>
          <w:highlight w:val="none"/>
          <w:lang w:val="en-US" w:eastAsia="zh-CN"/>
        </w:rPr>
        <w:t>4. Nous déclarons que le dossier de réponse et les documents remis sont complets, authentiques et exacts.</w:t>
      </w:r>
    </w:p>
    <w:p w14:paraId="0E0A25AC">
      <w:pPr>
        <w:adjustRightInd w:val="0"/>
        <w:snapToGrid w:val="0"/>
        <w:spacing w:line="360" w:lineRule="auto"/>
        <w:ind w:firstLine="420"/>
        <w:rPr>
          <w:rFonts w:hint="eastAsia" w:ascii="宋体" w:hAnsi="宋体" w:cs="宋体"/>
          <w:szCs w:val="21"/>
          <w:highlight w:val="none"/>
        </w:rPr>
      </w:pPr>
      <w:r>
        <w:rPr>
          <w:rFonts w:hint="eastAsia" w:ascii="宋体" w:hAnsi="宋体" w:cs="宋体"/>
          <w:szCs w:val="21"/>
          <w:highlight w:val="none"/>
          <w:lang w:val="en-US" w:eastAsia="zh-CN"/>
        </w:rPr>
        <w:t>5</w:t>
      </w:r>
      <w:r>
        <w:rPr>
          <w:rFonts w:hint="eastAsia" w:ascii="宋体" w:hAnsi="宋体" w:cs="宋体"/>
          <w:szCs w:val="21"/>
          <w:highlight w:val="none"/>
        </w:rPr>
        <w:t>.我方将严格按照有关</w:t>
      </w:r>
      <w:r>
        <w:rPr>
          <w:rFonts w:hint="eastAsia" w:ascii="宋体" w:hAnsi="宋体" w:eastAsia="宋体" w:cs="宋体"/>
          <w:szCs w:val="21"/>
          <w:highlight w:val="none"/>
          <w:lang w:val="en-US" w:eastAsia="zh-CN"/>
        </w:rPr>
        <w:t>法律法规</w:t>
      </w:r>
      <w:r>
        <w:rPr>
          <w:rFonts w:hint="eastAsia" w:ascii="宋体" w:hAnsi="宋体" w:cs="宋体"/>
          <w:szCs w:val="21"/>
          <w:highlight w:val="none"/>
        </w:rPr>
        <w:t>及</w:t>
      </w:r>
      <w:r>
        <w:rPr>
          <w:rFonts w:hint="eastAsia" w:ascii="宋体" w:hAnsi="宋体" w:cs="宋体"/>
          <w:szCs w:val="21"/>
          <w:highlight w:val="none"/>
          <w:lang w:eastAsia="zh-CN"/>
        </w:rPr>
        <w:t>谈判文件</w:t>
      </w:r>
      <w:r>
        <w:rPr>
          <w:rFonts w:hint="eastAsia" w:ascii="宋体" w:hAnsi="宋体" w:cs="宋体"/>
          <w:szCs w:val="21"/>
          <w:highlight w:val="none"/>
        </w:rPr>
        <w:t>规定参加</w:t>
      </w:r>
      <w:r>
        <w:rPr>
          <w:rFonts w:hint="eastAsia" w:ascii="宋体" w:hAnsi="宋体" w:eastAsia="宋体" w:cs="宋体"/>
          <w:szCs w:val="21"/>
          <w:highlight w:val="none"/>
          <w:lang w:eastAsia="zh-CN"/>
        </w:rPr>
        <w:t>响应</w:t>
      </w:r>
      <w:r>
        <w:rPr>
          <w:rFonts w:hint="eastAsia" w:ascii="宋体" w:hAnsi="宋体" w:cs="宋体"/>
          <w:szCs w:val="21"/>
          <w:highlight w:val="none"/>
        </w:rPr>
        <w:t>，理解贵方不保证</w:t>
      </w:r>
      <w:r>
        <w:rPr>
          <w:rFonts w:hint="eastAsia" w:ascii="宋体" w:hAnsi="宋体" w:eastAsia="宋体" w:cs="宋体"/>
          <w:szCs w:val="21"/>
          <w:highlight w:val="none"/>
          <w:lang w:eastAsia="zh-CN"/>
        </w:rPr>
        <w:t>响应</w:t>
      </w:r>
      <w:r>
        <w:rPr>
          <w:rFonts w:hint="eastAsia" w:ascii="宋体" w:hAnsi="宋体" w:cs="宋体"/>
          <w:szCs w:val="21"/>
          <w:highlight w:val="none"/>
        </w:rPr>
        <w:t>价最低的</w:t>
      </w:r>
      <w:r>
        <w:rPr>
          <w:rFonts w:hint="eastAsia" w:ascii="宋体" w:hAnsi="宋体" w:eastAsia="宋体" w:cs="宋体"/>
          <w:szCs w:val="21"/>
          <w:highlight w:val="none"/>
          <w:lang w:eastAsia="zh-CN"/>
        </w:rPr>
        <w:t>响应</w:t>
      </w:r>
      <w:r>
        <w:rPr>
          <w:rFonts w:hint="eastAsia" w:ascii="宋体" w:hAnsi="宋体" w:cs="宋体"/>
          <w:szCs w:val="21"/>
          <w:highlight w:val="none"/>
        </w:rPr>
        <w:t>人</w:t>
      </w:r>
      <w:r>
        <w:rPr>
          <w:rFonts w:hint="eastAsia" w:ascii="宋体" w:hAnsi="宋体" w:eastAsia="宋体" w:cs="宋体"/>
          <w:szCs w:val="21"/>
          <w:highlight w:val="none"/>
          <w:lang w:eastAsia="zh-CN"/>
        </w:rPr>
        <w:t>成交</w:t>
      </w:r>
      <w:r>
        <w:rPr>
          <w:rFonts w:hint="eastAsia" w:ascii="宋体" w:hAnsi="宋体" w:cs="宋体"/>
          <w:szCs w:val="21"/>
          <w:highlight w:val="none"/>
        </w:rPr>
        <w:t>，并不要求对未</w:t>
      </w:r>
      <w:r>
        <w:rPr>
          <w:rFonts w:hint="eastAsia" w:ascii="宋体" w:hAnsi="宋体" w:eastAsia="宋体" w:cs="宋体"/>
          <w:szCs w:val="21"/>
          <w:highlight w:val="none"/>
          <w:lang w:eastAsia="zh-CN"/>
        </w:rPr>
        <w:t>成交</w:t>
      </w:r>
      <w:r>
        <w:rPr>
          <w:rFonts w:hint="eastAsia" w:ascii="宋体" w:hAnsi="宋体" w:cs="宋体"/>
          <w:szCs w:val="21"/>
          <w:highlight w:val="none"/>
        </w:rPr>
        <w:t>理由做出任何解释。</w:t>
      </w:r>
    </w:p>
    <w:p w14:paraId="25346C06">
      <w:pPr>
        <w:adjustRightInd w:val="0"/>
        <w:snapToGrid w:val="0"/>
        <w:spacing w:line="360" w:lineRule="auto"/>
        <w:ind w:firstLine="420"/>
        <w:rPr>
          <w:rFonts w:hint="eastAsia" w:ascii="宋体" w:hAnsi="宋体" w:cs="宋体"/>
          <w:szCs w:val="21"/>
          <w:highlight w:val="none"/>
        </w:rPr>
      </w:pPr>
      <w:r>
        <w:rPr>
          <w:rFonts w:hint="eastAsia" w:ascii="Times New Roman" w:hAnsi="Times New Roman" w:cs="Times New Roman"/>
          <w:szCs w:val="21"/>
          <w:highlight w:val="none"/>
          <w:lang w:val="en-US" w:eastAsia="zh-CN"/>
        </w:rPr>
        <w:t>5. Nous participerons à la présente procédure conformément aux lois, règlements et dispositions du dossier de consultation. Nous comprenons que vous ne garantissez pas l’attribution au soumissionnaire proposant le prix le plus bas et que vous n’êtes pas tenu de justifier la non-attribution.</w:t>
      </w:r>
    </w:p>
    <w:p w14:paraId="23A6AC97">
      <w:pPr>
        <w:adjustRightInd w:val="0"/>
        <w:snapToGrid w:val="0"/>
        <w:spacing w:line="360" w:lineRule="auto"/>
        <w:ind w:firstLine="420"/>
        <w:rPr>
          <w:rFonts w:hint="eastAsia"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rPr>
        <w:t>（其他补充说明）。</w:t>
      </w:r>
    </w:p>
    <w:p w14:paraId="246799B8">
      <w:pPr>
        <w:adjustRightInd w:val="0"/>
        <w:snapToGrid w:val="0"/>
        <w:spacing w:line="360" w:lineRule="auto"/>
        <w:ind w:firstLine="420"/>
        <w:rPr>
          <w:rFonts w:hint="eastAsia" w:ascii="宋体" w:hAnsi="宋体" w:cs="宋体"/>
          <w:szCs w:val="21"/>
          <w:highlight w:val="none"/>
        </w:rPr>
      </w:pPr>
      <w:r>
        <w:rPr>
          <w:rFonts w:hint="eastAsia" w:ascii="Times New Roman" w:hAnsi="Times New Roman" w:cs="Times New Roman"/>
          <w:szCs w:val="21"/>
          <w:highlight w:val="none"/>
          <w:lang w:val="en-US" w:eastAsia="zh-CN"/>
        </w:rPr>
        <w:t>6. ____________________ (autres précisions complémentaires).</w:t>
      </w:r>
    </w:p>
    <w:p w14:paraId="148BAC41">
      <w:pPr>
        <w:spacing w:line="440" w:lineRule="exact"/>
        <w:ind w:firstLine="420" w:firstLineChars="200"/>
        <w:rPr>
          <w:rFonts w:ascii="Times New Roman" w:hAnsi="Times New Roman"/>
          <w:color w:val="auto"/>
          <w:szCs w:val="21"/>
          <w:highlight w:val="none"/>
        </w:rPr>
      </w:pPr>
    </w:p>
    <w:p w14:paraId="4F7E499E">
      <w:pPr>
        <w:spacing w:line="440" w:lineRule="exact"/>
        <w:ind w:firstLine="2520" w:firstLineChars="1200"/>
        <w:jc w:val="left"/>
        <w:rPr>
          <w:rFonts w:ascii="Times New Roman" w:hAnsi="Times New Roman"/>
          <w:color w:val="auto"/>
          <w:szCs w:val="21"/>
          <w:highlight w:val="none"/>
        </w:rPr>
      </w:pPr>
      <w:r>
        <w:rPr>
          <w:rFonts w:hint="eastAsia" w:ascii="Times New Roman" w:hAnsi="Times New Roman"/>
          <w:color w:val="auto"/>
          <w:szCs w:val="21"/>
          <w:highlight w:val="none"/>
          <w:lang w:val="en-US" w:eastAsia="zh-CN"/>
        </w:rPr>
        <w:t>响 应</w:t>
      </w:r>
      <w:r>
        <w:rPr>
          <w:rFonts w:ascii="Times New Roman" w:hAnsi="Times New Roman"/>
          <w:color w:val="auto"/>
          <w:szCs w:val="21"/>
          <w:highlight w:val="none"/>
        </w:rPr>
        <w:t xml:space="preserve"> 人：</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rPr>
        <w:t>（盖单位章）</w:t>
      </w:r>
    </w:p>
    <w:p w14:paraId="41F452E3">
      <w:pPr>
        <w:spacing w:line="440" w:lineRule="exact"/>
        <w:ind w:firstLine="2520" w:firstLineChars="1200"/>
        <w:jc w:val="left"/>
        <w:rPr>
          <w:rFonts w:ascii="Times New Roman" w:hAnsi="Times New Roman"/>
          <w:color w:val="auto"/>
          <w:szCs w:val="21"/>
          <w:highlight w:val="none"/>
        </w:rPr>
      </w:pPr>
      <w:r>
        <w:rPr>
          <w:rFonts w:hint="eastAsia" w:ascii="Times New Roman" w:hAnsi="Times New Roman" w:cs="Times New Roman"/>
          <w:color w:val="auto"/>
          <w:szCs w:val="21"/>
          <w:highlight w:val="none"/>
          <w:lang w:val="en-US" w:eastAsia="zh-CN"/>
        </w:rPr>
        <w:t>Soumissionnaire : ____________________ (cachet de l’entreprise)</w:t>
      </w:r>
    </w:p>
    <w:p w14:paraId="260582D6">
      <w:pPr>
        <w:spacing w:line="440" w:lineRule="exact"/>
        <w:jc w:val="left"/>
        <w:rPr>
          <w:rFonts w:ascii="Times New Roman" w:hAnsi="Times New Roman"/>
          <w:color w:val="auto"/>
          <w:szCs w:val="21"/>
          <w:highlight w:val="none"/>
        </w:rPr>
      </w:pPr>
      <w:r>
        <w:rPr>
          <w:rFonts w:ascii="Times New Roman" w:hAnsi="Times New Roman"/>
          <w:color w:val="auto"/>
          <w:highlight w:val="none"/>
        </w:rPr>
        <w:t xml:space="preserve">                        法定代表人（单位负责人）</w:t>
      </w:r>
      <w:r>
        <w:rPr>
          <w:rFonts w:ascii="Times New Roman" w:hAnsi="Times New Roman"/>
          <w:color w:val="auto"/>
          <w:szCs w:val="21"/>
          <w:highlight w:val="none"/>
        </w:rPr>
        <w:t>或其委托代理人：</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rPr>
        <w:t>（签字）</w:t>
      </w:r>
    </w:p>
    <w:p w14:paraId="0DD519DD">
      <w:pPr>
        <w:spacing w:line="440" w:lineRule="exact"/>
        <w:jc w:val="left"/>
        <w:rPr>
          <w:rFonts w:ascii="Times New Roman" w:hAnsi="Times New Roman"/>
          <w:color w:val="auto"/>
          <w:szCs w:val="21"/>
          <w:highlight w:val="none"/>
        </w:rPr>
      </w:pPr>
      <w:r>
        <w:rPr>
          <w:rFonts w:ascii="Times New Roman" w:hAnsi="Times New Roman" w:cs="Times New Roman"/>
          <w:color w:val="auto"/>
          <w:highlight w:val="none"/>
        </w:rPr>
        <w:t>Représentant légal (responsable de l’entité) ou son mandataire : ____________________ (signature)</w:t>
      </w:r>
    </w:p>
    <w:p w14:paraId="09FE6793">
      <w:pPr>
        <w:spacing w:line="440" w:lineRule="exact"/>
        <w:ind w:firstLine="2520" w:firstLineChars="1200"/>
        <w:jc w:val="left"/>
        <w:rPr>
          <w:rFonts w:ascii="Times New Roman" w:hAnsi="Times New Roman"/>
          <w:color w:val="auto"/>
          <w:szCs w:val="21"/>
          <w:highlight w:val="none"/>
        </w:rPr>
      </w:pPr>
      <w:r>
        <w:rPr>
          <w:rFonts w:ascii="Times New Roman" w:hAnsi="Times New Roman"/>
          <w:color w:val="auto"/>
          <w:szCs w:val="21"/>
          <w:highlight w:val="none"/>
        </w:rPr>
        <w:t>地    址：</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p>
    <w:p w14:paraId="621DD01C">
      <w:pPr>
        <w:spacing w:line="440" w:lineRule="exact"/>
        <w:ind w:firstLine="2520" w:firstLineChars="1200"/>
        <w:jc w:val="left"/>
        <w:rPr>
          <w:rFonts w:ascii="Times New Roman" w:hAnsi="Times New Roman"/>
          <w:color w:val="auto"/>
          <w:szCs w:val="21"/>
          <w:highlight w:val="none"/>
        </w:rPr>
      </w:pPr>
      <w:r>
        <w:rPr>
          <w:rFonts w:ascii="Times New Roman" w:hAnsi="Times New Roman" w:cs="Times New Roman"/>
          <w:color w:val="auto"/>
          <w:szCs w:val="21"/>
          <w:highlight w:val="none"/>
        </w:rPr>
        <w:t>Adresse :</w:t>
      </w:r>
    </w:p>
    <w:p w14:paraId="02F725FB">
      <w:pPr>
        <w:spacing w:line="440" w:lineRule="exact"/>
        <w:ind w:firstLine="2520" w:firstLineChars="1200"/>
        <w:jc w:val="left"/>
        <w:rPr>
          <w:rFonts w:ascii="Times New Roman" w:hAnsi="Times New Roman"/>
          <w:color w:val="auto"/>
          <w:szCs w:val="21"/>
          <w:highlight w:val="none"/>
        </w:rPr>
      </w:pPr>
      <w:r>
        <w:rPr>
          <w:rFonts w:ascii="Times New Roman" w:hAnsi="Times New Roman"/>
          <w:color w:val="auto"/>
          <w:szCs w:val="21"/>
          <w:highlight w:val="none"/>
        </w:rPr>
        <w:t>网    址：</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p>
    <w:p w14:paraId="586F11B0">
      <w:pPr>
        <w:spacing w:line="440" w:lineRule="exact"/>
        <w:ind w:firstLine="2520" w:firstLineChars="1200"/>
        <w:jc w:val="left"/>
        <w:rPr>
          <w:rFonts w:ascii="Times New Roman" w:hAnsi="Times New Roman"/>
          <w:color w:val="auto"/>
          <w:szCs w:val="21"/>
          <w:highlight w:val="none"/>
        </w:rPr>
      </w:pPr>
      <w:r>
        <w:rPr>
          <w:rFonts w:ascii="Times New Roman" w:hAnsi="Times New Roman" w:cs="Times New Roman"/>
          <w:color w:val="auto"/>
          <w:szCs w:val="21"/>
          <w:highlight w:val="none"/>
        </w:rPr>
        <w:t>Site Internet :</w:t>
      </w:r>
    </w:p>
    <w:p w14:paraId="33D59985">
      <w:pPr>
        <w:spacing w:line="440" w:lineRule="exact"/>
        <w:ind w:firstLine="2520" w:firstLineChars="1200"/>
        <w:jc w:val="left"/>
        <w:rPr>
          <w:rFonts w:ascii="Times New Roman" w:hAnsi="Times New Roman"/>
          <w:color w:val="auto"/>
          <w:szCs w:val="21"/>
          <w:highlight w:val="none"/>
        </w:rPr>
      </w:pPr>
      <w:r>
        <w:rPr>
          <w:rFonts w:ascii="Times New Roman" w:hAnsi="Times New Roman"/>
          <w:color w:val="auto"/>
          <w:szCs w:val="21"/>
          <w:highlight w:val="none"/>
        </w:rPr>
        <w:t>电    话：</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p>
    <w:p w14:paraId="20A1CCB5">
      <w:pPr>
        <w:spacing w:line="440" w:lineRule="exact"/>
        <w:ind w:firstLine="2520" w:firstLineChars="1200"/>
        <w:jc w:val="left"/>
        <w:rPr>
          <w:rFonts w:ascii="Times New Roman" w:hAnsi="Times New Roman"/>
          <w:color w:val="auto"/>
          <w:szCs w:val="21"/>
          <w:highlight w:val="none"/>
        </w:rPr>
      </w:pPr>
      <w:r>
        <w:rPr>
          <w:rFonts w:ascii="Times New Roman" w:hAnsi="Times New Roman" w:cs="Times New Roman"/>
          <w:color w:val="auto"/>
          <w:szCs w:val="21"/>
          <w:highlight w:val="none"/>
        </w:rPr>
        <w:t>Téléphone :</w:t>
      </w:r>
    </w:p>
    <w:p w14:paraId="3EA07E12">
      <w:pPr>
        <w:spacing w:line="440" w:lineRule="exact"/>
        <w:ind w:firstLine="2520" w:firstLineChars="1200"/>
        <w:jc w:val="left"/>
        <w:rPr>
          <w:rFonts w:ascii="Times New Roman" w:hAnsi="Times New Roman"/>
          <w:color w:val="auto"/>
          <w:szCs w:val="21"/>
          <w:highlight w:val="none"/>
        </w:rPr>
      </w:pPr>
      <w:r>
        <w:rPr>
          <w:rFonts w:ascii="Times New Roman" w:hAnsi="Times New Roman"/>
          <w:color w:val="auto"/>
          <w:szCs w:val="21"/>
          <w:highlight w:val="none"/>
        </w:rPr>
        <w:t>传    真：</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p>
    <w:p w14:paraId="258BBCCE">
      <w:pPr>
        <w:spacing w:line="440" w:lineRule="exact"/>
        <w:ind w:firstLine="2520" w:firstLineChars="1200"/>
        <w:jc w:val="left"/>
        <w:rPr>
          <w:rFonts w:ascii="Times New Roman" w:hAnsi="Times New Roman"/>
          <w:color w:val="auto"/>
          <w:szCs w:val="21"/>
          <w:highlight w:val="none"/>
        </w:rPr>
      </w:pPr>
      <w:r>
        <w:rPr>
          <w:rFonts w:ascii="Times New Roman" w:hAnsi="Times New Roman" w:cs="Times New Roman"/>
          <w:color w:val="auto"/>
          <w:szCs w:val="21"/>
          <w:highlight w:val="none"/>
        </w:rPr>
        <w:t>Télécopie :</w:t>
      </w:r>
    </w:p>
    <w:p w14:paraId="0F685A86">
      <w:pPr>
        <w:spacing w:line="440" w:lineRule="exact"/>
        <w:ind w:firstLine="2520" w:firstLineChars="1200"/>
        <w:jc w:val="left"/>
        <w:rPr>
          <w:rFonts w:ascii="Times New Roman" w:hAnsi="Times New Roman"/>
          <w:color w:val="auto"/>
          <w:szCs w:val="21"/>
          <w:highlight w:val="none"/>
        </w:rPr>
      </w:pPr>
      <w:r>
        <w:rPr>
          <w:rFonts w:ascii="Times New Roman" w:hAnsi="Times New Roman"/>
          <w:color w:val="auto"/>
          <w:szCs w:val="21"/>
          <w:highlight w:val="none"/>
        </w:rPr>
        <w:t>邮政编码：</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p>
    <w:p w14:paraId="20579453">
      <w:pPr>
        <w:spacing w:line="440" w:lineRule="exact"/>
        <w:ind w:firstLine="2520" w:firstLineChars="1200"/>
        <w:jc w:val="left"/>
        <w:rPr>
          <w:rFonts w:ascii="Times New Roman" w:hAnsi="Times New Roman"/>
          <w:color w:val="auto"/>
          <w:szCs w:val="21"/>
          <w:highlight w:val="none"/>
        </w:rPr>
      </w:pPr>
      <w:r>
        <w:rPr>
          <w:rFonts w:ascii="Times New Roman" w:hAnsi="Times New Roman" w:cs="Times New Roman"/>
          <w:color w:val="auto"/>
          <w:szCs w:val="21"/>
          <w:highlight w:val="none"/>
        </w:rPr>
        <w:t>Code postal :</w:t>
      </w:r>
    </w:p>
    <w:p w14:paraId="07D104DA">
      <w:pPr>
        <w:spacing w:line="440" w:lineRule="exact"/>
        <w:ind w:right="840" w:firstLine="4725" w:firstLineChars="2250"/>
        <w:jc w:val="center"/>
        <w:rPr>
          <w:highlight w:val="none"/>
        </w:rPr>
      </w:pPr>
      <w:r>
        <w:rPr>
          <w:rFonts w:ascii="Times New Roman" w:hAnsi="Times New Roman"/>
          <w:color w:val="auto"/>
          <w:highlight w:val="none"/>
          <w:u w:val="single"/>
        </w:rPr>
        <w:t xml:space="preserve">      </w:t>
      </w:r>
      <w:r>
        <w:rPr>
          <w:rFonts w:ascii="Times New Roman" w:hAnsi="Times New Roman"/>
          <w:color w:val="auto"/>
          <w:szCs w:val="21"/>
          <w:highlight w:val="none"/>
        </w:rPr>
        <w:t>年</w:t>
      </w:r>
      <w:r>
        <w:rPr>
          <w:rFonts w:ascii="Times New Roman" w:hAnsi="Times New Roman"/>
          <w:color w:val="auto"/>
          <w:highlight w:val="none"/>
          <w:u w:val="single"/>
        </w:rPr>
        <w:t xml:space="preserve">      </w:t>
      </w:r>
      <w:r>
        <w:rPr>
          <w:rFonts w:ascii="Times New Roman" w:hAnsi="Times New Roman"/>
          <w:color w:val="auto"/>
          <w:szCs w:val="21"/>
          <w:highlight w:val="none"/>
        </w:rPr>
        <w:t>月</w:t>
      </w:r>
      <w:r>
        <w:rPr>
          <w:rFonts w:ascii="Times New Roman" w:hAnsi="Times New Roman"/>
          <w:color w:val="auto"/>
          <w:highlight w:val="none"/>
          <w:u w:val="single"/>
        </w:rPr>
        <w:t xml:space="preserve">      </w:t>
      </w:r>
      <w:r>
        <w:rPr>
          <w:rFonts w:ascii="Times New Roman" w:hAnsi="Times New Roman"/>
          <w:color w:val="auto"/>
          <w:szCs w:val="21"/>
          <w:highlight w:val="none"/>
        </w:rPr>
        <w:t>日</w:t>
      </w:r>
    </w:p>
    <w:p w14:paraId="35BDA953">
      <w:pPr>
        <w:spacing w:line="440" w:lineRule="exact"/>
        <w:ind w:right="840" w:firstLine="4725" w:firstLineChars="2250"/>
        <w:jc w:val="center"/>
        <w:rPr>
          <w:highlight w:val="none"/>
        </w:rPr>
      </w:pPr>
      <w:r>
        <w:rPr>
          <w:rFonts w:ascii="Times New Roman" w:hAnsi="Times New Roman" w:cs="Times New Roman"/>
          <w:color w:val="auto"/>
          <w:szCs w:val="21"/>
          <w:highlight w:val="none"/>
        </w:rPr>
        <w:t>____ / ____ / ______</w:t>
      </w:r>
    </w:p>
    <w:bookmarkEnd w:id="143"/>
    <w:p w14:paraId="3776D412">
      <w:pPr>
        <w:spacing w:before="0" w:after="0" w:line="360" w:lineRule="auto"/>
        <w:jc w:val="both"/>
        <w:outlineLvl w:val="1"/>
        <w:rPr>
          <w:rFonts w:hint="eastAsia" w:ascii="宋体" w:hAnsi="宋体" w:eastAsia="宋体" w:cs="宋体"/>
          <w:b/>
          <w:bCs w:val="0"/>
          <w:kern w:val="2"/>
          <w:sz w:val="28"/>
          <w:szCs w:val="21"/>
          <w:highlight w:val="none"/>
          <w:lang w:val="en-US" w:eastAsia="zh-CN" w:bidi="ar-SA"/>
        </w:rPr>
        <w:sectPr>
          <w:pgSz w:w="11906" w:h="16838"/>
          <w:pgMar w:top="1417" w:right="1134" w:bottom="1134" w:left="1417" w:header="851" w:footer="850" w:gutter="0"/>
          <w:pgBorders>
            <w:top w:val="none" w:sz="0" w:space="0"/>
            <w:left w:val="none" w:sz="0" w:space="0"/>
            <w:bottom w:val="none" w:sz="0" w:space="0"/>
            <w:right w:val="none" w:sz="0" w:space="0"/>
          </w:pgBorders>
          <w:pgNumType w:fmt="decimal"/>
          <w:cols w:space="720" w:num="1"/>
          <w:titlePg/>
          <w:rtlGutter w:val="0"/>
          <w:docGrid w:linePitch="319" w:charSpace="0"/>
        </w:sectPr>
      </w:pPr>
    </w:p>
    <w:p w14:paraId="17CE021B">
      <w:pPr>
        <w:pStyle w:val="3"/>
        <w:spacing w:before="0" w:after="0" w:line="360" w:lineRule="auto"/>
        <w:jc w:val="center"/>
        <w:rPr>
          <w:rFonts w:hint="default" w:ascii="宋体" w:hAnsi="宋体" w:eastAsia="宋体" w:cs="宋体"/>
          <w:bCs w:val="0"/>
          <w:szCs w:val="21"/>
          <w:highlight w:val="none"/>
          <w:lang w:val="en-US"/>
        </w:rPr>
      </w:pPr>
      <w:bookmarkStart w:id="144" w:name="_Toc7490"/>
      <w:bookmarkStart w:id="145" w:name="_Toc25335"/>
      <w:r>
        <w:rPr>
          <w:rFonts w:hint="eastAsia" w:ascii="宋体" w:hAnsi="宋体" w:eastAsia="宋体" w:cs="宋体"/>
          <w:bCs w:val="0"/>
          <w:szCs w:val="21"/>
          <w:highlight w:val="none"/>
          <w:lang w:val="en-US" w:eastAsia="zh-CN"/>
        </w:rPr>
        <w:t>二</w:t>
      </w:r>
      <w:r>
        <w:rPr>
          <w:rFonts w:hint="eastAsia" w:ascii="宋体" w:hAnsi="宋体" w:eastAsia="宋体" w:cs="宋体"/>
          <w:bCs w:val="0"/>
          <w:szCs w:val="21"/>
          <w:highlight w:val="none"/>
        </w:rPr>
        <w:t>、</w:t>
      </w:r>
      <w:bookmarkEnd w:id="144"/>
      <w:r>
        <w:rPr>
          <w:rFonts w:hint="eastAsia" w:ascii="宋体" w:hAnsi="宋体" w:eastAsia="宋体" w:cs="宋体"/>
          <w:bCs w:val="0"/>
          <w:szCs w:val="21"/>
          <w:highlight w:val="none"/>
          <w:lang w:val="en-US" w:eastAsia="zh-CN"/>
        </w:rPr>
        <w:t>报价格式</w:t>
      </w:r>
      <w:bookmarkEnd w:id="145"/>
    </w:p>
    <w:p w14:paraId="6F4CBE1B">
      <w:pPr>
        <w:spacing w:before="0" w:after="0" w:line="360" w:lineRule="auto"/>
        <w:jc w:val="center"/>
        <w:rPr>
          <w:rFonts w:hint="default" w:ascii="宋体" w:hAnsi="宋体" w:eastAsia="宋体" w:cs="宋体"/>
          <w:bCs w:val="0"/>
          <w:szCs w:val="21"/>
          <w:highlight w:val="none"/>
          <w:lang w:val="en-US"/>
        </w:rPr>
      </w:pPr>
      <w:r>
        <w:rPr>
          <w:rFonts w:hint="eastAsia" w:ascii="Times New Roman" w:hAnsi="Times New Roman" w:eastAsia="宋体" w:cs="Times New Roman"/>
          <w:bCs w:val="0"/>
          <w:szCs w:val="21"/>
          <w:highlight w:val="none"/>
          <w:lang w:val="en-US" w:eastAsia="zh-CN"/>
        </w:rPr>
        <w:t>II. Format de l’offre financière</w:t>
      </w:r>
    </w:p>
    <w:p w14:paraId="32C19D47">
      <w:pPr>
        <w:pStyle w:val="11"/>
        <w:ind w:firstLine="420" w:firstLineChars="200"/>
        <w:rPr>
          <w:rFonts w:hint="eastAsia" w:ascii="Times New Roman" w:hAnsi="Times New Roman"/>
          <w:b w:val="0"/>
          <w:bCs w:val="0"/>
          <w:color w:val="000000"/>
          <w:kern w:val="0"/>
          <w:szCs w:val="21"/>
          <w:highlight w:val="none"/>
        </w:rPr>
      </w:pPr>
      <w:r>
        <w:rPr>
          <w:rFonts w:hint="eastAsia"/>
          <w:szCs w:val="21"/>
          <w:highlight w:val="none"/>
        </w:rPr>
        <w:t xml:space="preserve">1. </w:t>
      </w:r>
      <w:r>
        <w:rPr>
          <w:rFonts w:hint="eastAsia" w:ascii="Times New Roman" w:hAnsi="Times New Roman" w:eastAsia="宋体" w:cs="Times New Roman"/>
          <w:szCs w:val="21"/>
          <w:highlight w:val="none"/>
        </w:rPr>
        <w:t>服务费率清单说明</w:t>
      </w:r>
    </w:p>
    <w:p w14:paraId="3F07D45B">
      <w:pPr>
        <w:ind w:firstLine="420" w:firstLineChars="200"/>
        <w:rPr>
          <w:rFonts w:hint="eastAsia" w:ascii="Times New Roman" w:hAnsi="Times New Roman"/>
          <w:b w:val="0"/>
          <w:bCs w:val="0"/>
          <w:color w:val="000000"/>
          <w:kern w:val="0"/>
          <w:szCs w:val="21"/>
          <w:highlight w:val="none"/>
        </w:rPr>
      </w:pPr>
      <w:r>
        <w:rPr>
          <w:rFonts w:hint="eastAsia" w:ascii="Times New Roman" w:hAnsi="Times New Roman" w:cs="Times New Roman"/>
          <w:szCs w:val="21"/>
          <w:highlight w:val="none"/>
        </w:rPr>
        <w:t>1. Instructions relatives au barème des frais de service</w:t>
      </w:r>
    </w:p>
    <w:p w14:paraId="4D4E31F9">
      <w:pPr>
        <w:pStyle w:val="11"/>
        <w:ind w:firstLine="420" w:firstLineChars="2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1.1 报价表应与响应人须知、合同条件、采购人要求一并使用。响应人在编制报价时，应仔细阅读有关内容。</w:t>
      </w:r>
    </w:p>
    <w:p w14:paraId="64B9952B">
      <w:pPr>
        <w:ind w:firstLine="420" w:firstLineChars="2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1.1 Le tableau de prix doit être utilisé conjointement avec les instructions aux soumissionnaires, les conditions contractuelles et les exigences de l’Acheteur. Le soumissionnaire doit lire attentivement les dispositions pertinentes lors de l’établissement de son offre.</w:t>
      </w:r>
    </w:p>
    <w:p w14:paraId="0839714E">
      <w:pPr>
        <w:pStyle w:val="11"/>
        <w:ind w:firstLine="420" w:firstLineChars="200"/>
        <w:rPr>
          <w:rFonts w:hint="eastAsia" w:ascii="Times New Roman" w:hAnsi="Times New Roman" w:eastAsia="宋体" w:cs="Times New Roman"/>
          <w:szCs w:val="21"/>
          <w:highlight w:val="none"/>
        </w:rPr>
      </w:pPr>
      <w:r>
        <w:rPr>
          <w:rFonts w:ascii="Times New Roman" w:hAnsi="Times New Roman"/>
        </w:rPr>
        <w:t>1.2 本表所列暂定采购数量及机票暂估平均价格仅作为本次报价及评审测算依据，不代表采购人的实际采购数量及实际机票价格。合同履行期间，机票费用按照实际发生的机票价格及合同约定的服务费率据实结算。本项目报价及评审币种统一为几内亚法郎（GNF）。表中机票暂估平均价格由采购人根据预算测算金额按暂估汇率折算为几内亚法郎（GNF），仅用于本次代理服务费报价及评审测算，不作为合同履行期间实际票价、汇率或结算金额的依据。</w:t>
      </w:r>
    </w:p>
    <w:p w14:paraId="385CDE23">
      <w:pPr>
        <w:ind w:firstLine="420" w:firstLineChars="200"/>
        <w:rPr>
          <w:rFonts w:hint="eastAsia" w:ascii="Times New Roman" w:hAnsi="Times New Roman" w:eastAsia="宋体" w:cs="Times New Roman"/>
          <w:szCs w:val="21"/>
          <w:highlight w:val="none"/>
        </w:rPr>
      </w:pPr>
      <w:r>
        <w:rPr>
          <w:rFonts w:ascii="Times New Roman" w:hAnsi="Times New Roman" w:cs="Times New Roman"/>
        </w:rPr>
        <w:t>1.2 Les quantités provisoires et les prix moyens estimatifs des billets figurant dans le présent tableau servent uniquement à l’établissement de l’offre et à l’évaluation ; ils ne représentent ni les quantités d’achat réelles ni les prix effectifs des billets de l’Acheteur. Pendant l’exécution du contrat, les billets sont réglés sur la base du prix effectivement engagé et du taux de frais de service prévu au contrat. La monnaie utilisée pour l’offre et l’évaluation est le franc guinéen (GNF). Les prix moyens estimatifs des billets figurant dans le tableau ont été convertis en GNF par l’Acheteur, sur la base des montants budgétaires et d’un taux de change estimatif, uniquement pour calculer l’offre de frais de service d’agence et procéder à l’évaluation ; ils ne constituent pas une référence pour le prix réel des billets, le taux de change ni le montant du règlement pendant l’exécution du contrat.</w:t>
      </w:r>
    </w:p>
    <w:p w14:paraId="7A07C633">
      <w:pPr>
        <w:pStyle w:val="11"/>
        <w:ind w:firstLine="420" w:firstLineChars="2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1.3 机票代理服务费率为含税费率，以百分比（%）填报，保留小数点后2位。</w:t>
      </w:r>
    </w:p>
    <w:p w14:paraId="4DB0F875">
      <w:pPr>
        <w:ind w:firstLine="420" w:firstLineChars="2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1.3 Le taux des frais de service d’agence est un taux toutes taxes comprises, exprimé en pourcentage (%) avec deux décimales.</w:t>
      </w:r>
    </w:p>
    <w:p w14:paraId="4346B7D8">
      <w:pPr>
        <w:pStyle w:val="11"/>
        <w:ind w:firstLine="420" w:firstLineChars="200"/>
      </w:pPr>
      <w:r>
        <w:t>1.4 各项暂估服务费金额=暂定采购数量×机票暂估平均价格×报价服务费率，各项暂估服务费金额之和作为本项目评审价格。</w:t>
      </w:r>
    </w:p>
    <w:p w14:paraId="0C3B1CBF">
      <w:pPr>
        <w:ind w:firstLine="420" w:firstLineChars="200"/>
      </w:pPr>
      <w:r>
        <w:rPr>
          <w:rFonts w:ascii="Times New Roman" w:hAnsi="Times New Roman" w:cs="Times New Roman"/>
        </w:rPr>
        <w:t>1.4 Montant estimatif des frais de service pour chaque poste = quantité provisoire d’achat × prix moyen estimatif du billet × taux offert des frais de service. La somme des montants estimatifs des frais de service constitue le prix d’évaluation du présent projet.</w:t>
      </w:r>
    </w:p>
    <w:p w14:paraId="7DF72177">
      <w:pPr>
        <w:pStyle w:val="11"/>
        <w:ind w:firstLine="422" w:firstLineChars="200"/>
        <w:rPr>
          <w:rFonts w:hint="eastAsia" w:ascii="Times New Roman" w:hAnsi="Times New Roman" w:eastAsia="宋体" w:cs="Times New Roman"/>
          <w:b/>
          <w:bCs/>
          <w:color w:val="auto"/>
          <w:szCs w:val="21"/>
          <w:highlight w:val="none"/>
        </w:rPr>
      </w:pPr>
      <w:r>
        <w:rPr>
          <w:rFonts w:hint="eastAsia" w:ascii="Times New Roman" w:hAnsi="Times New Roman" w:eastAsia="宋体" w:cs="Times New Roman"/>
          <w:b/>
          <w:bCs/>
          <w:color w:val="auto"/>
          <w:szCs w:val="21"/>
          <w:highlight w:val="none"/>
        </w:rPr>
        <w:t>1.5 零或负值视作无效报价。</w:t>
      </w:r>
    </w:p>
    <w:p w14:paraId="3433F9CC">
      <w:pPr>
        <w:ind w:firstLine="422" w:firstLineChars="200"/>
        <w:rPr>
          <w:rFonts w:hint="eastAsia" w:ascii="Times New Roman" w:hAnsi="Times New Roman" w:eastAsia="宋体" w:cs="Times New Roman"/>
          <w:b/>
          <w:bCs/>
          <w:color w:val="auto"/>
          <w:szCs w:val="21"/>
          <w:highlight w:val="none"/>
        </w:rPr>
      </w:pPr>
      <w:r>
        <w:rPr>
          <w:rFonts w:hint="eastAsia" w:ascii="Times New Roman" w:hAnsi="Times New Roman" w:eastAsia="宋体" w:cs="Times New Roman"/>
          <w:b/>
          <w:bCs/>
          <w:color w:val="auto"/>
          <w:szCs w:val="21"/>
          <w:highlight w:val="none"/>
        </w:rPr>
        <w:t>1.5 Toute offre à taux nul ou négatif est considérée comme invalide.</w:t>
      </w:r>
    </w:p>
    <w:p w14:paraId="11FADB19">
      <w:pPr>
        <w:pStyle w:val="11"/>
        <w:ind w:firstLine="420" w:firstLineChars="2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2. 机票代理服务费率报价表</w:t>
      </w:r>
    </w:p>
    <w:p w14:paraId="7B4BAC7F">
      <w:pPr>
        <w:ind w:firstLine="420" w:firstLineChars="2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2. Tableau des taux des frais de service d’agence pour billets d’avion</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950"/>
        <w:gridCol w:w="1241"/>
        <w:gridCol w:w="1504"/>
        <w:gridCol w:w="1357"/>
        <w:gridCol w:w="1477"/>
        <w:gridCol w:w="1589"/>
      </w:tblGrid>
      <w:tr w14:paraId="2180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725BE85C">
            <w:r>
              <w:t>年度</w:t>
            </w:r>
          </w:p>
          <w:p w14:paraId="27370549">
            <w:r>
              <w:rPr>
                <w:rFonts w:ascii="Times New Roman" w:hAnsi="Times New Roman" w:cs="Times New Roman"/>
              </w:rPr>
              <w:t>Année/période</w:t>
            </w:r>
          </w:p>
        </w:tc>
        <w:tc>
          <w:tcPr>
            <w:tcW w:w="879" w:type="dxa"/>
            <w:tcBorders>
              <w:top w:val="single" w:color="000000" w:sz="4" w:space="0"/>
              <w:left w:val="single" w:color="000000" w:sz="4" w:space="0"/>
              <w:bottom w:val="single" w:color="000000" w:sz="4" w:space="0"/>
              <w:right w:val="single" w:color="000000" w:sz="4" w:space="0"/>
            </w:tcBorders>
            <w:vAlign w:val="center"/>
          </w:tcPr>
          <w:p w14:paraId="3B7ABAC0">
            <w:r>
              <w:t>舱位</w:t>
            </w:r>
          </w:p>
          <w:p w14:paraId="29700BD7">
            <w:r>
              <w:rPr>
                <w:rFonts w:ascii="Times New Roman" w:hAnsi="Times New Roman" w:cs="Times New Roman"/>
              </w:rPr>
              <w:t>Classe de voyage</w:t>
            </w:r>
          </w:p>
        </w:tc>
        <w:tc>
          <w:tcPr>
            <w:tcW w:w="1247" w:type="dxa"/>
            <w:tcBorders>
              <w:top w:val="single" w:color="000000" w:sz="4" w:space="0"/>
              <w:left w:val="single" w:color="000000" w:sz="4" w:space="0"/>
              <w:bottom w:val="single" w:color="000000" w:sz="4" w:space="0"/>
              <w:right w:val="single" w:color="000000" w:sz="4" w:space="0"/>
            </w:tcBorders>
            <w:vAlign w:val="center"/>
          </w:tcPr>
          <w:p w14:paraId="5DAF6892">
            <w:r>
              <w:t>暂定采购数量</w:t>
            </w:r>
            <w:r>
              <w:br w:type="textWrapping"/>
            </w:r>
            <w:r>
              <w:t>（往返人次）</w:t>
            </w:r>
          </w:p>
          <w:p w14:paraId="46909103">
            <w:r>
              <w:rPr>
                <w:rFonts w:ascii="Times New Roman" w:hAnsi="Times New Roman" w:cs="Times New Roman"/>
              </w:rPr>
              <w:t>Quantité provisoire d’achat</w:t>
            </w:r>
            <w:r>
              <w:rPr>
                <w:rFonts w:ascii="Times New Roman" w:hAnsi="Times New Roman" w:cs="Times New Roman"/>
              </w:rPr>
              <w:br w:type="textWrapping"/>
            </w:r>
            <w:r>
              <w:rPr>
                <w:rFonts w:ascii="Times New Roman" w:hAnsi="Times New Roman" w:cs="Times New Roman"/>
              </w:rPr>
              <w:t>(voyages aller-retour)</w:t>
            </w:r>
          </w:p>
        </w:tc>
        <w:tc>
          <w:tcPr>
            <w:tcW w:w="1559" w:type="dxa"/>
            <w:tcBorders>
              <w:top w:val="single" w:color="000000" w:sz="4" w:space="0"/>
              <w:left w:val="single" w:color="000000" w:sz="4" w:space="0"/>
              <w:bottom w:val="single" w:color="000000" w:sz="4" w:space="0"/>
              <w:right w:val="single" w:color="000000" w:sz="4" w:space="0"/>
            </w:tcBorders>
            <w:vAlign w:val="center"/>
          </w:tcPr>
          <w:p w14:paraId="4D37AD2E">
            <w:r>
              <w:t>机票暂估平均价格</w:t>
            </w:r>
            <w:r>
              <w:br w:type="textWrapping"/>
            </w:r>
            <w:r>
              <w:t>（GNF/往返人次）</w:t>
            </w:r>
          </w:p>
          <w:p w14:paraId="3EE7A6F3">
            <w:r>
              <w:rPr>
                <w:rFonts w:ascii="Times New Roman" w:hAnsi="Times New Roman" w:cs="Times New Roman"/>
              </w:rPr>
              <w:t>Prix moyen estimatif du billet</w:t>
            </w:r>
            <w:r>
              <w:rPr>
                <w:rFonts w:ascii="Times New Roman" w:hAnsi="Times New Roman" w:cs="Times New Roman"/>
              </w:rPr>
              <w:br w:type="textWrapping"/>
            </w:r>
            <w:r>
              <w:rPr>
                <w:rFonts w:ascii="Times New Roman" w:hAnsi="Times New Roman" w:cs="Times New Roman"/>
              </w:rPr>
              <w:t>(GNF/voyage aller-retour)</w:t>
            </w:r>
          </w:p>
        </w:tc>
        <w:tc>
          <w:tcPr>
            <w:tcW w:w="1389" w:type="dxa"/>
            <w:tcBorders>
              <w:top w:val="single" w:color="000000" w:sz="4" w:space="0"/>
              <w:left w:val="single" w:color="000000" w:sz="4" w:space="0"/>
              <w:bottom w:val="single" w:color="000000" w:sz="4" w:space="0"/>
              <w:right w:val="single" w:color="000000" w:sz="4" w:space="0"/>
            </w:tcBorders>
            <w:vAlign w:val="center"/>
          </w:tcPr>
          <w:p w14:paraId="21551FF1">
            <w:r>
              <w:t>暂估机票金额</w:t>
            </w:r>
            <w:r>
              <w:br w:type="textWrapping"/>
            </w:r>
            <w:r>
              <w:t>（GNF）</w:t>
            </w:r>
          </w:p>
          <w:p w14:paraId="6E42C4EA">
            <w:r>
              <w:rPr>
                <w:rFonts w:ascii="Times New Roman" w:hAnsi="Times New Roman" w:cs="Times New Roman"/>
              </w:rPr>
              <w:t>Montant estimatif des billets</w:t>
            </w:r>
            <w:r>
              <w:rPr>
                <w:rFonts w:ascii="Times New Roman" w:hAnsi="Times New Roman" w:cs="Times New Roman"/>
              </w:rPr>
              <w:br w:type="textWrapping"/>
            </w:r>
            <w:r>
              <w:rPr>
                <w:rFonts w:ascii="Times New Roman" w:hAnsi="Times New Roman" w:cs="Times New Roman"/>
              </w:rPr>
              <w:t>(GNF)</w:t>
            </w:r>
          </w:p>
        </w:tc>
        <w:tc>
          <w:tcPr>
            <w:tcW w:w="1502" w:type="dxa"/>
            <w:tcBorders>
              <w:top w:val="single" w:color="000000" w:sz="4" w:space="0"/>
              <w:left w:val="single" w:color="000000" w:sz="4" w:space="0"/>
              <w:bottom w:val="single" w:color="000000" w:sz="4" w:space="0"/>
              <w:right w:val="single" w:color="000000" w:sz="4" w:space="0"/>
            </w:tcBorders>
            <w:vAlign w:val="center"/>
          </w:tcPr>
          <w:p w14:paraId="57ADD54C">
            <w:r>
              <w:t>机票代理服务费率</w:t>
            </w:r>
            <w:r>
              <w:br w:type="textWrapping"/>
            </w:r>
            <w:r>
              <w:t>（含税，%）</w:t>
            </w:r>
          </w:p>
          <w:p w14:paraId="72E57F35">
            <w:r>
              <w:rPr>
                <w:rFonts w:ascii="Times New Roman" w:hAnsi="Times New Roman" w:cs="Times New Roman"/>
              </w:rPr>
              <w:t>Taux des frais de service d’agence</w:t>
            </w:r>
            <w:r>
              <w:rPr>
                <w:rFonts w:ascii="Times New Roman" w:hAnsi="Times New Roman" w:cs="Times New Roman"/>
              </w:rPr>
              <w:br w:type="textWrapping"/>
            </w:r>
            <w:r>
              <w:rPr>
                <w:rFonts w:ascii="Times New Roman" w:hAnsi="Times New Roman" w:cs="Times New Roman"/>
              </w:rPr>
              <w:t>(taxes comprises, %)</w:t>
            </w:r>
          </w:p>
        </w:tc>
        <w:tc>
          <w:tcPr>
            <w:tcW w:w="1757" w:type="dxa"/>
            <w:tcBorders>
              <w:top w:val="single" w:color="000000" w:sz="4" w:space="0"/>
              <w:left w:val="single" w:color="000000" w:sz="4" w:space="0"/>
              <w:bottom w:val="single" w:color="000000" w:sz="4" w:space="0"/>
              <w:right w:val="single" w:color="000000" w:sz="4" w:space="0"/>
            </w:tcBorders>
            <w:vAlign w:val="center"/>
          </w:tcPr>
          <w:p w14:paraId="6E6D2026">
            <w:r>
              <w:t>暂估服务费金额</w:t>
            </w:r>
            <w:r>
              <w:br w:type="textWrapping"/>
            </w:r>
            <w:r>
              <w:t>（GNF）</w:t>
            </w:r>
          </w:p>
          <w:p w14:paraId="215C1848">
            <w:r>
              <w:rPr>
                <w:rFonts w:ascii="Times New Roman" w:hAnsi="Times New Roman" w:cs="Times New Roman"/>
              </w:rPr>
              <w:t>Montant estimatif des frais de service</w:t>
            </w:r>
            <w:r>
              <w:rPr>
                <w:rFonts w:ascii="Times New Roman" w:hAnsi="Times New Roman" w:cs="Times New Roman"/>
              </w:rPr>
              <w:br w:type="textWrapping"/>
            </w:r>
            <w:r>
              <w:rPr>
                <w:rFonts w:ascii="Times New Roman" w:hAnsi="Times New Roman" w:cs="Times New Roman"/>
              </w:rPr>
              <w:t>(GNF)</w:t>
            </w:r>
          </w:p>
        </w:tc>
      </w:tr>
      <w:tr w14:paraId="77E1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vMerge w:val="restart"/>
            <w:tcBorders>
              <w:top w:val="single" w:color="000000" w:sz="4" w:space="0"/>
              <w:left w:val="single" w:color="000000" w:sz="4" w:space="0"/>
              <w:bottom w:val="single" w:color="000000" w:sz="4" w:space="0"/>
              <w:right w:val="single" w:color="000000" w:sz="4" w:space="0"/>
            </w:tcBorders>
            <w:vAlign w:val="center"/>
          </w:tcPr>
          <w:p w14:paraId="0456A708">
            <w:pPr>
              <w:jc w:val="center"/>
            </w:pPr>
            <w:r>
              <w:rPr>
                <w:rFonts w:ascii="宋体" w:hAnsi="宋体" w:eastAsia="宋体"/>
                <w:b w:val="0"/>
                <w:sz w:val="15"/>
              </w:rPr>
              <w:t>2026年10—12月</w:t>
            </w:r>
          </w:p>
          <w:p w14:paraId="21C45C51">
            <w:pPr>
              <w:jc w:val="center"/>
            </w:pPr>
            <w:r>
              <w:rPr>
                <w:rFonts w:ascii="Times New Roman" w:hAnsi="Times New Roman" w:eastAsia="宋体" w:cs="Times New Roman"/>
                <w:b w:val="0"/>
                <w:sz w:val="15"/>
              </w:rPr>
              <w:t>Octobre-décembre 2026</w:t>
            </w:r>
          </w:p>
        </w:tc>
        <w:tc>
          <w:tcPr>
            <w:tcW w:w="879" w:type="dxa"/>
            <w:tcBorders>
              <w:top w:val="single" w:color="000000" w:sz="4" w:space="0"/>
              <w:left w:val="single" w:color="000000" w:sz="4" w:space="0"/>
              <w:bottom w:val="single" w:color="000000" w:sz="4" w:space="0"/>
              <w:right w:val="single" w:color="000000" w:sz="4" w:space="0"/>
            </w:tcBorders>
            <w:vAlign w:val="center"/>
          </w:tcPr>
          <w:p w14:paraId="4BE70A9A">
            <w:pPr>
              <w:jc w:val="center"/>
            </w:pPr>
            <w:r>
              <w:rPr>
                <w:rFonts w:ascii="宋体" w:hAnsi="宋体" w:eastAsia="宋体"/>
                <w:b w:val="0"/>
                <w:sz w:val="15"/>
              </w:rPr>
              <w:t>商务舱</w:t>
            </w:r>
          </w:p>
          <w:p w14:paraId="6D82C43E">
            <w:pPr>
              <w:jc w:val="center"/>
            </w:pPr>
            <w:r>
              <w:rPr>
                <w:rFonts w:ascii="Times New Roman" w:hAnsi="Times New Roman" w:eastAsia="宋体" w:cs="Times New Roman"/>
                <w:b w:val="0"/>
                <w:sz w:val="15"/>
              </w:rPr>
              <w:t>Classe affaires</w:t>
            </w:r>
          </w:p>
        </w:tc>
        <w:tc>
          <w:tcPr>
            <w:tcW w:w="1247" w:type="dxa"/>
            <w:tcBorders>
              <w:top w:val="single" w:color="000000" w:sz="4" w:space="0"/>
              <w:left w:val="single" w:color="000000" w:sz="4" w:space="0"/>
              <w:bottom w:val="single" w:color="000000" w:sz="4" w:space="0"/>
              <w:right w:val="single" w:color="000000" w:sz="4" w:space="0"/>
            </w:tcBorders>
            <w:vAlign w:val="center"/>
          </w:tcPr>
          <w:p w14:paraId="48B989CA">
            <w:pPr>
              <w:jc w:val="center"/>
            </w:pPr>
            <w:r>
              <w:rPr>
                <w:rFonts w:ascii="宋体" w:hAnsi="宋体" w:eastAsia="宋体"/>
                <w:b w:val="0"/>
                <w:sz w:val="15"/>
              </w:rPr>
              <w:t>1</w:t>
            </w:r>
          </w:p>
        </w:tc>
        <w:tc>
          <w:tcPr>
            <w:tcW w:w="1559" w:type="dxa"/>
            <w:tcBorders>
              <w:top w:val="single" w:color="000000" w:sz="4" w:space="0"/>
              <w:left w:val="single" w:color="000000" w:sz="4" w:space="0"/>
              <w:bottom w:val="single" w:color="000000" w:sz="4" w:space="0"/>
              <w:right w:val="single" w:color="000000" w:sz="4" w:space="0"/>
            </w:tcBorders>
            <w:vAlign w:val="center"/>
          </w:tcPr>
          <w:p w14:paraId="3A1852CC">
            <w:pPr>
              <w:rPr>
                <w:rFonts w:hint="default" w:eastAsia="宋体"/>
                <w:lang w:val="en-US" w:eastAsia="zh-CN"/>
              </w:rPr>
            </w:pPr>
            <w:r>
              <w:rPr>
                <w:sz w:val="17"/>
              </w:rPr>
              <w:t>6</w:t>
            </w:r>
            <w:r>
              <w:rPr>
                <w:rFonts w:hint="eastAsia"/>
                <w:sz w:val="17"/>
                <w:lang w:val="en-US" w:eastAsia="zh-CN"/>
              </w:rPr>
              <w:t>5</w:t>
            </w:r>
            <w:r>
              <w:rPr>
                <w:sz w:val="17"/>
              </w:rPr>
              <w:t>,</w:t>
            </w:r>
            <w:r>
              <w:rPr>
                <w:rFonts w:hint="eastAsia"/>
                <w:sz w:val="17"/>
                <w:lang w:val="en-US" w:eastAsia="zh-CN"/>
              </w:rPr>
              <w:t>000</w:t>
            </w:r>
            <w:r>
              <w:rPr>
                <w:sz w:val="17"/>
              </w:rPr>
              <w:t>,</w:t>
            </w:r>
            <w:r>
              <w:rPr>
                <w:rFonts w:hint="eastAsia"/>
                <w:sz w:val="17"/>
                <w:lang w:val="en-US" w:eastAsia="zh-CN"/>
              </w:rPr>
              <w:t>000</w:t>
            </w:r>
          </w:p>
        </w:tc>
        <w:tc>
          <w:tcPr>
            <w:tcW w:w="1389" w:type="dxa"/>
            <w:tcBorders>
              <w:top w:val="single" w:color="000000" w:sz="4" w:space="0"/>
              <w:left w:val="single" w:color="000000" w:sz="4" w:space="0"/>
              <w:bottom w:val="single" w:color="000000" w:sz="4" w:space="0"/>
              <w:right w:val="single" w:color="000000" w:sz="4" w:space="0"/>
            </w:tcBorders>
            <w:vAlign w:val="center"/>
          </w:tcPr>
          <w:p w14:paraId="263D4D9F">
            <w:r>
              <w:rPr>
                <w:rFonts w:hint="eastAsia"/>
                <w:sz w:val="17"/>
              </w:rPr>
              <w:t>65,000,000</w:t>
            </w:r>
          </w:p>
        </w:tc>
        <w:tc>
          <w:tcPr>
            <w:tcW w:w="1502" w:type="dxa"/>
            <w:tcBorders>
              <w:top w:val="single" w:color="000000" w:sz="4" w:space="0"/>
              <w:left w:val="single" w:color="000000" w:sz="4" w:space="0"/>
              <w:bottom w:val="single" w:color="000000" w:sz="4" w:space="0"/>
              <w:right w:val="single" w:color="000000" w:sz="4" w:space="0"/>
            </w:tcBorders>
            <w:vAlign w:val="center"/>
          </w:tcPr>
          <w:p w14:paraId="0D31E32A">
            <w:pPr>
              <w:jc w:val="center"/>
            </w:pPr>
            <w:r>
              <w:rPr>
                <w:rFonts w:ascii="宋体" w:hAnsi="宋体" w:eastAsia="宋体"/>
                <w:b w:val="0"/>
                <w:sz w:val="15"/>
              </w:rPr>
              <w:t>由响应人填写</w:t>
            </w:r>
          </w:p>
          <w:p w14:paraId="22580EE1">
            <w:pPr>
              <w:jc w:val="center"/>
            </w:pPr>
            <w:r>
              <w:rPr>
                <w:rFonts w:ascii="Times New Roman" w:hAnsi="Times New Roman" w:eastAsia="宋体" w:cs="Times New Roman"/>
                <w:b w:val="0"/>
                <w:sz w:val="15"/>
              </w:rPr>
              <w:t>À compléter par le soumissionnaire</w:t>
            </w:r>
          </w:p>
        </w:tc>
        <w:tc>
          <w:tcPr>
            <w:tcW w:w="1757" w:type="dxa"/>
            <w:tcBorders>
              <w:top w:val="single" w:color="000000" w:sz="4" w:space="0"/>
              <w:left w:val="single" w:color="000000" w:sz="4" w:space="0"/>
              <w:bottom w:val="single" w:color="000000" w:sz="4" w:space="0"/>
              <w:right w:val="single" w:color="000000" w:sz="4" w:space="0"/>
            </w:tcBorders>
            <w:vAlign w:val="center"/>
          </w:tcPr>
          <w:p w14:paraId="582C8CD3"/>
        </w:tc>
      </w:tr>
      <w:tr w14:paraId="11D1E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36" w:type="dxa"/>
            <w:vMerge w:val="continue"/>
            <w:vAlign w:val="center"/>
          </w:tcPr>
          <w:p w14:paraId="0F2C4449"/>
        </w:tc>
        <w:tc>
          <w:tcPr>
            <w:tcW w:w="879" w:type="dxa"/>
            <w:tcBorders>
              <w:top w:val="single" w:color="000000" w:sz="4" w:space="0"/>
              <w:left w:val="single" w:color="000000" w:sz="4" w:space="0"/>
              <w:bottom w:val="single" w:color="000000" w:sz="4" w:space="0"/>
              <w:right w:val="single" w:color="000000" w:sz="4" w:space="0"/>
            </w:tcBorders>
            <w:vAlign w:val="center"/>
          </w:tcPr>
          <w:p w14:paraId="7DA82D3C">
            <w:pPr>
              <w:jc w:val="center"/>
            </w:pPr>
            <w:r>
              <w:rPr>
                <w:rFonts w:ascii="宋体" w:hAnsi="宋体" w:eastAsia="宋体"/>
                <w:b w:val="0"/>
                <w:sz w:val="15"/>
              </w:rPr>
              <w:t>经济舱</w:t>
            </w:r>
          </w:p>
          <w:p w14:paraId="4166711D">
            <w:pPr>
              <w:jc w:val="center"/>
            </w:pPr>
            <w:r>
              <w:rPr>
                <w:rFonts w:ascii="Times New Roman" w:hAnsi="Times New Roman" w:eastAsia="宋体" w:cs="Times New Roman"/>
                <w:b w:val="0"/>
                <w:sz w:val="15"/>
              </w:rPr>
              <w:t>Classe économique</w:t>
            </w:r>
          </w:p>
        </w:tc>
        <w:tc>
          <w:tcPr>
            <w:tcW w:w="1247" w:type="dxa"/>
            <w:tcBorders>
              <w:top w:val="single" w:color="000000" w:sz="4" w:space="0"/>
              <w:left w:val="single" w:color="000000" w:sz="4" w:space="0"/>
              <w:bottom w:val="single" w:color="000000" w:sz="4" w:space="0"/>
              <w:right w:val="single" w:color="000000" w:sz="4" w:space="0"/>
            </w:tcBorders>
            <w:vAlign w:val="center"/>
          </w:tcPr>
          <w:p w14:paraId="02EA46A5">
            <w:pPr>
              <w:jc w:val="center"/>
            </w:pPr>
            <w:r>
              <w:rPr>
                <w:rFonts w:ascii="宋体" w:hAnsi="宋体" w:eastAsia="宋体"/>
                <w:b w:val="0"/>
                <w:sz w:val="15"/>
              </w:rPr>
              <w:t>100</w:t>
            </w:r>
          </w:p>
        </w:tc>
        <w:tc>
          <w:tcPr>
            <w:tcW w:w="1559" w:type="dxa"/>
            <w:tcBorders>
              <w:top w:val="single" w:color="000000" w:sz="4" w:space="0"/>
              <w:left w:val="single" w:color="000000" w:sz="4" w:space="0"/>
              <w:bottom w:val="single" w:color="000000" w:sz="4" w:space="0"/>
              <w:right w:val="single" w:color="000000" w:sz="4" w:space="0"/>
            </w:tcBorders>
            <w:vAlign w:val="center"/>
          </w:tcPr>
          <w:p w14:paraId="159A9D27">
            <w:pPr>
              <w:rPr>
                <w:rFonts w:hint="default" w:eastAsia="宋体"/>
                <w:lang w:val="en-US" w:eastAsia="zh-CN"/>
              </w:rPr>
            </w:pPr>
            <w:r>
              <w:rPr>
                <w:sz w:val="17"/>
              </w:rPr>
              <w:t>23,</w:t>
            </w:r>
            <w:r>
              <w:rPr>
                <w:rFonts w:hint="eastAsia"/>
                <w:sz w:val="17"/>
                <w:lang w:val="en-US" w:eastAsia="zh-CN"/>
              </w:rPr>
              <w:t>100</w:t>
            </w:r>
            <w:r>
              <w:rPr>
                <w:sz w:val="17"/>
              </w:rPr>
              <w:t>,</w:t>
            </w:r>
            <w:r>
              <w:rPr>
                <w:rFonts w:hint="eastAsia"/>
                <w:sz w:val="17"/>
                <w:lang w:val="en-US" w:eastAsia="zh-CN"/>
              </w:rPr>
              <w:t>000</w:t>
            </w:r>
          </w:p>
        </w:tc>
        <w:tc>
          <w:tcPr>
            <w:tcW w:w="1389" w:type="dxa"/>
            <w:tcBorders>
              <w:top w:val="single" w:color="000000" w:sz="4" w:space="0"/>
              <w:left w:val="single" w:color="000000" w:sz="4" w:space="0"/>
              <w:bottom w:val="single" w:color="000000" w:sz="4" w:space="0"/>
              <w:right w:val="single" w:color="000000" w:sz="4" w:space="0"/>
            </w:tcBorders>
            <w:vAlign w:val="center"/>
          </w:tcPr>
          <w:p w14:paraId="44981D5C">
            <w:pPr>
              <w:rPr>
                <w:rFonts w:hint="default" w:eastAsia="宋体"/>
                <w:lang w:val="en-US" w:eastAsia="zh-CN"/>
              </w:rPr>
            </w:pPr>
            <w:r>
              <w:rPr>
                <w:rFonts w:hint="eastAsia"/>
                <w:sz w:val="17"/>
              </w:rPr>
              <w:t>2</w:t>
            </w:r>
            <w:r>
              <w:rPr>
                <w:rFonts w:hint="eastAsia"/>
                <w:sz w:val="17"/>
                <w:lang w:val="en-US" w:eastAsia="zh-CN"/>
              </w:rPr>
              <w:t>,</w:t>
            </w:r>
            <w:r>
              <w:rPr>
                <w:rFonts w:hint="eastAsia"/>
                <w:sz w:val="17"/>
              </w:rPr>
              <w:t>310</w:t>
            </w:r>
            <w:r>
              <w:rPr>
                <w:rFonts w:hint="eastAsia"/>
                <w:sz w:val="17"/>
                <w:lang w:val="en-US" w:eastAsia="zh-CN"/>
              </w:rPr>
              <w:t>,</w:t>
            </w:r>
            <w:r>
              <w:rPr>
                <w:rFonts w:hint="eastAsia"/>
                <w:sz w:val="17"/>
              </w:rPr>
              <w:t>000</w:t>
            </w:r>
            <w:r>
              <w:rPr>
                <w:rFonts w:hint="eastAsia"/>
                <w:sz w:val="17"/>
                <w:lang w:val="en-US" w:eastAsia="zh-CN"/>
              </w:rPr>
              <w:t>,</w:t>
            </w:r>
            <w:r>
              <w:rPr>
                <w:rFonts w:hint="eastAsia"/>
                <w:sz w:val="17"/>
              </w:rPr>
              <w:t>0</w:t>
            </w:r>
            <w:r>
              <w:rPr>
                <w:rFonts w:hint="eastAsia"/>
                <w:sz w:val="17"/>
                <w:lang w:val="en-US" w:eastAsia="zh-CN"/>
              </w:rPr>
              <w:t>00</w:t>
            </w:r>
          </w:p>
        </w:tc>
        <w:tc>
          <w:tcPr>
            <w:tcW w:w="1502" w:type="dxa"/>
            <w:tcBorders>
              <w:top w:val="single" w:color="000000" w:sz="4" w:space="0"/>
              <w:left w:val="single" w:color="000000" w:sz="4" w:space="0"/>
              <w:bottom w:val="single" w:color="000000" w:sz="4" w:space="0"/>
              <w:right w:val="single" w:color="000000" w:sz="4" w:space="0"/>
            </w:tcBorders>
            <w:vAlign w:val="center"/>
          </w:tcPr>
          <w:p w14:paraId="54517864">
            <w:pPr>
              <w:jc w:val="center"/>
            </w:pPr>
            <w:r>
              <w:rPr>
                <w:rFonts w:ascii="宋体" w:hAnsi="宋体" w:eastAsia="宋体"/>
                <w:b w:val="0"/>
                <w:sz w:val="15"/>
              </w:rPr>
              <w:t>由响应人填写</w:t>
            </w:r>
          </w:p>
          <w:p w14:paraId="5C847425">
            <w:pPr>
              <w:jc w:val="center"/>
            </w:pPr>
            <w:r>
              <w:rPr>
                <w:rFonts w:ascii="Times New Roman" w:hAnsi="Times New Roman" w:eastAsia="宋体" w:cs="Times New Roman"/>
                <w:b w:val="0"/>
                <w:sz w:val="15"/>
              </w:rPr>
              <w:t>À compléter par le soumissionnaire</w:t>
            </w:r>
          </w:p>
        </w:tc>
        <w:tc>
          <w:tcPr>
            <w:tcW w:w="1757" w:type="dxa"/>
            <w:tcBorders>
              <w:top w:val="single" w:color="000000" w:sz="4" w:space="0"/>
              <w:left w:val="single" w:color="000000" w:sz="4" w:space="0"/>
              <w:bottom w:val="single" w:color="000000" w:sz="4" w:space="0"/>
              <w:right w:val="single" w:color="000000" w:sz="4" w:space="0"/>
            </w:tcBorders>
            <w:vAlign w:val="center"/>
          </w:tcPr>
          <w:p w14:paraId="3CFC6CFF"/>
        </w:tc>
      </w:tr>
      <w:tr w14:paraId="25D6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vMerge w:val="restart"/>
            <w:tcBorders>
              <w:top w:val="single" w:color="000000" w:sz="4" w:space="0"/>
              <w:left w:val="single" w:color="000000" w:sz="4" w:space="0"/>
              <w:bottom w:val="single" w:color="000000" w:sz="4" w:space="0"/>
              <w:right w:val="single" w:color="000000" w:sz="4" w:space="0"/>
            </w:tcBorders>
            <w:vAlign w:val="center"/>
          </w:tcPr>
          <w:p w14:paraId="61E9E8D4">
            <w:pPr>
              <w:jc w:val="center"/>
            </w:pPr>
            <w:r>
              <w:rPr>
                <w:rFonts w:ascii="宋体" w:hAnsi="宋体" w:eastAsia="宋体"/>
                <w:b w:val="0"/>
                <w:sz w:val="15"/>
              </w:rPr>
              <w:t>2027年1—12月</w:t>
            </w:r>
          </w:p>
          <w:p w14:paraId="0C645D1F">
            <w:pPr>
              <w:jc w:val="center"/>
            </w:pPr>
            <w:r>
              <w:rPr>
                <w:rFonts w:ascii="Times New Roman" w:hAnsi="Times New Roman" w:eastAsia="宋体" w:cs="Times New Roman"/>
                <w:b w:val="0"/>
                <w:sz w:val="15"/>
              </w:rPr>
              <w:t>Janvier-décembre 2027</w:t>
            </w:r>
          </w:p>
        </w:tc>
        <w:tc>
          <w:tcPr>
            <w:tcW w:w="879" w:type="dxa"/>
            <w:tcBorders>
              <w:top w:val="single" w:color="000000" w:sz="4" w:space="0"/>
              <w:left w:val="single" w:color="000000" w:sz="4" w:space="0"/>
              <w:bottom w:val="single" w:color="000000" w:sz="4" w:space="0"/>
              <w:right w:val="single" w:color="000000" w:sz="4" w:space="0"/>
            </w:tcBorders>
            <w:vAlign w:val="center"/>
          </w:tcPr>
          <w:p w14:paraId="06BA3A64">
            <w:pPr>
              <w:jc w:val="center"/>
            </w:pPr>
            <w:r>
              <w:rPr>
                <w:rFonts w:ascii="宋体" w:hAnsi="宋体" w:eastAsia="宋体"/>
                <w:b w:val="0"/>
                <w:sz w:val="15"/>
              </w:rPr>
              <w:t>商务舱</w:t>
            </w:r>
          </w:p>
          <w:p w14:paraId="278C268E">
            <w:pPr>
              <w:jc w:val="center"/>
            </w:pPr>
            <w:r>
              <w:rPr>
                <w:rFonts w:ascii="Times New Roman" w:hAnsi="Times New Roman" w:eastAsia="宋体" w:cs="Times New Roman"/>
                <w:b w:val="0"/>
                <w:sz w:val="15"/>
              </w:rPr>
              <w:t>Classe affaires</w:t>
            </w:r>
          </w:p>
        </w:tc>
        <w:tc>
          <w:tcPr>
            <w:tcW w:w="1247" w:type="dxa"/>
            <w:tcBorders>
              <w:top w:val="single" w:color="000000" w:sz="4" w:space="0"/>
              <w:left w:val="single" w:color="000000" w:sz="4" w:space="0"/>
              <w:bottom w:val="single" w:color="000000" w:sz="4" w:space="0"/>
              <w:right w:val="single" w:color="000000" w:sz="4" w:space="0"/>
            </w:tcBorders>
            <w:vAlign w:val="center"/>
          </w:tcPr>
          <w:p w14:paraId="4BD8E283">
            <w:pPr>
              <w:jc w:val="center"/>
            </w:pPr>
            <w:r>
              <w:rPr>
                <w:rFonts w:ascii="宋体" w:hAnsi="宋体" w:eastAsia="宋体"/>
                <w:b w:val="0"/>
                <w:sz w:val="15"/>
              </w:rPr>
              <w:t>2</w:t>
            </w:r>
          </w:p>
        </w:tc>
        <w:tc>
          <w:tcPr>
            <w:tcW w:w="1559" w:type="dxa"/>
            <w:tcBorders>
              <w:top w:val="single" w:color="000000" w:sz="4" w:space="0"/>
              <w:left w:val="single" w:color="000000" w:sz="4" w:space="0"/>
              <w:bottom w:val="single" w:color="000000" w:sz="4" w:space="0"/>
              <w:right w:val="single" w:color="000000" w:sz="4" w:space="0"/>
            </w:tcBorders>
            <w:vAlign w:val="center"/>
          </w:tcPr>
          <w:p w14:paraId="57D9BC47">
            <w:r>
              <w:rPr>
                <w:rFonts w:hint="eastAsia"/>
                <w:sz w:val="17"/>
              </w:rPr>
              <w:t>65,000,000</w:t>
            </w:r>
          </w:p>
        </w:tc>
        <w:tc>
          <w:tcPr>
            <w:tcW w:w="1389" w:type="dxa"/>
            <w:tcBorders>
              <w:top w:val="single" w:color="000000" w:sz="4" w:space="0"/>
              <w:left w:val="single" w:color="000000" w:sz="4" w:space="0"/>
              <w:bottom w:val="single" w:color="000000" w:sz="4" w:space="0"/>
              <w:right w:val="single" w:color="000000" w:sz="4" w:space="0"/>
            </w:tcBorders>
            <w:vAlign w:val="center"/>
          </w:tcPr>
          <w:p w14:paraId="35A5B5A3">
            <w:r>
              <w:rPr>
                <w:rFonts w:hint="eastAsia"/>
                <w:sz w:val="17"/>
              </w:rPr>
              <w:t>130,000,000</w:t>
            </w:r>
          </w:p>
        </w:tc>
        <w:tc>
          <w:tcPr>
            <w:tcW w:w="1502" w:type="dxa"/>
            <w:tcBorders>
              <w:top w:val="single" w:color="000000" w:sz="4" w:space="0"/>
              <w:left w:val="single" w:color="000000" w:sz="4" w:space="0"/>
              <w:bottom w:val="single" w:color="000000" w:sz="4" w:space="0"/>
              <w:right w:val="single" w:color="000000" w:sz="4" w:space="0"/>
            </w:tcBorders>
            <w:vAlign w:val="center"/>
          </w:tcPr>
          <w:p w14:paraId="0CCC8CDA">
            <w:pPr>
              <w:jc w:val="center"/>
            </w:pPr>
            <w:r>
              <w:rPr>
                <w:rFonts w:ascii="宋体" w:hAnsi="宋体" w:eastAsia="宋体"/>
                <w:b w:val="0"/>
                <w:sz w:val="15"/>
              </w:rPr>
              <w:t>由响应人填写</w:t>
            </w:r>
          </w:p>
          <w:p w14:paraId="2998082F">
            <w:pPr>
              <w:jc w:val="center"/>
            </w:pPr>
            <w:r>
              <w:rPr>
                <w:rFonts w:ascii="Times New Roman" w:hAnsi="Times New Roman" w:eastAsia="宋体" w:cs="Times New Roman"/>
                <w:b w:val="0"/>
                <w:sz w:val="15"/>
              </w:rPr>
              <w:t>À compléter par le soumissionnaire</w:t>
            </w:r>
          </w:p>
        </w:tc>
        <w:tc>
          <w:tcPr>
            <w:tcW w:w="1757" w:type="dxa"/>
            <w:tcBorders>
              <w:top w:val="single" w:color="000000" w:sz="4" w:space="0"/>
              <w:left w:val="single" w:color="000000" w:sz="4" w:space="0"/>
              <w:bottom w:val="single" w:color="000000" w:sz="4" w:space="0"/>
              <w:right w:val="single" w:color="000000" w:sz="4" w:space="0"/>
            </w:tcBorders>
            <w:vAlign w:val="center"/>
          </w:tcPr>
          <w:p w14:paraId="2A60CE25"/>
        </w:tc>
      </w:tr>
      <w:tr w14:paraId="1955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36" w:type="dxa"/>
            <w:vMerge w:val="continue"/>
            <w:vAlign w:val="center"/>
          </w:tcPr>
          <w:p w14:paraId="296DE550"/>
        </w:tc>
        <w:tc>
          <w:tcPr>
            <w:tcW w:w="879" w:type="dxa"/>
            <w:tcBorders>
              <w:top w:val="single" w:color="000000" w:sz="4" w:space="0"/>
              <w:left w:val="single" w:color="000000" w:sz="4" w:space="0"/>
              <w:bottom w:val="single" w:color="000000" w:sz="4" w:space="0"/>
              <w:right w:val="single" w:color="000000" w:sz="4" w:space="0"/>
            </w:tcBorders>
            <w:vAlign w:val="center"/>
          </w:tcPr>
          <w:p w14:paraId="64F37E67">
            <w:pPr>
              <w:jc w:val="center"/>
            </w:pPr>
            <w:r>
              <w:rPr>
                <w:rFonts w:ascii="宋体" w:hAnsi="宋体" w:eastAsia="宋体"/>
                <w:b w:val="0"/>
                <w:sz w:val="15"/>
              </w:rPr>
              <w:t>经济舱</w:t>
            </w:r>
          </w:p>
          <w:p w14:paraId="4FCF5459">
            <w:pPr>
              <w:jc w:val="center"/>
            </w:pPr>
            <w:r>
              <w:rPr>
                <w:rFonts w:ascii="Times New Roman" w:hAnsi="Times New Roman" w:eastAsia="宋体" w:cs="Times New Roman"/>
                <w:b w:val="0"/>
                <w:sz w:val="15"/>
              </w:rPr>
              <w:t>Classe économique</w:t>
            </w:r>
          </w:p>
        </w:tc>
        <w:tc>
          <w:tcPr>
            <w:tcW w:w="1247" w:type="dxa"/>
            <w:tcBorders>
              <w:top w:val="single" w:color="000000" w:sz="4" w:space="0"/>
              <w:left w:val="single" w:color="000000" w:sz="4" w:space="0"/>
              <w:bottom w:val="single" w:color="000000" w:sz="4" w:space="0"/>
              <w:right w:val="single" w:color="000000" w:sz="4" w:space="0"/>
            </w:tcBorders>
            <w:vAlign w:val="center"/>
          </w:tcPr>
          <w:p w14:paraId="7038A334">
            <w:pPr>
              <w:jc w:val="center"/>
            </w:pPr>
            <w:r>
              <w:rPr>
                <w:rFonts w:ascii="宋体" w:hAnsi="宋体" w:eastAsia="宋体"/>
                <w:b w:val="0"/>
                <w:sz w:val="15"/>
              </w:rPr>
              <w:t>525</w:t>
            </w:r>
          </w:p>
        </w:tc>
        <w:tc>
          <w:tcPr>
            <w:tcW w:w="1559" w:type="dxa"/>
            <w:tcBorders>
              <w:top w:val="single" w:color="000000" w:sz="4" w:space="0"/>
              <w:left w:val="single" w:color="000000" w:sz="4" w:space="0"/>
              <w:bottom w:val="single" w:color="000000" w:sz="4" w:space="0"/>
              <w:right w:val="single" w:color="000000" w:sz="4" w:space="0"/>
            </w:tcBorders>
            <w:vAlign w:val="center"/>
          </w:tcPr>
          <w:p w14:paraId="60F1E1BF">
            <w:r>
              <w:rPr>
                <w:rFonts w:hint="eastAsia"/>
                <w:sz w:val="17"/>
              </w:rPr>
              <w:t>23,100,000</w:t>
            </w:r>
          </w:p>
        </w:tc>
        <w:tc>
          <w:tcPr>
            <w:tcW w:w="1389" w:type="dxa"/>
            <w:tcBorders>
              <w:top w:val="single" w:color="000000" w:sz="4" w:space="0"/>
              <w:left w:val="single" w:color="000000" w:sz="4" w:space="0"/>
              <w:bottom w:val="single" w:color="000000" w:sz="4" w:space="0"/>
              <w:right w:val="single" w:color="000000" w:sz="4" w:space="0"/>
            </w:tcBorders>
            <w:vAlign w:val="center"/>
          </w:tcPr>
          <w:p w14:paraId="2F3F339B">
            <w:r>
              <w:rPr>
                <w:rFonts w:hint="eastAsia"/>
                <w:sz w:val="17"/>
              </w:rPr>
              <w:t>12,127,500,000</w:t>
            </w:r>
          </w:p>
        </w:tc>
        <w:tc>
          <w:tcPr>
            <w:tcW w:w="1502" w:type="dxa"/>
            <w:tcBorders>
              <w:top w:val="single" w:color="000000" w:sz="4" w:space="0"/>
              <w:left w:val="single" w:color="000000" w:sz="4" w:space="0"/>
              <w:bottom w:val="single" w:color="000000" w:sz="4" w:space="0"/>
              <w:right w:val="single" w:color="000000" w:sz="4" w:space="0"/>
            </w:tcBorders>
            <w:vAlign w:val="center"/>
          </w:tcPr>
          <w:p w14:paraId="63A500AB">
            <w:pPr>
              <w:jc w:val="center"/>
            </w:pPr>
            <w:r>
              <w:rPr>
                <w:rFonts w:ascii="宋体" w:hAnsi="宋体" w:eastAsia="宋体"/>
                <w:b w:val="0"/>
                <w:sz w:val="15"/>
              </w:rPr>
              <w:t>由响应人填写</w:t>
            </w:r>
          </w:p>
          <w:p w14:paraId="7FF582F9">
            <w:pPr>
              <w:jc w:val="center"/>
            </w:pPr>
            <w:r>
              <w:rPr>
                <w:rFonts w:ascii="Times New Roman" w:hAnsi="Times New Roman" w:eastAsia="宋体" w:cs="Times New Roman"/>
                <w:b w:val="0"/>
                <w:sz w:val="15"/>
              </w:rPr>
              <w:t>À compléter par le soumissionnaire</w:t>
            </w:r>
          </w:p>
        </w:tc>
        <w:tc>
          <w:tcPr>
            <w:tcW w:w="1757" w:type="dxa"/>
            <w:tcBorders>
              <w:top w:val="single" w:color="000000" w:sz="4" w:space="0"/>
              <w:left w:val="single" w:color="000000" w:sz="4" w:space="0"/>
              <w:bottom w:val="single" w:color="000000" w:sz="4" w:space="0"/>
              <w:right w:val="single" w:color="000000" w:sz="4" w:space="0"/>
            </w:tcBorders>
            <w:vAlign w:val="center"/>
          </w:tcPr>
          <w:p w14:paraId="5A3C91EE"/>
        </w:tc>
      </w:tr>
      <w:tr w14:paraId="1A53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vMerge w:val="restart"/>
            <w:tcBorders>
              <w:top w:val="single" w:color="000000" w:sz="4" w:space="0"/>
              <w:left w:val="single" w:color="000000" w:sz="4" w:space="0"/>
              <w:bottom w:val="single" w:color="000000" w:sz="4" w:space="0"/>
              <w:right w:val="single" w:color="000000" w:sz="4" w:space="0"/>
            </w:tcBorders>
            <w:vAlign w:val="center"/>
          </w:tcPr>
          <w:p w14:paraId="2A84CD84">
            <w:pPr>
              <w:jc w:val="center"/>
            </w:pPr>
            <w:r>
              <w:rPr>
                <w:rFonts w:ascii="宋体" w:hAnsi="宋体" w:eastAsia="宋体"/>
                <w:b w:val="0"/>
                <w:sz w:val="15"/>
              </w:rPr>
              <w:t>2028年1—9月</w:t>
            </w:r>
          </w:p>
          <w:p w14:paraId="31FE85CC">
            <w:pPr>
              <w:jc w:val="center"/>
            </w:pPr>
            <w:r>
              <w:rPr>
                <w:rFonts w:ascii="Times New Roman" w:hAnsi="Times New Roman" w:eastAsia="宋体" w:cs="Times New Roman"/>
                <w:b w:val="0"/>
                <w:sz w:val="15"/>
              </w:rPr>
              <w:t>Janvier-septembre 2028</w:t>
            </w:r>
          </w:p>
        </w:tc>
        <w:tc>
          <w:tcPr>
            <w:tcW w:w="879" w:type="dxa"/>
            <w:tcBorders>
              <w:top w:val="single" w:color="000000" w:sz="4" w:space="0"/>
              <w:left w:val="single" w:color="000000" w:sz="4" w:space="0"/>
              <w:bottom w:val="single" w:color="000000" w:sz="4" w:space="0"/>
              <w:right w:val="single" w:color="000000" w:sz="4" w:space="0"/>
            </w:tcBorders>
            <w:vAlign w:val="center"/>
          </w:tcPr>
          <w:p w14:paraId="7E7D9844">
            <w:pPr>
              <w:jc w:val="center"/>
            </w:pPr>
            <w:r>
              <w:rPr>
                <w:rFonts w:ascii="宋体" w:hAnsi="宋体" w:eastAsia="宋体"/>
                <w:b w:val="0"/>
                <w:sz w:val="15"/>
              </w:rPr>
              <w:t>商务舱</w:t>
            </w:r>
          </w:p>
          <w:p w14:paraId="6CEBBEEE">
            <w:pPr>
              <w:jc w:val="center"/>
            </w:pPr>
            <w:r>
              <w:rPr>
                <w:rFonts w:ascii="Times New Roman" w:hAnsi="Times New Roman" w:eastAsia="宋体" w:cs="Times New Roman"/>
                <w:b w:val="0"/>
                <w:sz w:val="15"/>
              </w:rPr>
              <w:t>Classe affaires</w:t>
            </w:r>
          </w:p>
        </w:tc>
        <w:tc>
          <w:tcPr>
            <w:tcW w:w="1247" w:type="dxa"/>
            <w:tcBorders>
              <w:top w:val="single" w:color="000000" w:sz="4" w:space="0"/>
              <w:left w:val="single" w:color="000000" w:sz="4" w:space="0"/>
              <w:bottom w:val="single" w:color="000000" w:sz="4" w:space="0"/>
              <w:right w:val="single" w:color="000000" w:sz="4" w:space="0"/>
            </w:tcBorders>
            <w:vAlign w:val="center"/>
          </w:tcPr>
          <w:p w14:paraId="7F7A7B14">
            <w:pPr>
              <w:jc w:val="center"/>
            </w:pPr>
            <w:r>
              <w:rPr>
                <w:rFonts w:ascii="宋体" w:hAnsi="宋体" w:eastAsia="宋体"/>
                <w:b w:val="0"/>
                <w:sz w:val="15"/>
              </w:rPr>
              <w:t>2</w:t>
            </w:r>
          </w:p>
        </w:tc>
        <w:tc>
          <w:tcPr>
            <w:tcW w:w="1559" w:type="dxa"/>
            <w:tcBorders>
              <w:top w:val="single" w:color="000000" w:sz="4" w:space="0"/>
              <w:left w:val="single" w:color="000000" w:sz="4" w:space="0"/>
              <w:bottom w:val="single" w:color="000000" w:sz="4" w:space="0"/>
              <w:right w:val="single" w:color="000000" w:sz="4" w:space="0"/>
            </w:tcBorders>
            <w:vAlign w:val="center"/>
          </w:tcPr>
          <w:p w14:paraId="6FC80F34">
            <w:r>
              <w:rPr>
                <w:rFonts w:hint="eastAsia"/>
                <w:sz w:val="17"/>
              </w:rPr>
              <w:t>65,000,000</w:t>
            </w:r>
          </w:p>
        </w:tc>
        <w:tc>
          <w:tcPr>
            <w:tcW w:w="1389" w:type="dxa"/>
            <w:tcBorders>
              <w:top w:val="single" w:color="000000" w:sz="4" w:space="0"/>
              <w:left w:val="single" w:color="000000" w:sz="4" w:space="0"/>
              <w:bottom w:val="single" w:color="000000" w:sz="4" w:space="0"/>
              <w:right w:val="single" w:color="000000" w:sz="4" w:space="0"/>
            </w:tcBorders>
            <w:vAlign w:val="center"/>
          </w:tcPr>
          <w:p w14:paraId="0DD4C769">
            <w:pPr>
              <w:rPr>
                <w:rFonts w:hint="default" w:eastAsia="宋体"/>
                <w:lang w:val="en-US" w:eastAsia="zh-CN"/>
              </w:rPr>
            </w:pPr>
            <w:r>
              <w:rPr>
                <w:sz w:val="17"/>
              </w:rPr>
              <w:t>1</w:t>
            </w:r>
            <w:r>
              <w:rPr>
                <w:rFonts w:hint="eastAsia"/>
                <w:sz w:val="17"/>
                <w:lang w:val="en-US" w:eastAsia="zh-CN"/>
              </w:rPr>
              <w:t>30</w:t>
            </w:r>
            <w:r>
              <w:rPr>
                <w:sz w:val="17"/>
              </w:rPr>
              <w:t>,</w:t>
            </w:r>
            <w:r>
              <w:rPr>
                <w:rFonts w:hint="eastAsia"/>
                <w:sz w:val="17"/>
                <w:lang w:val="en-US" w:eastAsia="zh-CN"/>
              </w:rPr>
              <w:t>000</w:t>
            </w:r>
            <w:r>
              <w:rPr>
                <w:sz w:val="17"/>
              </w:rPr>
              <w:t>,</w:t>
            </w:r>
            <w:r>
              <w:rPr>
                <w:rFonts w:hint="eastAsia"/>
                <w:sz w:val="17"/>
                <w:lang w:val="en-US" w:eastAsia="zh-CN"/>
              </w:rPr>
              <w:t>000</w:t>
            </w:r>
          </w:p>
        </w:tc>
        <w:tc>
          <w:tcPr>
            <w:tcW w:w="1502" w:type="dxa"/>
            <w:tcBorders>
              <w:top w:val="single" w:color="000000" w:sz="4" w:space="0"/>
              <w:left w:val="single" w:color="000000" w:sz="4" w:space="0"/>
              <w:bottom w:val="single" w:color="000000" w:sz="4" w:space="0"/>
              <w:right w:val="single" w:color="000000" w:sz="4" w:space="0"/>
            </w:tcBorders>
            <w:vAlign w:val="center"/>
          </w:tcPr>
          <w:p w14:paraId="0B4605FF">
            <w:pPr>
              <w:jc w:val="center"/>
            </w:pPr>
            <w:r>
              <w:rPr>
                <w:rFonts w:ascii="宋体" w:hAnsi="宋体" w:eastAsia="宋体"/>
                <w:b w:val="0"/>
                <w:sz w:val="15"/>
              </w:rPr>
              <w:t>由响应人填写</w:t>
            </w:r>
          </w:p>
          <w:p w14:paraId="56D6A1DD">
            <w:pPr>
              <w:jc w:val="center"/>
            </w:pPr>
            <w:r>
              <w:rPr>
                <w:rFonts w:ascii="Times New Roman" w:hAnsi="Times New Roman" w:eastAsia="宋体" w:cs="Times New Roman"/>
                <w:b w:val="0"/>
                <w:sz w:val="15"/>
              </w:rPr>
              <w:t>À compléter par le soumissionnaire</w:t>
            </w:r>
          </w:p>
        </w:tc>
        <w:tc>
          <w:tcPr>
            <w:tcW w:w="1757" w:type="dxa"/>
            <w:tcBorders>
              <w:top w:val="single" w:color="000000" w:sz="4" w:space="0"/>
              <w:left w:val="single" w:color="000000" w:sz="4" w:space="0"/>
              <w:bottom w:val="single" w:color="000000" w:sz="4" w:space="0"/>
              <w:right w:val="single" w:color="000000" w:sz="4" w:space="0"/>
            </w:tcBorders>
            <w:vAlign w:val="center"/>
          </w:tcPr>
          <w:p w14:paraId="2025DC27"/>
        </w:tc>
      </w:tr>
      <w:tr w14:paraId="6564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36" w:type="dxa"/>
            <w:vMerge w:val="continue"/>
            <w:vAlign w:val="center"/>
          </w:tcPr>
          <w:p w14:paraId="1C51E6C7"/>
        </w:tc>
        <w:tc>
          <w:tcPr>
            <w:tcW w:w="879" w:type="dxa"/>
            <w:tcBorders>
              <w:top w:val="single" w:color="000000" w:sz="4" w:space="0"/>
              <w:left w:val="single" w:color="000000" w:sz="4" w:space="0"/>
              <w:bottom w:val="single" w:color="000000" w:sz="4" w:space="0"/>
              <w:right w:val="single" w:color="000000" w:sz="4" w:space="0"/>
            </w:tcBorders>
            <w:vAlign w:val="center"/>
          </w:tcPr>
          <w:p w14:paraId="187E605D">
            <w:pPr>
              <w:jc w:val="center"/>
            </w:pPr>
            <w:r>
              <w:rPr>
                <w:rFonts w:ascii="宋体" w:hAnsi="宋体" w:eastAsia="宋体"/>
                <w:b w:val="0"/>
                <w:sz w:val="15"/>
              </w:rPr>
              <w:t>经济舱</w:t>
            </w:r>
          </w:p>
          <w:p w14:paraId="3AACFB0F">
            <w:pPr>
              <w:jc w:val="center"/>
            </w:pPr>
            <w:r>
              <w:rPr>
                <w:rFonts w:ascii="Times New Roman" w:hAnsi="Times New Roman" w:eastAsia="宋体" w:cs="Times New Roman"/>
                <w:b w:val="0"/>
                <w:sz w:val="15"/>
              </w:rPr>
              <w:t>Classe économique</w:t>
            </w:r>
          </w:p>
        </w:tc>
        <w:tc>
          <w:tcPr>
            <w:tcW w:w="1247" w:type="dxa"/>
            <w:tcBorders>
              <w:top w:val="single" w:color="000000" w:sz="4" w:space="0"/>
              <w:left w:val="single" w:color="000000" w:sz="4" w:space="0"/>
              <w:bottom w:val="single" w:color="000000" w:sz="4" w:space="0"/>
              <w:right w:val="single" w:color="000000" w:sz="4" w:space="0"/>
            </w:tcBorders>
            <w:vAlign w:val="center"/>
          </w:tcPr>
          <w:p w14:paraId="17873268">
            <w:pPr>
              <w:jc w:val="center"/>
            </w:pPr>
            <w:r>
              <w:rPr>
                <w:rFonts w:ascii="宋体" w:hAnsi="宋体" w:eastAsia="宋体"/>
                <w:b w:val="0"/>
                <w:sz w:val="15"/>
              </w:rPr>
              <w:t>350</w:t>
            </w:r>
          </w:p>
        </w:tc>
        <w:tc>
          <w:tcPr>
            <w:tcW w:w="1559" w:type="dxa"/>
            <w:tcBorders>
              <w:top w:val="single" w:color="000000" w:sz="4" w:space="0"/>
              <w:left w:val="single" w:color="000000" w:sz="4" w:space="0"/>
              <w:bottom w:val="single" w:color="000000" w:sz="4" w:space="0"/>
              <w:right w:val="single" w:color="000000" w:sz="4" w:space="0"/>
            </w:tcBorders>
            <w:vAlign w:val="center"/>
          </w:tcPr>
          <w:p w14:paraId="17B0895D">
            <w:r>
              <w:rPr>
                <w:rFonts w:hint="eastAsia"/>
                <w:sz w:val="17"/>
              </w:rPr>
              <w:t>23,100,000</w:t>
            </w:r>
          </w:p>
        </w:tc>
        <w:tc>
          <w:tcPr>
            <w:tcW w:w="1389" w:type="dxa"/>
            <w:tcBorders>
              <w:top w:val="single" w:color="000000" w:sz="4" w:space="0"/>
              <w:left w:val="single" w:color="000000" w:sz="4" w:space="0"/>
              <w:bottom w:val="single" w:color="000000" w:sz="4" w:space="0"/>
              <w:right w:val="single" w:color="000000" w:sz="4" w:space="0"/>
            </w:tcBorders>
            <w:vAlign w:val="center"/>
          </w:tcPr>
          <w:p w14:paraId="1D7D5148">
            <w:r>
              <w:rPr>
                <w:sz w:val="17"/>
              </w:rPr>
              <w:t>8,0</w:t>
            </w:r>
            <w:r>
              <w:rPr>
                <w:rFonts w:hint="eastAsia"/>
                <w:sz w:val="17"/>
                <w:lang w:val="en-US" w:eastAsia="zh-CN"/>
              </w:rPr>
              <w:t>85</w:t>
            </w:r>
            <w:r>
              <w:rPr>
                <w:sz w:val="17"/>
              </w:rPr>
              <w:t>,</w:t>
            </w:r>
            <w:r>
              <w:rPr>
                <w:rFonts w:hint="eastAsia"/>
                <w:sz w:val="17"/>
                <w:lang w:val="en-US" w:eastAsia="zh-CN"/>
              </w:rPr>
              <w:t>000</w:t>
            </w:r>
            <w:r>
              <w:rPr>
                <w:sz w:val="17"/>
              </w:rPr>
              <w:t>,0</w:t>
            </w:r>
            <w:r>
              <w:rPr>
                <w:rFonts w:hint="eastAsia"/>
                <w:sz w:val="17"/>
                <w:lang w:val="en-US" w:eastAsia="zh-CN"/>
              </w:rPr>
              <w:t>0</w:t>
            </w:r>
            <w:r>
              <w:rPr>
                <w:sz w:val="17"/>
              </w:rPr>
              <w:t>0</w:t>
            </w:r>
          </w:p>
        </w:tc>
        <w:tc>
          <w:tcPr>
            <w:tcW w:w="1502" w:type="dxa"/>
            <w:tcBorders>
              <w:top w:val="single" w:color="000000" w:sz="4" w:space="0"/>
              <w:left w:val="single" w:color="000000" w:sz="4" w:space="0"/>
              <w:bottom w:val="single" w:color="000000" w:sz="4" w:space="0"/>
              <w:right w:val="single" w:color="000000" w:sz="4" w:space="0"/>
            </w:tcBorders>
            <w:vAlign w:val="center"/>
          </w:tcPr>
          <w:p w14:paraId="3AB1AAF5">
            <w:pPr>
              <w:jc w:val="center"/>
            </w:pPr>
            <w:r>
              <w:rPr>
                <w:rFonts w:ascii="宋体" w:hAnsi="宋体" w:eastAsia="宋体"/>
                <w:b w:val="0"/>
                <w:sz w:val="15"/>
              </w:rPr>
              <w:t>由响应人填写</w:t>
            </w:r>
          </w:p>
          <w:p w14:paraId="4EA15F56">
            <w:pPr>
              <w:jc w:val="center"/>
            </w:pPr>
            <w:r>
              <w:rPr>
                <w:rFonts w:ascii="Times New Roman" w:hAnsi="Times New Roman" w:eastAsia="宋体" w:cs="Times New Roman"/>
                <w:b w:val="0"/>
                <w:sz w:val="15"/>
              </w:rPr>
              <w:t>À compléter par le soumissionnaire</w:t>
            </w:r>
          </w:p>
        </w:tc>
        <w:tc>
          <w:tcPr>
            <w:tcW w:w="1757" w:type="dxa"/>
            <w:tcBorders>
              <w:top w:val="single" w:color="000000" w:sz="4" w:space="0"/>
              <w:left w:val="single" w:color="000000" w:sz="4" w:space="0"/>
              <w:bottom w:val="single" w:color="000000" w:sz="4" w:space="0"/>
              <w:right w:val="single" w:color="000000" w:sz="4" w:space="0"/>
            </w:tcBorders>
            <w:vAlign w:val="center"/>
          </w:tcPr>
          <w:p w14:paraId="179663CB"/>
        </w:tc>
      </w:tr>
      <w:tr w14:paraId="5619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4CA7327D">
            <w:pPr>
              <w:jc w:val="center"/>
              <w:rPr>
                <w:b/>
                <w:bCs/>
              </w:rPr>
            </w:pPr>
            <w:r>
              <w:rPr>
                <w:rFonts w:ascii="宋体" w:hAnsi="宋体" w:eastAsia="宋体"/>
                <w:b/>
                <w:bCs/>
                <w:sz w:val="15"/>
              </w:rPr>
              <w:t>合计</w:t>
            </w:r>
          </w:p>
          <w:p w14:paraId="60D162C6">
            <w:pPr>
              <w:jc w:val="center"/>
              <w:rPr>
                <w:b/>
                <w:bCs/>
              </w:rPr>
            </w:pPr>
            <w:r>
              <w:rPr>
                <w:rFonts w:ascii="Times New Roman" w:hAnsi="Times New Roman" w:eastAsia="宋体" w:cs="Times New Roman"/>
                <w:b/>
                <w:bCs/>
                <w:sz w:val="15"/>
              </w:rPr>
              <w:t>Total</w:t>
            </w:r>
          </w:p>
        </w:tc>
        <w:tc>
          <w:tcPr>
            <w:tcW w:w="879" w:type="dxa"/>
            <w:tcBorders>
              <w:top w:val="single" w:color="000000" w:sz="4" w:space="0"/>
              <w:left w:val="single" w:color="000000" w:sz="4" w:space="0"/>
              <w:bottom w:val="single" w:color="000000" w:sz="4" w:space="0"/>
              <w:right w:val="single" w:color="000000" w:sz="4" w:space="0"/>
            </w:tcBorders>
            <w:vAlign w:val="center"/>
          </w:tcPr>
          <w:p w14:paraId="5C2BF7BE">
            <w:pPr>
              <w:jc w:val="center"/>
              <w:rPr>
                <w:b/>
                <w:bCs/>
              </w:rPr>
            </w:pPr>
            <w:r>
              <w:rPr>
                <w:rFonts w:ascii="宋体" w:hAnsi="宋体" w:eastAsia="宋体"/>
                <w:b/>
                <w:bCs/>
                <w:sz w:val="15"/>
              </w:rPr>
              <w:t>—</w:t>
            </w:r>
          </w:p>
        </w:tc>
        <w:tc>
          <w:tcPr>
            <w:tcW w:w="1247" w:type="dxa"/>
            <w:tcBorders>
              <w:top w:val="single" w:color="000000" w:sz="4" w:space="0"/>
              <w:left w:val="single" w:color="000000" w:sz="4" w:space="0"/>
              <w:bottom w:val="single" w:color="000000" w:sz="4" w:space="0"/>
              <w:right w:val="single" w:color="000000" w:sz="4" w:space="0"/>
            </w:tcBorders>
            <w:vAlign w:val="center"/>
          </w:tcPr>
          <w:p w14:paraId="71ADBD2A">
            <w:pPr>
              <w:jc w:val="center"/>
              <w:rPr>
                <w:b/>
                <w:bCs/>
              </w:rPr>
            </w:pPr>
            <w:r>
              <w:rPr>
                <w:rFonts w:ascii="宋体" w:hAnsi="宋体" w:eastAsia="宋体"/>
                <w:b/>
                <w:bCs/>
                <w:sz w:val="15"/>
              </w:rPr>
              <w:t>980</w:t>
            </w:r>
          </w:p>
        </w:tc>
        <w:tc>
          <w:tcPr>
            <w:tcW w:w="1559" w:type="dxa"/>
            <w:tcBorders>
              <w:top w:val="single" w:color="000000" w:sz="4" w:space="0"/>
              <w:left w:val="single" w:color="000000" w:sz="4" w:space="0"/>
              <w:bottom w:val="single" w:color="000000" w:sz="4" w:space="0"/>
              <w:right w:val="single" w:color="000000" w:sz="4" w:space="0"/>
            </w:tcBorders>
            <w:vAlign w:val="center"/>
          </w:tcPr>
          <w:p w14:paraId="37569D6F">
            <w:pPr>
              <w:jc w:val="center"/>
              <w:rPr>
                <w:b/>
                <w:bCs/>
              </w:rPr>
            </w:pPr>
            <w:r>
              <w:rPr>
                <w:rFonts w:ascii="宋体" w:hAnsi="宋体" w:eastAsia="宋体"/>
                <w:b/>
                <w:bCs/>
                <w:sz w:val="17"/>
              </w:rPr>
              <w:t>—</w:t>
            </w:r>
          </w:p>
        </w:tc>
        <w:tc>
          <w:tcPr>
            <w:tcW w:w="1389" w:type="dxa"/>
            <w:tcBorders>
              <w:top w:val="single" w:color="000000" w:sz="4" w:space="0"/>
              <w:left w:val="single" w:color="000000" w:sz="4" w:space="0"/>
              <w:bottom w:val="single" w:color="000000" w:sz="4" w:space="0"/>
              <w:right w:val="single" w:color="000000" w:sz="4" w:space="0"/>
            </w:tcBorders>
            <w:vAlign w:val="center"/>
          </w:tcPr>
          <w:p w14:paraId="374849BA">
            <w:pPr>
              <w:rPr>
                <w:rFonts w:hint="default" w:eastAsia="宋体"/>
                <w:b/>
                <w:bCs/>
                <w:lang w:val="en-US" w:eastAsia="zh-CN"/>
              </w:rPr>
            </w:pPr>
            <w:r>
              <w:rPr>
                <w:b/>
                <w:bCs/>
                <w:sz w:val="17"/>
              </w:rPr>
              <w:t>22,</w:t>
            </w:r>
            <w:r>
              <w:rPr>
                <w:rFonts w:hint="eastAsia"/>
                <w:b/>
                <w:bCs/>
                <w:sz w:val="17"/>
                <w:lang w:val="en-US" w:eastAsia="zh-CN"/>
              </w:rPr>
              <w:t>847</w:t>
            </w:r>
            <w:r>
              <w:rPr>
                <w:b/>
                <w:bCs/>
                <w:sz w:val="17"/>
              </w:rPr>
              <w:t>,5</w:t>
            </w:r>
            <w:r>
              <w:rPr>
                <w:rFonts w:hint="eastAsia"/>
                <w:b/>
                <w:bCs/>
                <w:sz w:val="17"/>
                <w:lang w:val="en-US" w:eastAsia="zh-CN"/>
              </w:rPr>
              <w:t>00</w:t>
            </w:r>
            <w:r>
              <w:rPr>
                <w:b/>
                <w:bCs/>
                <w:sz w:val="17"/>
              </w:rPr>
              <w:t>,</w:t>
            </w:r>
            <w:r>
              <w:rPr>
                <w:rFonts w:hint="eastAsia"/>
                <w:b/>
                <w:bCs/>
                <w:sz w:val="17"/>
                <w:lang w:val="en-US" w:eastAsia="zh-CN"/>
              </w:rPr>
              <w:t>000</w:t>
            </w:r>
          </w:p>
        </w:tc>
        <w:tc>
          <w:tcPr>
            <w:tcW w:w="1502" w:type="dxa"/>
            <w:tcBorders>
              <w:top w:val="single" w:color="000000" w:sz="4" w:space="0"/>
              <w:left w:val="single" w:color="000000" w:sz="4" w:space="0"/>
              <w:bottom w:val="single" w:color="000000" w:sz="4" w:space="0"/>
              <w:right w:val="single" w:color="000000" w:sz="4" w:space="0"/>
            </w:tcBorders>
            <w:vAlign w:val="center"/>
          </w:tcPr>
          <w:p w14:paraId="3DEC8DEA">
            <w:pPr>
              <w:jc w:val="center"/>
            </w:pPr>
            <w:r>
              <w:rPr>
                <w:rFonts w:ascii="宋体" w:hAnsi="宋体" w:eastAsia="宋体"/>
                <w:b w:val="0"/>
                <w:sz w:val="15"/>
              </w:rPr>
              <w:t>—</w:t>
            </w:r>
          </w:p>
        </w:tc>
        <w:tc>
          <w:tcPr>
            <w:tcW w:w="1757" w:type="dxa"/>
            <w:tcBorders>
              <w:top w:val="single" w:color="000000" w:sz="4" w:space="0"/>
              <w:left w:val="single" w:color="000000" w:sz="4" w:space="0"/>
              <w:bottom w:val="single" w:color="000000" w:sz="4" w:space="0"/>
              <w:right w:val="single" w:color="000000" w:sz="4" w:space="0"/>
            </w:tcBorders>
            <w:vAlign w:val="center"/>
          </w:tcPr>
          <w:p w14:paraId="664A72E8">
            <w:pPr>
              <w:jc w:val="center"/>
              <w:rPr>
                <w:b/>
                <w:bCs/>
              </w:rPr>
            </w:pPr>
            <w:r>
              <w:rPr>
                <w:rFonts w:ascii="宋体" w:hAnsi="宋体" w:eastAsia="宋体"/>
                <w:b/>
                <w:bCs/>
                <w:sz w:val="17"/>
              </w:rPr>
              <w:t>各项暂估服务费金额之和（评审价格）</w:t>
            </w:r>
          </w:p>
          <w:p w14:paraId="74B54E10">
            <w:pPr>
              <w:jc w:val="center"/>
              <w:rPr>
                <w:b/>
                <w:bCs/>
              </w:rPr>
            </w:pPr>
            <w:r>
              <w:rPr>
                <w:rFonts w:ascii="Times New Roman" w:hAnsi="Times New Roman" w:eastAsia="宋体" w:cs="Times New Roman"/>
                <w:b/>
                <w:bCs/>
                <w:sz w:val="17"/>
              </w:rPr>
              <w:t>Somme des montants estimatifs des frais de service (prix d’évaluation)</w:t>
            </w:r>
          </w:p>
        </w:tc>
      </w:tr>
    </w:tbl>
    <w:p w14:paraId="2AF06A97">
      <w:pPr>
        <w:bidi w:val="0"/>
        <w:jc w:val="left"/>
        <w:rPr>
          <w:rFonts w:hint="eastAsia"/>
          <w:highlight w:val="none"/>
          <w:lang w:val="en-US" w:eastAsia="zh-CN"/>
        </w:rPr>
      </w:pPr>
    </w:p>
    <w:sectPr>
      <w:headerReference r:id="rId12" w:type="default"/>
      <w:pgSz w:w="11906" w:h="16838"/>
      <w:pgMar w:top="1417" w:right="1134" w:bottom="1134" w:left="1417" w:header="851" w:footer="850" w:gutter="0"/>
      <w:pgBorders>
        <w:top w:val="none" w:sz="0" w:space="0"/>
        <w:left w:val="none" w:sz="0" w:space="0"/>
        <w:bottom w:val="none" w:sz="0" w:space="0"/>
        <w:right w:val="none" w:sz="0" w:space="0"/>
      </w:pgBorders>
      <w:pgNumType w:fmt="decimal"/>
      <w:cols w:space="720" w:num="1"/>
      <w:titlePg/>
      <w:rtlGutter w:val="0"/>
      <w:docGrid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F"/>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6971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50071">
    <w:pPr>
      <w:pStyle w:val="22"/>
    </w:pPr>
    <w:r>
      <w:br w:type="textWrapping"/>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815F8A5">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rPr>
                              <w:rFonts w:hint="eastAsia" w:eastAsia="宋体"/>
                              <w:sz w:val="18"/>
                              <w:lang w:eastAsia="zh-CN"/>
                            </w:rPr>
                            <w:t>1</w:t>
                          </w:r>
                          <w:r>
                            <w:rPr>
                              <w:rFonts w:hint="eastAsia" w:eastAsia="宋体"/>
                              <w:sz w:val="18"/>
                              <w:lang w:eastAsia="zh-CN"/>
                            </w:rPr>
                            <w:fldChar w:fldCharType="end"/>
                          </w:r>
                        </w:p>
                      </w:txbxContent>
                    </wps:txbx>
                    <wps:bodyPr vert="horz" wrap="none" lIns="0" tIns="0" rIns="0" bIns="0" anchor="t" anchorCtr="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GvrMvOcB&#10;AADJAwAADgAAAAAAAAABACAAAAAiAQAAZHJzL2Uyb0RvYy54bWxQSwUGAAAAAAYABgBZAQAAewUA&#10;AAAA&#10;">
              <v:fill on="f" focussize="0,0"/>
              <v:stroke on="f" weight="1.25pt"/>
              <v:imagedata o:title=""/>
              <o:lock v:ext="edit" aspectratio="f"/>
              <v:textbox inset="0mm,0mm,0mm,0mm" style="mso-fit-shape-to-text:t;">
                <w:txbxContent>
                  <w:p w14:paraId="7815F8A5">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rPr>
                        <w:rFonts w:hint="eastAsia" w:eastAsia="宋体"/>
                        <w:sz w:val="18"/>
                        <w:lang w:eastAsia="zh-CN"/>
                      </w:rPr>
                      <w:t>1</w:t>
                    </w:r>
                    <w:r>
                      <w:rPr>
                        <w:rFonts w:hint="eastAsia" w:eastAsia="宋体"/>
                        <w:sz w:val="1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0807E">
    <w:pPr>
      <w:pStyle w:val="2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5C1B943">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vert="horz" wrap="none" lIns="0" tIns="0" rIns="0" bIns="0" anchor="t" anchorCtr="0" upright="0">
                      <a:spAutoFit/>
                    </wps:bodyPr>
                  </wps:wsp>
                </a:graphicData>
              </a:graphic>
            </wp:anchor>
          </w:drawing>
        </mc:Choice>
        <mc:Fallback>
          <w:pict>
            <v:shape id="文本框 4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DucgUJ5gEA&#10;AMkDAAAOAAAAAAAAAAEAIAAAACIBAABkcnMvZTJvRG9jLnhtbFBLBQYAAAAABgAGAFkBAAB6BQAA&#10;AAA=&#10;">
              <v:fill on="f" focussize="0,0"/>
              <v:stroke on="f" weight="1.25pt"/>
              <v:imagedata o:title=""/>
              <o:lock v:ext="edit" aspectratio="f"/>
              <v:textbox inset="0mm,0mm,0mm,0mm" style="mso-fit-shape-to-text:t;">
                <w:txbxContent>
                  <w:p w14:paraId="45C1B943">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8E78A">
    <w:pPr>
      <w:pStyle w:val="22"/>
      <w:jc w:val="center"/>
      <w:rPr>
        <w:rFonts w:ascii="宋体" w:hAnsi="宋体"/>
        <w:sz w:val="20"/>
        <w:szCs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C557549">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p>
                      </w:txbxContent>
                    </wps:txbx>
                    <wps:bodyPr vert="horz" wrap="none" lIns="0" tIns="0" rIns="0" bIns="0" anchor="t" anchorCtr="0" upright="0">
                      <a:spAutoFit/>
                    </wps:bodyPr>
                  </wps:wsp>
                </a:graphicData>
              </a:graphic>
            </wp:anchor>
          </w:drawing>
        </mc:Choice>
        <mc:Fallback>
          <w:pict>
            <v:shape id="文本框 4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F20FIucB&#10;AADJAwAADgAAAAAAAAABACAAAAAiAQAAZHJzL2Uyb0RvYy54bWxQSwUGAAAAAAYABgBZAQAAewUA&#10;AAAA&#10;">
              <v:fill on="f" focussize="0,0"/>
              <v:stroke on="f" weight="1.25pt"/>
              <v:imagedata o:title=""/>
              <o:lock v:ext="edit" aspectratio="f"/>
              <v:textbox inset="0mm,0mm,0mm,0mm" style="mso-fit-shape-to-text:t;">
                <w:txbxContent>
                  <w:p w14:paraId="2C557549">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E1771">
    <w:pPr>
      <w:pStyle w:val="2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D4C8801">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rPr>
                              <w:rFonts w:hint="eastAsia" w:eastAsia="宋体"/>
                              <w:sz w:val="18"/>
                              <w:lang w:eastAsia="zh-CN"/>
                            </w:rPr>
                            <w:t>1</w:t>
                          </w:r>
                          <w:r>
                            <w:rPr>
                              <w:rFonts w:hint="eastAsia" w:eastAsia="宋体"/>
                              <w:sz w:val="18"/>
                              <w:lang w:eastAsia="zh-CN"/>
                            </w:rPr>
                            <w:fldChar w:fldCharType="end"/>
                          </w:r>
                        </w:p>
                      </w:txbxContent>
                    </wps:txbx>
                    <wps:bodyPr wrap="none" lIns="0" tIns="0" rIns="0" bIns="0" upright="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aF1ZytIBAACkAwAADgAAAAAAAAABACAAAAAi&#10;AQAAZHJzL2Uyb0RvYy54bWxQSwUGAAAAAAYABgBZAQAAZgUAAAAA&#10;">
              <v:fill on="f" focussize="0,0"/>
              <v:stroke on="f" weight="1.25pt"/>
              <v:imagedata o:title=""/>
              <o:lock v:ext="edit" aspectratio="f"/>
              <v:textbox inset="0mm,0mm,0mm,0mm" style="mso-fit-shape-to-text:t;">
                <w:txbxContent>
                  <w:p w14:paraId="6D4C8801">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rPr>
                        <w:rFonts w:hint="eastAsia" w:eastAsia="宋体"/>
                        <w:sz w:val="18"/>
                        <w:lang w:eastAsia="zh-CN"/>
                      </w:rPr>
                      <w:t>1</w:t>
                    </w:r>
                    <w:r>
                      <w:rPr>
                        <w:rFonts w:hint="eastAsia" w:eastAsia="宋体"/>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08A2A">
    <w:pPr>
      <w:pStyle w:val="23"/>
      <w:spacing w:before="0" w:after="40"/>
      <w:jc w:val="both"/>
      <w:rPr>
        <w:u w:val="single"/>
      </w:rPr>
    </w:pPr>
    <w:r>
      <w:rPr>
        <w:rFonts w:hint="eastAsia" w:ascii="宋体" w:hAnsi="宋体" w:eastAsia="宋体"/>
        <w:b w:val="0"/>
        <w:color w:val="000000"/>
        <w:sz w:val="17"/>
        <w:szCs w:val="32"/>
        <w:u w:val="single"/>
      </w:rPr>
      <w:t xml:space="preserve">国家电投国际投资开发（几内亚）有限责任公司  </w:t>
    </w:r>
    <w:r>
      <w:rPr>
        <w:rFonts w:hint="eastAsia" w:ascii="宋体" w:hAnsi="宋体"/>
        <w:b w:val="0"/>
        <w:color w:val="000000"/>
        <w:sz w:val="17"/>
        <w:szCs w:val="32"/>
        <w:u w:val="single"/>
        <w:lang w:val="en-US" w:eastAsia="zh-CN"/>
      </w:rPr>
      <w:t xml:space="preserve">                                                 </w:t>
    </w:r>
    <w:r>
      <w:rPr>
        <w:rFonts w:hint="eastAsia" w:ascii="宋体" w:hAnsi="宋体" w:eastAsia="宋体"/>
        <w:b w:val="0"/>
        <w:color w:val="000000"/>
        <w:sz w:val="17"/>
        <w:szCs w:val="32"/>
        <w:u w:val="single"/>
      </w:rPr>
      <w:t xml:space="preserve"> 谈判采购文件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7746C">
    <w:pPr>
      <w:spacing w:before="0" w:after="40"/>
      <w:jc w:val="center"/>
    </w:pPr>
    <w:r>
      <w:rPr>
        <w:rFonts w:ascii="宋体" w:hAnsi="宋体" w:eastAsia="宋体"/>
        <w:b w:val="0"/>
        <w:sz w:val="17"/>
      </w:rPr>
      <w:t>国家电投国际投资开发（几内亚）有限责任公司    国际机票代理服务</w:t>
    </w:r>
    <w:r>
      <w:rPr>
        <w:rFonts w:hint="eastAsia" w:ascii="宋体" w:hAnsi="宋体"/>
        <w:b w:val="0"/>
        <w:sz w:val="17"/>
        <w:lang w:eastAsia="zh-CN"/>
      </w:rPr>
      <w:t>谈判</w:t>
    </w:r>
    <w:r>
      <w:rPr>
        <w:rFonts w:ascii="宋体" w:hAnsi="宋体" w:eastAsia="宋体"/>
        <w:b w:val="0"/>
        <w:sz w:val="17"/>
      </w:rPr>
      <w:t>采购文件</w:t>
    </w:r>
  </w:p>
  <w:p w14:paraId="605B3F76">
    <w:pPr>
      <w:spacing w:before="0" w:after="40"/>
      <w:jc w:val="center"/>
    </w:pPr>
    <w:r>
      <w:rPr>
        <w:rFonts w:ascii="Times New Roman" w:hAnsi="Times New Roman" w:eastAsia="宋体" w:cs="Times New Roman"/>
        <w:b w:val="0"/>
        <w:sz w:val="17"/>
      </w:rPr>
      <w:t>SPIC International Investment &amp; Development(Guinea) Co.,Ltd    Dossier de consultation pour une procédure négociée concurrentielle – Services d’agence pour billets d’avion internationaux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6A296">
    <w:pPr>
      <w:spacing w:before="0" w:after="40"/>
      <w:jc w:val="both"/>
    </w:pPr>
    <w:r>
      <w:rPr>
        <w:rFonts w:ascii="宋体" w:hAnsi="宋体" w:eastAsia="宋体"/>
        <w:b w:val="0"/>
        <w:sz w:val="17"/>
      </w:rPr>
      <w:t xml:space="preserve">国家电投国际投资开发（几内亚）有限责任公司   </w:t>
    </w:r>
    <w:r>
      <w:rPr>
        <w:rFonts w:hint="eastAsia" w:ascii="宋体" w:hAnsi="宋体"/>
        <w:b w:val="0"/>
        <w:sz w:val="17"/>
        <w:lang w:val="en-US" w:eastAsia="zh-CN"/>
      </w:rPr>
      <w:t xml:space="preserve">                                                 谈</w:t>
    </w:r>
    <w:r>
      <w:rPr>
        <w:rFonts w:ascii="宋体" w:hAnsi="宋体" w:eastAsia="宋体"/>
        <w:b w:val="0"/>
        <w:sz w:val="17"/>
      </w:rPr>
      <w:t>判采购</w:t>
    </w:r>
  </w:p>
  <w:p w14:paraId="563AEB5C">
    <w:pPr>
      <w:spacing w:before="0" w:after="40"/>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68EF0">
    <w:pPr>
      <w:pBdr>
        <w:bottom w:val="single" w:color="auto" w:sz="4" w:space="1"/>
      </w:pBdr>
      <w:spacing w:before="0" w:after="40"/>
      <w:jc w:val="center"/>
      <w:rPr>
        <w:rFonts w:hint="eastAsia" w:eastAsia="宋体"/>
        <w:lang w:val="en-US" w:eastAsia="zh-CN"/>
      </w:rPr>
    </w:pPr>
    <w:bookmarkStart w:id="146" w:name="Content"/>
    <w:bookmarkEnd w:id="146"/>
    <w:r>
      <w:rPr>
        <w:rFonts w:hint="eastAsia" w:ascii="宋体" w:hAnsi="宋体" w:eastAsia="宋体"/>
        <w:b w:val="0"/>
        <w:color w:val="000000"/>
        <w:sz w:val="17"/>
        <w:szCs w:val="32"/>
      </w:rPr>
      <w:t xml:space="preserve">国家电投国际投资开发（几内亚）有限责任公司  </w:t>
    </w:r>
    <w:r>
      <w:rPr>
        <w:rFonts w:hint="eastAsia" w:ascii="宋体" w:hAnsi="宋体"/>
        <w:b w:val="0"/>
        <w:color w:val="000000"/>
        <w:sz w:val="17"/>
        <w:szCs w:val="32"/>
        <w:lang w:val="en-US" w:eastAsia="zh-CN"/>
      </w:rPr>
      <w:t xml:space="preserve">                                              </w:t>
    </w:r>
    <w:r>
      <w:rPr>
        <w:rFonts w:hint="eastAsia" w:ascii="宋体" w:hAnsi="宋体" w:eastAsia="宋体"/>
        <w:b w:val="0"/>
        <w:color w:val="000000"/>
        <w:sz w:val="17"/>
        <w:szCs w:val="32"/>
      </w:rPr>
      <w:t xml:space="preserve"> 谈判采购文件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AF0BD">
    <w:pPr>
      <w:pStyle w:val="23"/>
      <w:pBdr>
        <w:bottom w:val="single" w:color="auto" w:sz="4" w:space="1"/>
      </w:pBdr>
      <w:spacing w:before="0" w:after="40"/>
      <w:jc w:val="center"/>
    </w:pPr>
    <w:r>
      <w:rPr>
        <w:rFonts w:hint="eastAsia" w:ascii="宋体" w:hAnsi="宋体" w:eastAsia="宋体"/>
        <w:b w:val="0"/>
        <w:color w:val="000000"/>
        <w:sz w:val="17"/>
        <w:szCs w:val="32"/>
      </w:rPr>
      <w:t>国家电投国际投资开发（几内亚）有限责任公司    国际机票代理服务</w:t>
    </w:r>
    <w:r>
      <w:rPr>
        <w:rFonts w:hint="eastAsia" w:ascii="宋体" w:hAnsi="宋体"/>
        <w:b w:val="0"/>
        <w:color w:val="000000"/>
        <w:sz w:val="17"/>
        <w:szCs w:val="32"/>
        <w:lang w:eastAsia="zh-CN"/>
      </w:rPr>
      <w:t>谈判</w:t>
    </w:r>
    <w:r>
      <w:rPr>
        <w:rFonts w:hint="eastAsia" w:ascii="宋体" w:hAnsi="宋体" w:eastAsia="宋体"/>
        <w:b w:val="0"/>
        <w:color w:val="000000"/>
        <w:sz w:val="17"/>
        <w:szCs w:val="32"/>
      </w:rPr>
      <w:t>采购文件</w:t>
    </w:r>
  </w:p>
  <w:p w14:paraId="1B23AA03">
    <w:pPr>
      <w:pBdr>
        <w:bottom w:val="single" w:color="auto" w:sz="4" w:space="1"/>
      </w:pBdr>
      <w:spacing w:before="0" w:after="40"/>
      <w:jc w:val="center"/>
    </w:pPr>
    <w:r>
      <w:rPr>
        <w:rFonts w:hint="eastAsia" w:ascii="Times New Roman" w:hAnsi="Times New Roman" w:eastAsia="宋体" w:cs="Times New Roman"/>
        <w:b w:val="0"/>
        <w:color w:val="000000"/>
        <w:sz w:val="17"/>
        <w:szCs w:val="32"/>
      </w:rPr>
      <w:t>SPIC International Investment &amp; Development(Guinea) Co.,Ltd    Dossier de consultation pour une procédure négociée concurrentielle – Services d’agence pour billets d’avion internationaux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EE0A30"/>
    <w:multiLevelType w:val="singleLevel"/>
    <w:tmpl w:val="91EE0A30"/>
    <w:lvl w:ilvl="0" w:tentative="0">
      <w:start w:val="2"/>
      <w:numFmt w:val="chineseCounting"/>
      <w:suff w:val="space"/>
      <w:lvlText w:val="第%1章"/>
      <w:lvlJc w:val="left"/>
      <w:rPr>
        <w:rFonts w:hint="eastAsia"/>
      </w:rPr>
    </w:lvl>
  </w:abstractNum>
  <w:abstractNum w:abstractNumId="1">
    <w:nsid w:val="20BD24EC"/>
    <w:multiLevelType w:val="multilevel"/>
    <w:tmpl w:val="20BD24EC"/>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840176"/>
    <w:multiLevelType w:val="multilevel"/>
    <w:tmpl w:val="46840176"/>
    <w:lvl w:ilvl="0" w:tentative="0">
      <w:start w:val="1"/>
      <w:numFmt w:val="japaneseCounting"/>
      <w:lvlText w:val="%1、"/>
      <w:lvlJc w:val="left"/>
      <w:pPr>
        <w:ind w:left="720" w:hanging="720"/>
      </w:pPr>
      <w:rPr>
        <w:rFonts w:hint="default"/>
      </w:rPr>
    </w:lvl>
    <w:lvl w:ilvl="1" w:tentative="0">
      <w:start w:val="1"/>
      <w:numFmt w:val="decimal"/>
      <w:lvlText w:val="%2、"/>
      <w:lvlJc w:val="left"/>
      <w:pPr>
        <w:ind w:left="1140" w:hanging="720"/>
      </w:pPr>
      <w:rPr>
        <w:rFonts w:hint="default"/>
      </w:r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54B5701"/>
    <w:multiLevelType w:val="multilevel"/>
    <w:tmpl w:val="554B570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1FCC9B2"/>
    <w:multiLevelType w:val="singleLevel"/>
    <w:tmpl w:val="61FCC9B2"/>
    <w:lvl w:ilvl="0" w:tentative="0">
      <w:start w:val="1"/>
      <w:numFmt w:val="chineseCounting"/>
      <w:suff w:val="space"/>
      <w:lvlText w:val="第%1章"/>
      <w:lvlJc w:val="left"/>
      <w:rPr>
        <w:rFonts w:hint="eastAsia"/>
      </w:rPr>
    </w:lvl>
  </w:abstractNum>
  <w:abstractNum w:abstractNumId="5">
    <w:nsid w:val="647224B4"/>
    <w:multiLevelType w:val="singleLevel"/>
    <w:tmpl w:val="647224B4"/>
    <w:lvl w:ilvl="0" w:tentative="0">
      <w:start w:val="1"/>
      <w:numFmt w:val="decimal"/>
      <w:lvlText w:val="%1"/>
      <w:lvlJc w:val="center"/>
      <w:pPr>
        <w:tabs>
          <w:tab w:val="left" w:pos="170"/>
        </w:tabs>
        <w:ind w:left="0" w:firstLine="170"/>
      </w:pPr>
      <w:rPr>
        <w:rFonts w:hint="default"/>
      </w:rPr>
    </w:lvl>
  </w:abstractNum>
  <w:abstractNum w:abstractNumId="6">
    <w:nsid w:val="6796567B"/>
    <w:multiLevelType w:val="singleLevel"/>
    <w:tmpl w:val="6796567B"/>
    <w:lvl w:ilvl="0" w:tentative="0">
      <w:start w:val="7"/>
      <w:numFmt w:val="chineseCounting"/>
      <w:suff w:val="nothing"/>
      <w:lvlText w:val="%1、"/>
      <w:lvlJc w:val="left"/>
      <w:rPr>
        <w:rFonts w:hint="eastAsia"/>
      </w:rPr>
    </w:lvl>
  </w:abstractNum>
  <w:num w:numId="1">
    <w:abstractNumId w:val="4"/>
  </w:num>
  <w:num w:numId="2">
    <w:abstractNumId w:val="5"/>
  </w:num>
  <w:num w:numId="3">
    <w:abstractNumId w:val="0"/>
  </w:num>
  <w:num w:numId="4">
    <w:abstractNumId w:val="2"/>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794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jYTZlNWIxOGZlMjJmOWE5NWFmMjNjMmI1NzQ3YzkifQ=="/>
  </w:docVars>
  <w:rsids>
    <w:rsidRoot w:val="00172A27"/>
    <w:rsid w:val="00006A94"/>
    <w:rsid w:val="00010A13"/>
    <w:rsid w:val="000138F2"/>
    <w:rsid w:val="00014E3B"/>
    <w:rsid w:val="0001640A"/>
    <w:rsid w:val="00024F45"/>
    <w:rsid w:val="00026250"/>
    <w:rsid w:val="0004593C"/>
    <w:rsid w:val="00052CD1"/>
    <w:rsid w:val="000605C8"/>
    <w:rsid w:val="000650A6"/>
    <w:rsid w:val="00065E10"/>
    <w:rsid w:val="000A1559"/>
    <w:rsid w:val="000A2128"/>
    <w:rsid w:val="000B3426"/>
    <w:rsid w:val="000B3B62"/>
    <w:rsid w:val="000B4B62"/>
    <w:rsid w:val="000D36B7"/>
    <w:rsid w:val="00103A6A"/>
    <w:rsid w:val="00105A7A"/>
    <w:rsid w:val="00112426"/>
    <w:rsid w:val="00115B1A"/>
    <w:rsid w:val="00125D09"/>
    <w:rsid w:val="00130ABB"/>
    <w:rsid w:val="0014668D"/>
    <w:rsid w:val="001513DA"/>
    <w:rsid w:val="00177940"/>
    <w:rsid w:val="00184E64"/>
    <w:rsid w:val="001945B5"/>
    <w:rsid w:val="001970EA"/>
    <w:rsid w:val="001A19C7"/>
    <w:rsid w:val="001A582F"/>
    <w:rsid w:val="001B0A73"/>
    <w:rsid w:val="001C09B5"/>
    <w:rsid w:val="001D7ECB"/>
    <w:rsid w:val="00216217"/>
    <w:rsid w:val="002206B4"/>
    <w:rsid w:val="00222C47"/>
    <w:rsid w:val="00257554"/>
    <w:rsid w:val="0027252D"/>
    <w:rsid w:val="002768B1"/>
    <w:rsid w:val="00277457"/>
    <w:rsid w:val="00277A83"/>
    <w:rsid w:val="00282D09"/>
    <w:rsid w:val="00286A04"/>
    <w:rsid w:val="0029448B"/>
    <w:rsid w:val="00296D3F"/>
    <w:rsid w:val="002C2A97"/>
    <w:rsid w:val="002D5EA2"/>
    <w:rsid w:val="002F1A9F"/>
    <w:rsid w:val="002F4258"/>
    <w:rsid w:val="002F4F92"/>
    <w:rsid w:val="002F6B90"/>
    <w:rsid w:val="003016F6"/>
    <w:rsid w:val="00306A4D"/>
    <w:rsid w:val="003230A1"/>
    <w:rsid w:val="00337EEB"/>
    <w:rsid w:val="00340A8C"/>
    <w:rsid w:val="0034328D"/>
    <w:rsid w:val="00345F35"/>
    <w:rsid w:val="00367441"/>
    <w:rsid w:val="003702EF"/>
    <w:rsid w:val="00372D91"/>
    <w:rsid w:val="00373B49"/>
    <w:rsid w:val="00384051"/>
    <w:rsid w:val="0038616E"/>
    <w:rsid w:val="003A0497"/>
    <w:rsid w:val="003A0620"/>
    <w:rsid w:val="003F0CA1"/>
    <w:rsid w:val="00400A80"/>
    <w:rsid w:val="00402CD2"/>
    <w:rsid w:val="00424FB7"/>
    <w:rsid w:val="004327F6"/>
    <w:rsid w:val="004436FB"/>
    <w:rsid w:val="004613C7"/>
    <w:rsid w:val="004616B3"/>
    <w:rsid w:val="00480D56"/>
    <w:rsid w:val="004855C4"/>
    <w:rsid w:val="004928A4"/>
    <w:rsid w:val="004C4B19"/>
    <w:rsid w:val="004C66BD"/>
    <w:rsid w:val="004E0C7A"/>
    <w:rsid w:val="004F2275"/>
    <w:rsid w:val="00500A09"/>
    <w:rsid w:val="00502E63"/>
    <w:rsid w:val="0050403E"/>
    <w:rsid w:val="00516A56"/>
    <w:rsid w:val="00523B89"/>
    <w:rsid w:val="00524FEC"/>
    <w:rsid w:val="005261FB"/>
    <w:rsid w:val="005271DB"/>
    <w:rsid w:val="0052751E"/>
    <w:rsid w:val="005537A7"/>
    <w:rsid w:val="00556932"/>
    <w:rsid w:val="00557808"/>
    <w:rsid w:val="00564DEC"/>
    <w:rsid w:val="00582219"/>
    <w:rsid w:val="005850B1"/>
    <w:rsid w:val="005937FE"/>
    <w:rsid w:val="00594986"/>
    <w:rsid w:val="005A3256"/>
    <w:rsid w:val="005B1694"/>
    <w:rsid w:val="005B1E46"/>
    <w:rsid w:val="005D3D4D"/>
    <w:rsid w:val="005F6D94"/>
    <w:rsid w:val="00613110"/>
    <w:rsid w:val="00623901"/>
    <w:rsid w:val="00626D6A"/>
    <w:rsid w:val="00637E49"/>
    <w:rsid w:val="00661B3A"/>
    <w:rsid w:val="00671938"/>
    <w:rsid w:val="0068275B"/>
    <w:rsid w:val="006A3723"/>
    <w:rsid w:val="006C0842"/>
    <w:rsid w:val="006C42D1"/>
    <w:rsid w:val="006D5C59"/>
    <w:rsid w:val="006F2021"/>
    <w:rsid w:val="006F5816"/>
    <w:rsid w:val="00703DEA"/>
    <w:rsid w:val="00755BFE"/>
    <w:rsid w:val="00771D5E"/>
    <w:rsid w:val="0077278E"/>
    <w:rsid w:val="00775882"/>
    <w:rsid w:val="0078002F"/>
    <w:rsid w:val="007A5A56"/>
    <w:rsid w:val="007A6BC0"/>
    <w:rsid w:val="007B23A9"/>
    <w:rsid w:val="007C3E9F"/>
    <w:rsid w:val="007C4E6E"/>
    <w:rsid w:val="007D648E"/>
    <w:rsid w:val="007E1576"/>
    <w:rsid w:val="00814B5A"/>
    <w:rsid w:val="0083549E"/>
    <w:rsid w:val="008438F8"/>
    <w:rsid w:val="0085062F"/>
    <w:rsid w:val="008507DF"/>
    <w:rsid w:val="00856CC9"/>
    <w:rsid w:val="00870DD9"/>
    <w:rsid w:val="00891154"/>
    <w:rsid w:val="008A205C"/>
    <w:rsid w:val="008B66A2"/>
    <w:rsid w:val="008B6E77"/>
    <w:rsid w:val="008C4383"/>
    <w:rsid w:val="008D0464"/>
    <w:rsid w:val="008D0FB5"/>
    <w:rsid w:val="008F41D9"/>
    <w:rsid w:val="009223B3"/>
    <w:rsid w:val="00927926"/>
    <w:rsid w:val="00936139"/>
    <w:rsid w:val="00940DF2"/>
    <w:rsid w:val="009565B7"/>
    <w:rsid w:val="0098234E"/>
    <w:rsid w:val="009855D9"/>
    <w:rsid w:val="009D7165"/>
    <w:rsid w:val="009E4070"/>
    <w:rsid w:val="009E5DD9"/>
    <w:rsid w:val="009E750E"/>
    <w:rsid w:val="009F637C"/>
    <w:rsid w:val="00A01445"/>
    <w:rsid w:val="00A03158"/>
    <w:rsid w:val="00A07A7B"/>
    <w:rsid w:val="00A17012"/>
    <w:rsid w:val="00A531F3"/>
    <w:rsid w:val="00A60ECA"/>
    <w:rsid w:val="00A65D5E"/>
    <w:rsid w:val="00A81EF1"/>
    <w:rsid w:val="00A95970"/>
    <w:rsid w:val="00AA1EF2"/>
    <w:rsid w:val="00AA64FD"/>
    <w:rsid w:val="00AB27AB"/>
    <w:rsid w:val="00AB62C0"/>
    <w:rsid w:val="00AB6CD8"/>
    <w:rsid w:val="00AC66FF"/>
    <w:rsid w:val="00AD61CF"/>
    <w:rsid w:val="00AE2EF3"/>
    <w:rsid w:val="00B12FC8"/>
    <w:rsid w:val="00B141AE"/>
    <w:rsid w:val="00B146BA"/>
    <w:rsid w:val="00B14A27"/>
    <w:rsid w:val="00B25E70"/>
    <w:rsid w:val="00B27F48"/>
    <w:rsid w:val="00B413FC"/>
    <w:rsid w:val="00B537B5"/>
    <w:rsid w:val="00B53D94"/>
    <w:rsid w:val="00B62EA8"/>
    <w:rsid w:val="00B72EA1"/>
    <w:rsid w:val="00B848D2"/>
    <w:rsid w:val="00BA3B87"/>
    <w:rsid w:val="00BA3E8F"/>
    <w:rsid w:val="00BB1BDB"/>
    <w:rsid w:val="00BC5493"/>
    <w:rsid w:val="00BC5FA7"/>
    <w:rsid w:val="00BE24E5"/>
    <w:rsid w:val="00BE7A3E"/>
    <w:rsid w:val="00C51BE6"/>
    <w:rsid w:val="00C52D43"/>
    <w:rsid w:val="00C532DB"/>
    <w:rsid w:val="00C72917"/>
    <w:rsid w:val="00C97A5F"/>
    <w:rsid w:val="00CC043E"/>
    <w:rsid w:val="00CC1979"/>
    <w:rsid w:val="00CC2D52"/>
    <w:rsid w:val="00CF168A"/>
    <w:rsid w:val="00CF349E"/>
    <w:rsid w:val="00D034C5"/>
    <w:rsid w:val="00D03571"/>
    <w:rsid w:val="00D17C63"/>
    <w:rsid w:val="00D2748E"/>
    <w:rsid w:val="00D33CCF"/>
    <w:rsid w:val="00D564B5"/>
    <w:rsid w:val="00D84098"/>
    <w:rsid w:val="00D84359"/>
    <w:rsid w:val="00DA32BA"/>
    <w:rsid w:val="00DA4699"/>
    <w:rsid w:val="00DA659D"/>
    <w:rsid w:val="00DA69C5"/>
    <w:rsid w:val="00DB1673"/>
    <w:rsid w:val="00DC63C0"/>
    <w:rsid w:val="00DE4309"/>
    <w:rsid w:val="00DE6209"/>
    <w:rsid w:val="00E04448"/>
    <w:rsid w:val="00E06528"/>
    <w:rsid w:val="00E2469E"/>
    <w:rsid w:val="00E2474B"/>
    <w:rsid w:val="00E3449D"/>
    <w:rsid w:val="00E3691A"/>
    <w:rsid w:val="00E52653"/>
    <w:rsid w:val="00E54F42"/>
    <w:rsid w:val="00E55ADE"/>
    <w:rsid w:val="00E65851"/>
    <w:rsid w:val="00E659D4"/>
    <w:rsid w:val="00E7077B"/>
    <w:rsid w:val="00ED02BF"/>
    <w:rsid w:val="00EE1C8B"/>
    <w:rsid w:val="00EE35E5"/>
    <w:rsid w:val="00EE5E25"/>
    <w:rsid w:val="00EF5FA9"/>
    <w:rsid w:val="00F01435"/>
    <w:rsid w:val="00F036F0"/>
    <w:rsid w:val="00F16435"/>
    <w:rsid w:val="00F209CE"/>
    <w:rsid w:val="00F31D3F"/>
    <w:rsid w:val="00F373F7"/>
    <w:rsid w:val="00F406AE"/>
    <w:rsid w:val="00F40B0A"/>
    <w:rsid w:val="00F43ED3"/>
    <w:rsid w:val="00F44971"/>
    <w:rsid w:val="00F45D92"/>
    <w:rsid w:val="00F603FC"/>
    <w:rsid w:val="00F657BB"/>
    <w:rsid w:val="00F67FFC"/>
    <w:rsid w:val="00F75F12"/>
    <w:rsid w:val="00F95C86"/>
    <w:rsid w:val="00F96956"/>
    <w:rsid w:val="00F974C0"/>
    <w:rsid w:val="00FA70A2"/>
    <w:rsid w:val="00FC1DDC"/>
    <w:rsid w:val="00FC6CFE"/>
    <w:rsid w:val="00FE5E86"/>
    <w:rsid w:val="011C256C"/>
    <w:rsid w:val="011E11B2"/>
    <w:rsid w:val="012526ED"/>
    <w:rsid w:val="013111F5"/>
    <w:rsid w:val="01527EDF"/>
    <w:rsid w:val="01591DAF"/>
    <w:rsid w:val="01625187"/>
    <w:rsid w:val="019A392B"/>
    <w:rsid w:val="01A00F03"/>
    <w:rsid w:val="01D70B50"/>
    <w:rsid w:val="01E451B5"/>
    <w:rsid w:val="01E62BF6"/>
    <w:rsid w:val="020277D8"/>
    <w:rsid w:val="02150B4D"/>
    <w:rsid w:val="02552523"/>
    <w:rsid w:val="025821F7"/>
    <w:rsid w:val="027D1E8C"/>
    <w:rsid w:val="028E7395"/>
    <w:rsid w:val="0292312B"/>
    <w:rsid w:val="030054FC"/>
    <w:rsid w:val="03137173"/>
    <w:rsid w:val="033E70DF"/>
    <w:rsid w:val="035C483A"/>
    <w:rsid w:val="037D3116"/>
    <w:rsid w:val="03962A60"/>
    <w:rsid w:val="04011C72"/>
    <w:rsid w:val="0423121E"/>
    <w:rsid w:val="043671AB"/>
    <w:rsid w:val="04382766"/>
    <w:rsid w:val="045A1FA8"/>
    <w:rsid w:val="047558D8"/>
    <w:rsid w:val="04A1439A"/>
    <w:rsid w:val="04A702A3"/>
    <w:rsid w:val="04B14206"/>
    <w:rsid w:val="04B343FA"/>
    <w:rsid w:val="04BC67AE"/>
    <w:rsid w:val="04E22B90"/>
    <w:rsid w:val="04EB0712"/>
    <w:rsid w:val="05075ADC"/>
    <w:rsid w:val="05662AC7"/>
    <w:rsid w:val="05681FB7"/>
    <w:rsid w:val="056A46EC"/>
    <w:rsid w:val="05711A7E"/>
    <w:rsid w:val="05A949CB"/>
    <w:rsid w:val="05AE2263"/>
    <w:rsid w:val="05BE5307"/>
    <w:rsid w:val="05D750A2"/>
    <w:rsid w:val="061F6399"/>
    <w:rsid w:val="06280B5D"/>
    <w:rsid w:val="062975E3"/>
    <w:rsid w:val="06325679"/>
    <w:rsid w:val="068E0277"/>
    <w:rsid w:val="069F3663"/>
    <w:rsid w:val="06B56391"/>
    <w:rsid w:val="06D22A09"/>
    <w:rsid w:val="06D870D9"/>
    <w:rsid w:val="06FE2753"/>
    <w:rsid w:val="06FF52F7"/>
    <w:rsid w:val="070C3C1F"/>
    <w:rsid w:val="071F0129"/>
    <w:rsid w:val="072348A2"/>
    <w:rsid w:val="072C05B2"/>
    <w:rsid w:val="073D1F23"/>
    <w:rsid w:val="074A39DE"/>
    <w:rsid w:val="07534492"/>
    <w:rsid w:val="075B1FFD"/>
    <w:rsid w:val="07824BC2"/>
    <w:rsid w:val="07CE5979"/>
    <w:rsid w:val="080D288E"/>
    <w:rsid w:val="0860600F"/>
    <w:rsid w:val="087F0174"/>
    <w:rsid w:val="08B07BDA"/>
    <w:rsid w:val="08C75B33"/>
    <w:rsid w:val="092E3070"/>
    <w:rsid w:val="094B287A"/>
    <w:rsid w:val="094D6CAE"/>
    <w:rsid w:val="09524D48"/>
    <w:rsid w:val="095531B4"/>
    <w:rsid w:val="09784EA8"/>
    <w:rsid w:val="098134B0"/>
    <w:rsid w:val="09913193"/>
    <w:rsid w:val="099E0386"/>
    <w:rsid w:val="09B246FB"/>
    <w:rsid w:val="09E964AF"/>
    <w:rsid w:val="0A083331"/>
    <w:rsid w:val="0A246AB8"/>
    <w:rsid w:val="0A333D26"/>
    <w:rsid w:val="0A337614"/>
    <w:rsid w:val="0A475561"/>
    <w:rsid w:val="0A4F7011"/>
    <w:rsid w:val="0A6E7355"/>
    <w:rsid w:val="0A8E3333"/>
    <w:rsid w:val="0AB13762"/>
    <w:rsid w:val="0ABE0520"/>
    <w:rsid w:val="0AE4097E"/>
    <w:rsid w:val="0AE97B47"/>
    <w:rsid w:val="0B243B52"/>
    <w:rsid w:val="0B251BF6"/>
    <w:rsid w:val="0B2C4193"/>
    <w:rsid w:val="0B47389E"/>
    <w:rsid w:val="0B4F0194"/>
    <w:rsid w:val="0B9151D6"/>
    <w:rsid w:val="0BA53C97"/>
    <w:rsid w:val="0BBF6B41"/>
    <w:rsid w:val="0BC6066B"/>
    <w:rsid w:val="0BD71CC2"/>
    <w:rsid w:val="0BEE06F3"/>
    <w:rsid w:val="0BF04834"/>
    <w:rsid w:val="0C335C74"/>
    <w:rsid w:val="0C3B29EE"/>
    <w:rsid w:val="0C401627"/>
    <w:rsid w:val="0C4C1855"/>
    <w:rsid w:val="0C540DC0"/>
    <w:rsid w:val="0C7A710B"/>
    <w:rsid w:val="0CB55C32"/>
    <w:rsid w:val="0CBC7656"/>
    <w:rsid w:val="0CCA7C19"/>
    <w:rsid w:val="0CD437CB"/>
    <w:rsid w:val="0CDF7C06"/>
    <w:rsid w:val="0CF7360C"/>
    <w:rsid w:val="0D1E2A49"/>
    <w:rsid w:val="0D3A7D9F"/>
    <w:rsid w:val="0D57214D"/>
    <w:rsid w:val="0DAC1A51"/>
    <w:rsid w:val="0DCA2721"/>
    <w:rsid w:val="0DCA6573"/>
    <w:rsid w:val="0DD71957"/>
    <w:rsid w:val="0DE37E21"/>
    <w:rsid w:val="0E1E09EC"/>
    <w:rsid w:val="0E1F5B04"/>
    <w:rsid w:val="0E3B401F"/>
    <w:rsid w:val="0E4544C4"/>
    <w:rsid w:val="0E4F4A1D"/>
    <w:rsid w:val="0E5028C0"/>
    <w:rsid w:val="0E6242F1"/>
    <w:rsid w:val="0E6D5BB9"/>
    <w:rsid w:val="0E785CD6"/>
    <w:rsid w:val="0E8A1010"/>
    <w:rsid w:val="0EA55EF1"/>
    <w:rsid w:val="0ED25781"/>
    <w:rsid w:val="0ED6768D"/>
    <w:rsid w:val="0EE802A4"/>
    <w:rsid w:val="0EF97E05"/>
    <w:rsid w:val="0F0A1A7F"/>
    <w:rsid w:val="0F264E85"/>
    <w:rsid w:val="0F3C1ED8"/>
    <w:rsid w:val="0F4446F1"/>
    <w:rsid w:val="0F581D20"/>
    <w:rsid w:val="0F970DD1"/>
    <w:rsid w:val="0FA02C4F"/>
    <w:rsid w:val="0FE2074E"/>
    <w:rsid w:val="101C2A28"/>
    <w:rsid w:val="10C10E3F"/>
    <w:rsid w:val="10C802E5"/>
    <w:rsid w:val="10EF5477"/>
    <w:rsid w:val="10FB30A3"/>
    <w:rsid w:val="1103626C"/>
    <w:rsid w:val="11086E21"/>
    <w:rsid w:val="110B4192"/>
    <w:rsid w:val="111C267A"/>
    <w:rsid w:val="11460A14"/>
    <w:rsid w:val="11534E21"/>
    <w:rsid w:val="11650E8E"/>
    <w:rsid w:val="116B13C1"/>
    <w:rsid w:val="11A938BB"/>
    <w:rsid w:val="11BF23B2"/>
    <w:rsid w:val="11E42A85"/>
    <w:rsid w:val="11E45F6B"/>
    <w:rsid w:val="1200322E"/>
    <w:rsid w:val="121C3B3F"/>
    <w:rsid w:val="12277192"/>
    <w:rsid w:val="122E5164"/>
    <w:rsid w:val="12436EB6"/>
    <w:rsid w:val="12521634"/>
    <w:rsid w:val="128C1739"/>
    <w:rsid w:val="12AF1625"/>
    <w:rsid w:val="12BE3850"/>
    <w:rsid w:val="12C000D1"/>
    <w:rsid w:val="12D15E76"/>
    <w:rsid w:val="12D750FD"/>
    <w:rsid w:val="12F14400"/>
    <w:rsid w:val="13012EDD"/>
    <w:rsid w:val="132A0456"/>
    <w:rsid w:val="1334421E"/>
    <w:rsid w:val="139212A0"/>
    <w:rsid w:val="13A419C0"/>
    <w:rsid w:val="13A628DD"/>
    <w:rsid w:val="13A918DF"/>
    <w:rsid w:val="13A949EE"/>
    <w:rsid w:val="13B40BB5"/>
    <w:rsid w:val="13B82662"/>
    <w:rsid w:val="13CE218A"/>
    <w:rsid w:val="13D83FF2"/>
    <w:rsid w:val="13F105D7"/>
    <w:rsid w:val="141E34FA"/>
    <w:rsid w:val="143E3DC5"/>
    <w:rsid w:val="145F7FF5"/>
    <w:rsid w:val="14622B1B"/>
    <w:rsid w:val="148C2F05"/>
    <w:rsid w:val="149D7403"/>
    <w:rsid w:val="14A078F0"/>
    <w:rsid w:val="14A45519"/>
    <w:rsid w:val="14B64904"/>
    <w:rsid w:val="14B836DE"/>
    <w:rsid w:val="14CA77B8"/>
    <w:rsid w:val="14D83E1F"/>
    <w:rsid w:val="14E204F9"/>
    <w:rsid w:val="14E629C1"/>
    <w:rsid w:val="1513181F"/>
    <w:rsid w:val="1538215B"/>
    <w:rsid w:val="159C229A"/>
    <w:rsid w:val="159F2069"/>
    <w:rsid w:val="15DC65B9"/>
    <w:rsid w:val="15DF7FC3"/>
    <w:rsid w:val="15F95D46"/>
    <w:rsid w:val="15FF1F8C"/>
    <w:rsid w:val="161863FE"/>
    <w:rsid w:val="16287316"/>
    <w:rsid w:val="163B684A"/>
    <w:rsid w:val="166B7495"/>
    <w:rsid w:val="16AE4853"/>
    <w:rsid w:val="16AF0185"/>
    <w:rsid w:val="16CD113C"/>
    <w:rsid w:val="16CF50A6"/>
    <w:rsid w:val="16ED44DA"/>
    <w:rsid w:val="16FC5CD5"/>
    <w:rsid w:val="17070EAB"/>
    <w:rsid w:val="170843D6"/>
    <w:rsid w:val="1721018C"/>
    <w:rsid w:val="17416D4D"/>
    <w:rsid w:val="174D567C"/>
    <w:rsid w:val="174F2990"/>
    <w:rsid w:val="17671399"/>
    <w:rsid w:val="17870C46"/>
    <w:rsid w:val="1790395F"/>
    <w:rsid w:val="17A27336"/>
    <w:rsid w:val="17AB786B"/>
    <w:rsid w:val="17B111EE"/>
    <w:rsid w:val="17B20016"/>
    <w:rsid w:val="17BD6A61"/>
    <w:rsid w:val="17ED6034"/>
    <w:rsid w:val="17FA7979"/>
    <w:rsid w:val="181E0C1C"/>
    <w:rsid w:val="185307E2"/>
    <w:rsid w:val="185769C4"/>
    <w:rsid w:val="1866695F"/>
    <w:rsid w:val="1869511A"/>
    <w:rsid w:val="186B7E89"/>
    <w:rsid w:val="18863C36"/>
    <w:rsid w:val="18AE3E75"/>
    <w:rsid w:val="18EE7721"/>
    <w:rsid w:val="19091539"/>
    <w:rsid w:val="1939201B"/>
    <w:rsid w:val="19414B14"/>
    <w:rsid w:val="194F69A7"/>
    <w:rsid w:val="196809E8"/>
    <w:rsid w:val="19772571"/>
    <w:rsid w:val="19AB30FE"/>
    <w:rsid w:val="19B3292F"/>
    <w:rsid w:val="19B42420"/>
    <w:rsid w:val="19D16884"/>
    <w:rsid w:val="1A003428"/>
    <w:rsid w:val="1A092B76"/>
    <w:rsid w:val="1A106FF9"/>
    <w:rsid w:val="1A1B1A53"/>
    <w:rsid w:val="1A586719"/>
    <w:rsid w:val="1A5A5A17"/>
    <w:rsid w:val="1A760CD8"/>
    <w:rsid w:val="1A7D3B8C"/>
    <w:rsid w:val="1A975A4B"/>
    <w:rsid w:val="1AEC3CA6"/>
    <w:rsid w:val="1B342824"/>
    <w:rsid w:val="1B6F265C"/>
    <w:rsid w:val="1BA46CA2"/>
    <w:rsid w:val="1BA958A8"/>
    <w:rsid w:val="1BB10779"/>
    <w:rsid w:val="1BCA1274"/>
    <w:rsid w:val="1C0025BA"/>
    <w:rsid w:val="1C542E6D"/>
    <w:rsid w:val="1C5740BC"/>
    <w:rsid w:val="1CE323DB"/>
    <w:rsid w:val="1D1D63D2"/>
    <w:rsid w:val="1D594B01"/>
    <w:rsid w:val="1D655C6E"/>
    <w:rsid w:val="1D775CB7"/>
    <w:rsid w:val="1D7B5631"/>
    <w:rsid w:val="1D870088"/>
    <w:rsid w:val="1D996C1F"/>
    <w:rsid w:val="1D9D4D13"/>
    <w:rsid w:val="1DF14410"/>
    <w:rsid w:val="1DF262C0"/>
    <w:rsid w:val="1E324BDA"/>
    <w:rsid w:val="1E3C64F5"/>
    <w:rsid w:val="1E5D13D7"/>
    <w:rsid w:val="1E5D66F6"/>
    <w:rsid w:val="1E7D4F9B"/>
    <w:rsid w:val="1EB06E01"/>
    <w:rsid w:val="1EB945DC"/>
    <w:rsid w:val="1EC901E2"/>
    <w:rsid w:val="1F15438D"/>
    <w:rsid w:val="1F5B4EEB"/>
    <w:rsid w:val="1F72617F"/>
    <w:rsid w:val="1F756139"/>
    <w:rsid w:val="1F85537A"/>
    <w:rsid w:val="1F9000F9"/>
    <w:rsid w:val="1F9C5654"/>
    <w:rsid w:val="1F9E196B"/>
    <w:rsid w:val="1FBF453A"/>
    <w:rsid w:val="1FE63522"/>
    <w:rsid w:val="1FE67FD9"/>
    <w:rsid w:val="200F7048"/>
    <w:rsid w:val="20251861"/>
    <w:rsid w:val="20327222"/>
    <w:rsid w:val="204004F3"/>
    <w:rsid w:val="20410F67"/>
    <w:rsid w:val="204159C4"/>
    <w:rsid w:val="20587304"/>
    <w:rsid w:val="208A1BBA"/>
    <w:rsid w:val="20A17154"/>
    <w:rsid w:val="20A25B7C"/>
    <w:rsid w:val="20C423BA"/>
    <w:rsid w:val="20FE334B"/>
    <w:rsid w:val="21193906"/>
    <w:rsid w:val="214B486A"/>
    <w:rsid w:val="214D7990"/>
    <w:rsid w:val="21592794"/>
    <w:rsid w:val="215B3DE4"/>
    <w:rsid w:val="215F20BD"/>
    <w:rsid w:val="21605F7A"/>
    <w:rsid w:val="216E0B8F"/>
    <w:rsid w:val="2199791E"/>
    <w:rsid w:val="21B86216"/>
    <w:rsid w:val="21C3558E"/>
    <w:rsid w:val="21C706CC"/>
    <w:rsid w:val="22326228"/>
    <w:rsid w:val="22421B7E"/>
    <w:rsid w:val="22457549"/>
    <w:rsid w:val="224C5A3E"/>
    <w:rsid w:val="224F2A09"/>
    <w:rsid w:val="225C7D64"/>
    <w:rsid w:val="225E7682"/>
    <w:rsid w:val="2269635C"/>
    <w:rsid w:val="22847B74"/>
    <w:rsid w:val="228C1A65"/>
    <w:rsid w:val="228D4195"/>
    <w:rsid w:val="229125E8"/>
    <w:rsid w:val="22AA4E49"/>
    <w:rsid w:val="22C01718"/>
    <w:rsid w:val="22CA165A"/>
    <w:rsid w:val="22D24A4D"/>
    <w:rsid w:val="22EC1E92"/>
    <w:rsid w:val="23046E34"/>
    <w:rsid w:val="232B5F5E"/>
    <w:rsid w:val="23334645"/>
    <w:rsid w:val="235E6C61"/>
    <w:rsid w:val="237A32B8"/>
    <w:rsid w:val="2381217A"/>
    <w:rsid w:val="239351B2"/>
    <w:rsid w:val="23C8523B"/>
    <w:rsid w:val="23E33DFF"/>
    <w:rsid w:val="246403A9"/>
    <w:rsid w:val="24730E59"/>
    <w:rsid w:val="247C2AEC"/>
    <w:rsid w:val="24B51F22"/>
    <w:rsid w:val="24FE6940"/>
    <w:rsid w:val="25030867"/>
    <w:rsid w:val="25392F14"/>
    <w:rsid w:val="256442AC"/>
    <w:rsid w:val="25A00322"/>
    <w:rsid w:val="25BE7D5D"/>
    <w:rsid w:val="25C161AD"/>
    <w:rsid w:val="25D44D88"/>
    <w:rsid w:val="25DA0C9E"/>
    <w:rsid w:val="260B4047"/>
    <w:rsid w:val="261A127C"/>
    <w:rsid w:val="261B3491"/>
    <w:rsid w:val="261D3980"/>
    <w:rsid w:val="264A507F"/>
    <w:rsid w:val="264D180B"/>
    <w:rsid w:val="26690F27"/>
    <w:rsid w:val="26871BDC"/>
    <w:rsid w:val="269D2059"/>
    <w:rsid w:val="26AE0B66"/>
    <w:rsid w:val="26B77804"/>
    <w:rsid w:val="26E25569"/>
    <w:rsid w:val="26FB5337"/>
    <w:rsid w:val="27096EC9"/>
    <w:rsid w:val="272B00B7"/>
    <w:rsid w:val="27307622"/>
    <w:rsid w:val="278C68FA"/>
    <w:rsid w:val="27D65A32"/>
    <w:rsid w:val="27DB6541"/>
    <w:rsid w:val="28361BDE"/>
    <w:rsid w:val="2888434B"/>
    <w:rsid w:val="28A87AFE"/>
    <w:rsid w:val="28ED2E36"/>
    <w:rsid w:val="295964F7"/>
    <w:rsid w:val="29673A14"/>
    <w:rsid w:val="296F06D8"/>
    <w:rsid w:val="29814734"/>
    <w:rsid w:val="29A80E1B"/>
    <w:rsid w:val="29B37D77"/>
    <w:rsid w:val="29C4050D"/>
    <w:rsid w:val="29D047A9"/>
    <w:rsid w:val="29E14B7B"/>
    <w:rsid w:val="29EC2FE1"/>
    <w:rsid w:val="29F91127"/>
    <w:rsid w:val="29FB17AA"/>
    <w:rsid w:val="2A027E45"/>
    <w:rsid w:val="2A0852BE"/>
    <w:rsid w:val="2A0F2EA5"/>
    <w:rsid w:val="2A476DE8"/>
    <w:rsid w:val="2A61648D"/>
    <w:rsid w:val="2A68703A"/>
    <w:rsid w:val="2A7C6AAB"/>
    <w:rsid w:val="2A8A088A"/>
    <w:rsid w:val="2A9D06FE"/>
    <w:rsid w:val="2AB528BC"/>
    <w:rsid w:val="2AB94FB6"/>
    <w:rsid w:val="2AC81B90"/>
    <w:rsid w:val="2AD82E5B"/>
    <w:rsid w:val="2AE764AE"/>
    <w:rsid w:val="2B0B59C1"/>
    <w:rsid w:val="2B10761A"/>
    <w:rsid w:val="2B2622F4"/>
    <w:rsid w:val="2B2E0D87"/>
    <w:rsid w:val="2B511A0C"/>
    <w:rsid w:val="2B690DB9"/>
    <w:rsid w:val="2BAA20FD"/>
    <w:rsid w:val="2BB60894"/>
    <w:rsid w:val="2BBF5962"/>
    <w:rsid w:val="2BCC1688"/>
    <w:rsid w:val="2BE040E1"/>
    <w:rsid w:val="2BE128FE"/>
    <w:rsid w:val="2BF7461E"/>
    <w:rsid w:val="2C06757B"/>
    <w:rsid w:val="2C11439E"/>
    <w:rsid w:val="2C1E4AA6"/>
    <w:rsid w:val="2C1F2CE0"/>
    <w:rsid w:val="2C3A286F"/>
    <w:rsid w:val="2C78619D"/>
    <w:rsid w:val="2CB76457"/>
    <w:rsid w:val="2CE02784"/>
    <w:rsid w:val="2D066228"/>
    <w:rsid w:val="2D4B3C0C"/>
    <w:rsid w:val="2D7C7995"/>
    <w:rsid w:val="2DA15B49"/>
    <w:rsid w:val="2DBB592B"/>
    <w:rsid w:val="2DF228DF"/>
    <w:rsid w:val="2DFC1831"/>
    <w:rsid w:val="2E075AB2"/>
    <w:rsid w:val="2E184AB3"/>
    <w:rsid w:val="2E187975"/>
    <w:rsid w:val="2E1F76C1"/>
    <w:rsid w:val="2E472C8D"/>
    <w:rsid w:val="2EB67552"/>
    <w:rsid w:val="2EEE1E58"/>
    <w:rsid w:val="2F0657FE"/>
    <w:rsid w:val="2F3B5307"/>
    <w:rsid w:val="2FA14021"/>
    <w:rsid w:val="2FAA3995"/>
    <w:rsid w:val="2FB15345"/>
    <w:rsid w:val="2FBB3C86"/>
    <w:rsid w:val="2FD23B0D"/>
    <w:rsid w:val="30084F7B"/>
    <w:rsid w:val="3013786F"/>
    <w:rsid w:val="30230C8C"/>
    <w:rsid w:val="30395986"/>
    <w:rsid w:val="304E524D"/>
    <w:rsid w:val="306D6ACD"/>
    <w:rsid w:val="3106432D"/>
    <w:rsid w:val="31067240"/>
    <w:rsid w:val="31183CCA"/>
    <w:rsid w:val="316D7B4A"/>
    <w:rsid w:val="31A66F00"/>
    <w:rsid w:val="31C4221D"/>
    <w:rsid w:val="31E66883"/>
    <w:rsid w:val="31F134B7"/>
    <w:rsid w:val="32247D29"/>
    <w:rsid w:val="323F68EE"/>
    <w:rsid w:val="325978F1"/>
    <w:rsid w:val="325F5246"/>
    <w:rsid w:val="326C3FAA"/>
    <w:rsid w:val="3290780E"/>
    <w:rsid w:val="32997933"/>
    <w:rsid w:val="32D26084"/>
    <w:rsid w:val="333440A5"/>
    <w:rsid w:val="3337479B"/>
    <w:rsid w:val="33766BFC"/>
    <w:rsid w:val="33770394"/>
    <w:rsid w:val="33C45E26"/>
    <w:rsid w:val="33C56985"/>
    <w:rsid w:val="33CD2CBD"/>
    <w:rsid w:val="33D93804"/>
    <w:rsid w:val="33E91E51"/>
    <w:rsid w:val="34040FE8"/>
    <w:rsid w:val="341B50F6"/>
    <w:rsid w:val="341E4915"/>
    <w:rsid w:val="343E68B7"/>
    <w:rsid w:val="34572405"/>
    <w:rsid w:val="346A4ED3"/>
    <w:rsid w:val="346E6E6C"/>
    <w:rsid w:val="34820CDB"/>
    <w:rsid w:val="34A56FCB"/>
    <w:rsid w:val="34AC64FD"/>
    <w:rsid w:val="34DB165B"/>
    <w:rsid w:val="35163C4A"/>
    <w:rsid w:val="351A6C8B"/>
    <w:rsid w:val="352016EA"/>
    <w:rsid w:val="354400C3"/>
    <w:rsid w:val="354514AC"/>
    <w:rsid w:val="35617605"/>
    <w:rsid w:val="35735B8B"/>
    <w:rsid w:val="35A863E0"/>
    <w:rsid w:val="35CE0793"/>
    <w:rsid w:val="35E357D9"/>
    <w:rsid w:val="35FB7509"/>
    <w:rsid w:val="36034D29"/>
    <w:rsid w:val="360A392E"/>
    <w:rsid w:val="36286165"/>
    <w:rsid w:val="36383712"/>
    <w:rsid w:val="364F3177"/>
    <w:rsid w:val="36766A13"/>
    <w:rsid w:val="367F4DAF"/>
    <w:rsid w:val="36875E2A"/>
    <w:rsid w:val="368D7ED9"/>
    <w:rsid w:val="36B17F24"/>
    <w:rsid w:val="36B67FE7"/>
    <w:rsid w:val="36C30511"/>
    <w:rsid w:val="36D60301"/>
    <w:rsid w:val="36EF0C23"/>
    <w:rsid w:val="36F27A0F"/>
    <w:rsid w:val="36FB5C7D"/>
    <w:rsid w:val="37055B02"/>
    <w:rsid w:val="37147DA6"/>
    <w:rsid w:val="37293CDE"/>
    <w:rsid w:val="3732531B"/>
    <w:rsid w:val="375D4CFA"/>
    <w:rsid w:val="376B674D"/>
    <w:rsid w:val="376D46B9"/>
    <w:rsid w:val="379416F0"/>
    <w:rsid w:val="37A50CB4"/>
    <w:rsid w:val="37D47116"/>
    <w:rsid w:val="37DA0404"/>
    <w:rsid w:val="37EE01E8"/>
    <w:rsid w:val="38157491"/>
    <w:rsid w:val="38404745"/>
    <w:rsid w:val="384723A6"/>
    <w:rsid w:val="38486C0E"/>
    <w:rsid w:val="384F16F7"/>
    <w:rsid w:val="385D0493"/>
    <w:rsid w:val="386B43B1"/>
    <w:rsid w:val="386E04D3"/>
    <w:rsid w:val="387C4CF6"/>
    <w:rsid w:val="38CE513F"/>
    <w:rsid w:val="38E613B2"/>
    <w:rsid w:val="38EF6969"/>
    <w:rsid w:val="39507C97"/>
    <w:rsid w:val="397A03C6"/>
    <w:rsid w:val="397D4570"/>
    <w:rsid w:val="399B557B"/>
    <w:rsid w:val="39A02B00"/>
    <w:rsid w:val="39A214E3"/>
    <w:rsid w:val="39E34CF7"/>
    <w:rsid w:val="3A297330"/>
    <w:rsid w:val="3A300757"/>
    <w:rsid w:val="3A445B3B"/>
    <w:rsid w:val="3A6073DC"/>
    <w:rsid w:val="3A632F13"/>
    <w:rsid w:val="3A6E217A"/>
    <w:rsid w:val="3A747A99"/>
    <w:rsid w:val="3A765D5E"/>
    <w:rsid w:val="3AA970F9"/>
    <w:rsid w:val="3AAC454A"/>
    <w:rsid w:val="3AB2757A"/>
    <w:rsid w:val="3AB5751F"/>
    <w:rsid w:val="3AB90DA4"/>
    <w:rsid w:val="3B011991"/>
    <w:rsid w:val="3B3435EC"/>
    <w:rsid w:val="3B385830"/>
    <w:rsid w:val="3B5930E9"/>
    <w:rsid w:val="3B673DF6"/>
    <w:rsid w:val="3B8E080F"/>
    <w:rsid w:val="3B9044B6"/>
    <w:rsid w:val="3BBA51C4"/>
    <w:rsid w:val="3BCA68BB"/>
    <w:rsid w:val="3BE755B4"/>
    <w:rsid w:val="3C172AFD"/>
    <w:rsid w:val="3C2E1A95"/>
    <w:rsid w:val="3C7553B7"/>
    <w:rsid w:val="3C8520EB"/>
    <w:rsid w:val="3CBC3054"/>
    <w:rsid w:val="3CC81E09"/>
    <w:rsid w:val="3CCA7E6A"/>
    <w:rsid w:val="3CE40ED1"/>
    <w:rsid w:val="3CE87D42"/>
    <w:rsid w:val="3D0C1467"/>
    <w:rsid w:val="3D324D36"/>
    <w:rsid w:val="3D651E5A"/>
    <w:rsid w:val="3D87726D"/>
    <w:rsid w:val="3DD220BD"/>
    <w:rsid w:val="3DE20A28"/>
    <w:rsid w:val="3DE75DDF"/>
    <w:rsid w:val="3DFB305E"/>
    <w:rsid w:val="3E2A511F"/>
    <w:rsid w:val="3E3C3F47"/>
    <w:rsid w:val="3E3F2247"/>
    <w:rsid w:val="3E3F5224"/>
    <w:rsid w:val="3E5974A1"/>
    <w:rsid w:val="3E71390E"/>
    <w:rsid w:val="3E786EBC"/>
    <w:rsid w:val="3EA02E3C"/>
    <w:rsid w:val="3EA55255"/>
    <w:rsid w:val="3EB3301F"/>
    <w:rsid w:val="3EC0681C"/>
    <w:rsid w:val="3ECF6905"/>
    <w:rsid w:val="3EE7003B"/>
    <w:rsid w:val="3EFD36E5"/>
    <w:rsid w:val="3F0428B3"/>
    <w:rsid w:val="3F315198"/>
    <w:rsid w:val="3F43216C"/>
    <w:rsid w:val="3F586F91"/>
    <w:rsid w:val="3F6A58EE"/>
    <w:rsid w:val="3FAD052D"/>
    <w:rsid w:val="3FC80830"/>
    <w:rsid w:val="3FCD0EB1"/>
    <w:rsid w:val="40074B14"/>
    <w:rsid w:val="400B2BC2"/>
    <w:rsid w:val="40217FC5"/>
    <w:rsid w:val="40452B77"/>
    <w:rsid w:val="404B6055"/>
    <w:rsid w:val="40591CCA"/>
    <w:rsid w:val="405A2EFB"/>
    <w:rsid w:val="407606F8"/>
    <w:rsid w:val="40890784"/>
    <w:rsid w:val="409278D3"/>
    <w:rsid w:val="40934CC9"/>
    <w:rsid w:val="409C6D12"/>
    <w:rsid w:val="40A733EC"/>
    <w:rsid w:val="40CE2206"/>
    <w:rsid w:val="40F313C9"/>
    <w:rsid w:val="40F56CE0"/>
    <w:rsid w:val="40FA7389"/>
    <w:rsid w:val="40FB4023"/>
    <w:rsid w:val="4101023F"/>
    <w:rsid w:val="41250FEC"/>
    <w:rsid w:val="4165471F"/>
    <w:rsid w:val="41785EAD"/>
    <w:rsid w:val="418159BB"/>
    <w:rsid w:val="419138BC"/>
    <w:rsid w:val="419D1F93"/>
    <w:rsid w:val="41A4601A"/>
    <w:rsid w:val="41C64A5C"/>
    <w:rsid w:val="41DE732B"/>
    <w:rsid w:val="41FC0F6A"/>
    <w:rsid w:val="42101DD3"/>
    <w:rsid w:val="421F04AA"/>
    <w:rsid w:val="42261FDB"/>
    <w:rsid w:val="4296251F"/>
    <w:rsid w:val="42C51CC6"/>
    <w:rsid w:val="42C5790C"/>
    <w:rsid w:val="42E26D10"/>
    <w:rsid w:val="42EB7271"/>
    <w:rsid w:val="42F9408E"/>
    <w:rsid w:val="432261B1"/>
    <w:rsid w:val="432B3440"/>
    <w:rsid w:val="4338616D"/>
    <w:rsid w:val="43471C6E"/>
    <w:rsid w:val="434E5750"/>
    <w:rsid w:val="43520B1C"/>
    <w:rsid w:val="435A23E2"/>
    <w:rsid w:val="435D2191"/>
    <w:rsid w:val="436B5F91"/>
    <w:rsid w:val="438C032F"/>
    <w:rsid w:val="43A04304"/>
    <w:rsid w:val="43BC20E7"/>
    <w:rsid w:val="43D47F1B"/>
    <w:rsid w:val="43DA0C83"/>
    <w:rsid w:val="43F5638C"/>
    <w:rsid w:val="44470380"/>
    <w:rsid w:val="445676DD"/>
    <w:rsid w:val="44644BAA"/>
    <w:rsid w:val="44766C04"/>
    <w:rsid w:val="448229A2"/>
    <w:rsid w:val="44AB0C4A"/>
    <w:rsid w:val="44B4082E"/>
    <w:rsid w:val="44C974ED"/>
    <w:rsid w:val="44CE6128"/>
    <w:rsid w:val="44CF6095"/>
    <w:rsid w:val="44D208B7"/>
    <w:rsid w:val="44EA2908"/>
    <w:rsid w:val="44FD2AC6"/>
    <w:rsid w:val="45494C26"/>
    <w:rsid w:val="45541653"/>
    <w:rsid w:val="4554734F"/>
    <w:rsid w:val="45666450"/>
    <w:rsid w:val="458F3622"/>
    <w:rsid w:val="45954C2A"/>
    <w:rsid w:val="45B77759"/>
    <w:rsid w:val="45DF4769"/>
    <w:rsid w:val="460B4C41"/>
    <w:rsid w:val="460E55D4"/>
    <w:rsid w:val="46323F38"/>
    <w:rsid w:val="463C129A"/>
    <w:rsid w:val="46622BC3"/>
    <w:rsid w:val="4672394C"/>
    <w:rsid w:val="469724B7"/>
    <w:rsid w:val="46BC369C"/>
    <w:rsid w:val="46D13843"/>
    <w:rsid w:val="46D839AD"/>
    <w:rsid w:val="47270D0F"/>
    <w:rsid w:val="475032FC"/>
    <w:rsid w:val="476F5D7B"/>
    <w:rsid w:val="47760603"/>
    <w:rsid w:val="47762FC7"/>
    <w:rsid w:val="47864FA6"/>
    <w:rsid w:val="478926B5"/>
    <w:rsid w:val="479063C5"/>
    <w:rsid w:val="47B9683A"/>
    <w:rsid w:val="47D00A3E"/>
    <w:rsid w:val="47EA75B2"/>
    <w:rsid w:val="47F75D73"/>
    <w:rsid w:val="47FE3718"/>
    <w:rsid w:val="483F6900"/>
    <w:rsid w:val="48872FF1"/>
    <w:rsid w:val="48A33E77"/>
    <w:rsid w:val="48B21583"/>
    <w:rsid w:val="48C07E11"/>
    <w:rsid w:val="49132284"/>
    <w:rsid w:val="491E4681"/>
    <w:rsid w:val="49285CEB"/>
    <w:rsid w:val="492A49CB"/>
    <w:rsid w:val="49432803"/>
    <w:rsid w:val="49470ABB"/>
    <w:rsid w:val="496324D1"/>
    <w:rsid w:val="49743095"/>
    <w:rsid w:val="49822F19"/>
    <w:rsid w:val="49B000EC"/>
    <w:rsid w:val="49B6451B"/>
    <w:rsid w:val="49D015E8"/>
    <w:rsid w:val="49D73E6D"/>
    <w:rsid w:val="49E06489"/>
    <w:rsid w:val="49EF2AC2"/>
    <w:rsid w:val="4A0C7076"/>
    <w:rsid w:val="4A1950C0"/>
    <w:rsid w:val="4A2D798B"/>
    <w:rsid w:val="4A3A15DE"/>
    <w:rsid w:val="4A412404"/>
    <w:rsid w:val="4A4E6393"/>
    <w:rsid w:val="4A6050EB"/>
    <w:rsid w:val="4A64025F"/>
    <w:rsid w:val="4A640C39"/>
    <w:rsid w:val="4AAE6348"/>
    <w:rsid w:val="4AC650E4"/>
    <w:rsid w:val="4ACD3DFB"/>
    <w:rsid w:val="4AD4432B"/>
    <w:rsid w:val="4AD532AA"/>
    <w:rsid w:val="4ADF6830"/>
    <w:rsid w:val="4AF01B27"/>
    <w:rsid w:val="4AFB3DEB"/>
    <w:rsid w:val="4B3803E4"/>
    <w:rsid w:val="4B4E5335"/>
    <w:rsid w:val="4B5E1457"/>
    <w:rsid w:val="4B751F58"/>
    <w:rsid w:val="4B8E07C1"/>
    <w:rsid w:val="4B9C6C90"/>
    <w:rsid w:val="4BA17B5D"/>
    <w:rsid w:val="4BDD3DD1"/>
    <w:rsid w:val="4C106872"/>
    <w:rsid w:val="4C1241CA"/>
    <w:rsid w:val="4C125012"/>
    <w:rsid w:val="4C142DA6"/>
    <w:rsid w:val="4C1C050B"/>
    <w:rsid w:val="4C445D06"/>
    <w:rsid w:val="4C483ACF"/>
    <w:rsid w:val="4C66733E"/>
    <w:rsid w:val="4C80571A"/>
    <w:rsid w:val="4C851D32"/>
    <w:rsid w:val="4CC15DCE"/>
    <w:rsid w:val="4CD91888"/>
    <w:rsid w:val="4D3054B4"/>
    <w:rsid w:val="4D4814BA"/>
    <w:rsid w:val="4D616846"/>
    <w:rsid w:val="4D741090"/>
    <w:rsid w:val="4DC42AF9"/>
    <w:rsid w:val="4DE83AF6"/>
    <w:rsid w:val="4DFD78D3"/>
    <w:rsid w:val="4E116438"/>
    <w:rsid w:val="4E2A571D"/>
    <w:rsid w:val="4E5772FB"/>
    <w:rsid w:val="4E676345"/>
    <w:rsid w:val="4E723164"/>
    <w:rsid w:val="4EB66A11"/>
    <w:rsid w:val="4EC7173E"/>
    <w:rsid w:val="4EE7172E"/>
    <w:rsid w:val="4EF745F7"/>
    <w:rsid w:val="4F006555"/>
    <w:rsid w:val="4F051422"/>
    <w:rsid w:val="4F3505B5"/>
    <w:rsid w:val="4F3E6E24"/>
    <w:rsid w:val="4F4412D7"/>
    <w:rsid w:val="4F4B25E4"/>
    <w:rsid w:val="4F540331"/>
    <w:rsid w:val="4F59765D"/>
    <w:rsid w:val="4F773909"/>
    <w:rsid w:val="4FBD17B0"/>
    <w:rsid w:val="4FDC64F8"/>
    <w:rsid w:val="4FFD1242"/>
    <w:rsid w:val="500018DB"/>
    <w:rsid w:val="50080273"/>
    <w:rsid w:val="500C3F9D"/>
    <w:rsid w:val="504C38CC"/>
    <w:rsid w:val="50822177"/>
    <w:rsid w:val="50A76BEC"/>
    <w:rsid w:val="50A77A6E"/>
    <w:rsid w:val="50B27C31"/>
    <w:rsid w:val="50B643E9"/>
    <w:rsid w:val="50BB3EF0"/>
    <w:rsid w:val="50D02333"/>
    <w:rsid w:val="50DA7012"/>
    <w:rsid w:val="50E42485"/>
    <w:rsid w:val="50E45343"/>
    <w:rsid w:val="50F7259E"/>
    <w:rsid w:val="51145BE4"/>
    <w:rsid w:val="51185F19"/>
    <w:rsid w:val="511F2490"/>
    <w:rsid w:val="514F62E4"/>
    <w:rsid w:val="515125F6"/>
    <w:rsid w:val="515D6A9F"/>
    <w:rsid w:val="516914BC"/>
    <w:rsid w:val="51713509"/>
    <w:rsid w:val="518A42D8"/>
    <w:rsid w:val="519A53F7"/>
    <w:rsid w:val="51AC3791"/>
    <w:rsid w:val="520C4646"/>
    <w:rsid w:val="52322C1C"/>
    <w:rsid w:val="5263094B"/>
    <w:rsid w:val="52724D01"/>
    <w:rsid w:val="528143FF"/>
    <w:rsid w:val="52870F94"/>
    <w:rsid w:val="529F5EBC"/>
    <w:rsid w:val="53053BDC"/>
    <w:rsid w:val="53075D4D"/>
    <w:rsid w:val="53642810"/>
    <w:rsid w:val="537C62A7"/>
    <w:rsid w:val="53AB2889"/>
    <w:rsid w:val="53D25B55"/>
    <w:rsid w:val="54096CEA"/>
    <w:rsid w:val="540F0507"/>
    <w:rsid w:val="54190401"/>
    <w:rsid w:val="544E765F"/>
    <w:rsid w:val="546D38F8"/>
    <w:rsid w:val="549703F7"/>
    <w:rsid w:val="54C354BD"/>
    <w:rsid w:val="54EF1D54"/>
    <w:rsid w:val="550109EB"/>
    <w:rsid w:val="551749A1"/>
    <w:rsid w:val="55302816"/>
    <w:rsid w:val="553539DB"/>
    <w:rsid w:val="553F299B"/>
    <w:rsid w:val="554144BA"/>
    <w:rsid w:val="556A0A84"/>
    <w:rsid w:val="556D4337"/>
    <w:rsid w:val="55796A6E"/>
    <w:rsid w:val="55814627"/>
    <w:rsid w:val="559C4103"/>
    <w:rsid w:val="55AA3D91"/>
    <w:rsid w:val="55E64F51"/>
    <w:rsid w:val="55FD6117"/>
    <w:rsid w:val="56020A19"/>
    <w:rsid w:val="56124D39"/>
    <w:rsid w:val="561636DF"/>
    <w:rsid w:val="56181E34"/>
    <w:rsid w:val="56254D57"/>
    <w:rsid w:val="562A1040"/>
    <w:rsid w:val="56366290"/>
    <w:rsid w:val="567373DB"/>
    <w:rsid w:val="567905FE"/>
    <w:rsid w:val="568B6C18"/>
    <w:rsid w:val="56AD772B"/>
    <w:rsid w:val="56B048FE"/>
    <w:rsid w:val="56B453CE"/>
    <w:rsid w:val="56C41727"/>
    <w:rsid w:val="56DA2B9D"/>
    <w:rsid w:val="56DC4392"/>
    <w:rsid w:val="57070C15"/>
    <w:rsid w:val="572E337B"/>
    <w:rsid w:val="5737293E"/>
    <w:rsid w:val="574C43DE"/>
    <w:rsid w:val="578C0FB5"/>
    <w:rsid w:val="57903A45"/>
    <w:rsid w:val="57A045A4"/>
    <w:rsid w:val="57A132EA"/>
    <w:rsid w:val="57A948C6"/>
    <w:rsid w:val="57C7451B"/>
    <w:rsid w:val="57E24E6D"/>
    <w:rsid w:val="57F84285"/>
    <w:rsid w:val="58501DB1"/>
    <w:rsid w:val="585F65D8"/>
    <w:rsid w:val="589046A5"/>
    <w:rsid w:val="5898637D"/>
    <w:rsid w:val="58AA38A4"/>
    <w:rsid w:val="58CA1135"/>
    <w:rsid w:val="58D34226"/>
    <w:rsid w:val="59225513"/>
    <w:rsid w:val="595B0143"/>
    <w:rsid w:val="59897E96"/>
    <w:rsid w:val="59A17FCC"/>
    <w:rsid w:val="59A33182"/>
    <w:rsid w:val="59B44FF7"/>
    <w:rsid w:val="59E359A5"/>
    <w:rsid w:val="5A6538C9"/>
    <w:rsid w:val="5A8C2C8F"/>
    <w:rsid w:val="5AA25907"/>
    <w:rsid w:val="5AA93B9C"/>
    <w:rsid w:val="5ABB7006"/>
    <w:rsid w:val="5AD64275"/>
    <w:rsid w:val="5AE511E6"/>
    <w:rsid w:val="5AED7FAD"/>
    <w:rsid w:val="5B0A787A"/>
    <w:rsid w:val="5B1A1276"/>
    <w:rsid w:val="5B2760AD"/>
    <w:rsid w:val="5B2F2893"/>
    <w:rsid w:val="5B442316"/>
    <w:rsid w:val="5B7B1438"/>
    <w:rsid w:val="5BE36BF5"/>
    <w:rsid w:val="5C000DE3"/>
    <w:rsid w:val="5C032D84"/>
    <w:rsid w:val="5C095C56"/>
    <w:rsid w:val="5C2641B3"/>
    <w:rsid w:val="5CB96042"/>
    <w:rsid w:val="5CC360A7"/>
    <w:rsid w:val="5CC44DA4"/>
    <w:rsid w:val="5CD264D8"/>
    <w:rsid w:val="5CF30DF5"/>
    <w:rsid w:val="5D1C5577"/>
    <w:rsid w:val="5D1D2913"/>
    <w:rsid w:val="5D2A3F62"/>
    <w:rsid w:val="5D337F09"/>
    <w:rsid w:val="5D402818"/>
    <w:rsid w:val="5D94315C"/>
    <w:rsid w:val="5DAC322F"/>
    <w:rsid w:val="5DBB68F7"/>
    <w:rsid w:val="5DFA42C2"/>
    <w:rsid w:val="5E647818"/>
    <w:rsid w:val="5E763B4E"/>
    <w:rsid w:val="5E7B5030"/>
    <w:rsid w:val="5E812C2F"/>
    <w:rsid w:val="5E893FDC"/>
    <w:rsid w:val="5EB715FD"/>
    <w:rsid w:val="5EC7547E"/>
    <w:rsid w:val="5EED49DD"/>
    <w:rsid w:val="5EFB677C"/>
    <w:rsid w:val="5F284057"/>
    <w:rsid w:val="5F673E40"/>
    <w:rsid w:val="5F884ADC"/>
    <w:rsid w:val="5FB366C3"/>
    <w:rsid w:val="5FB47EB2"/>
    <w:rsid w:val="5FCF5318"/>
    <w:rsid w:val="5FDD333C"/>
    <w:rsid w:val="6004305F"/>
    <w:rsid w:val="601754C3"/>
    <w:rsid w:val="60190D01"/>
    <w:rsid w:val="602B2D41"/>
    <w:rsid w:val="606376CD"/>
    <w:rsid w:val="60A76C44"/>
    <w:rsid w:val="60D847A8"/>
    <w:rsid w:val="60F05CF5"/>
    <w:rsid w:val="610175F7"/>
    <w:rsid w:val="61062E54"/>
    <w:rsid w:val="610C1703"/>
    <w:rsid w:val="61206705"/>
    <w:rsid w:val="6142609F"/>
    <w:rsid w:val="61453D47"/>
    <w:rsid w:val="6149226C"/>
    <w:rsid w:val="61617D08"/>
    <w:rsid w:val="617A059E"/>
    <w:rsid w:val="61A359AB"/>
    <w:rsid w:val="61AD5A7C"/>
    <w:rsid w:val="61B43512"/>
    <w:rsid w:val="61B5748C"/>
    <w:rsid w:val="61F60D71"/>
    <w:rsid w:val="627851F6"/>
    <w:rsid w:val="627C139F"/>
    <w:rsid w:val="62AD460F"/>
    <w:rsid w:val="62C21AE2"/>
    <w:rsid w:val="62EC3B36"/>
    <w:rsid w:val="62EF6D8B"/>
    <w:rsid w:val="6305393F"/>
    <w:rsid w:val="6328604A"/>
    <w:rsid w:val="633D207A"/>
    <w:rsid w:val="636F3A8A"/>
    <w:rsid w:val="63767C26"/>
    <w:rsid w:val="639B1660"/>
    <w:rsid w:val="63A86BDE"/>
    <w:rsid w:val="64102317"/>
    <w:rsid w:val="64196C68"/>
    <w:rsid w:val="64482C14"/>
    <w:rsid w:val="64573A42"/>
    <w:rsid w:val="646436A4"/>
    <w:rsid w:val="647F062E"/>
    <w:rsid w:val="649F14DE"/>
    <w:rsid w:val="64AB69F4"/>
    <w:rsid w:val="64B33903"/>
    <w:rsid w:val="64BE75E5"/>
    <w:rsid w:val="64D36736"/>
    <w:rsid w:val="64EC2CA8"/>
    <w:rsid w:val="6519610C"/>
    <w:rsid w:val="65470C9A"/>
    <w:rsid w:val="654C651C"/>
    <w:rsid w:val="655E0C30"/>
    <w:rsid w:val="657E17B2"/>
    <w:rsid w:val="65990E60"/>
    <w:rsid w:val="659C092C"/>
    <w:rsid w:val="65A51429"/>
    <w:rsid w:val="65CA5B71"/>
    <w:rsid w:val="65D862C1"/>
    <w:rsid w:val="65F0121B"/>
    <w:rsid w:val="65F31FBB"/>
    <w:rsid w:val="66091DFB"/>
    <w:rsid w:val="660E7DF3"/>
    <w:rsid w:val="661E7317"/>
    <w:rsid w:val="66424C18"/>
    <w:rsid w:val="667423E5"/>
    <w:rsid w:val="667461DC"/>
    <w:rsid w:val="66894C64"/>
    <w:rsid w:val="669C3832"/>
    <w:rsid w:val="66B02350"/>
    <w:rsid w:val="66C03715"/>
    <w:rsid w:val="66F60314"/>
    <w:rsid w:val="67191078"/>
    <w:rsid w:val="676A7141"/>
    <w:rsid w:val="67787CAA"/>
    <w:rsid w:val="67C84DC0"/>
    <w:rsid w:val="67D20840"/>
    <w:rsid w:val="67E51CB2"/>
    <w:rsid w:val="67EE4EA8"/>
    <w:rsid w:val="68072469"/>
    <w:rsid w:val="680D589A"/>
    <w:rsid w:val="68462A6E"/>
    <w:rsid w:val="68630527"/>
    <w:rsid w:val="686346D1"/>
    <w:rsid w:val="68983461"/>
    <w:rsid w:val="68B47DCA"/>
    <w:rsid w:val="68B67492"/>
    <w:rsid w:val="68F94C01"/>
    <w:rsid w:val="693E3594"/>
    <w:rsid w:val="694B1C2B"/>
    <w:rsid w:val="697F233D"/>
    <w:rsid w:val="69BE442E"/>
    <w:rsid w:val="6A682DD1"/>
    <w:rsid w:val="6A6E3404"/>
    <w:rsid w:val="6AA86278"/>
    <w:rsid w:val="6ABD6175"/>
    <w:rsid w:val="6ACA0239"/>
    <w:rsid w:val="6ACA580E"/>
    <w:rsid w:val="6ACD77AE"/>
    <w:rsid w:val="6B1F5E79"/>
    <w:rsid w:val="6B431989"/>
    <w:rsid w:val="6B432C40"/>
    <w:rsid w:val="6B47361F"/>
    <w:rsid w:val="6B495068"/>
    <w:rsid w:val="6B4D78E6"/>
    <w:rsid w:val="6B7C01E9"/>
    <w:rsid w:val="6B7C112A"/>
    <w:rsid w:val="6B8007F9"/>
    <w:rsid w:val="6B9C461B"/>
    <w:rsid w:val="6BA850A2"/>
    <w:rsid w:val="6BB41F0F"/>
    <w:rsid w:val="6BC64587"/>
    <w:rsid w:val="6BF07A71"/>
    <w:rsid w:val="6BFF7822"/>
    <w:rsid w:val="6C09164D"/>
    <w:rsid w:val="6C2527C3"/>
    <w:rsid w:val="6C3D5FA0"/>
    <w:rsid w:val="6C531CB0"/>
    <w:rsid w:val="6C6A4AE5"/>
    <w:rsid w:val="6C8B53A2"/>
    <w:rsid w:val="6CC56193"/>
    <w:rsid w:val="6CCD08ED"/>
    <w:rsid w:val="6CCF631B"/>
    <w:rsid w:val="6CD766D9"/>
    <w:rsid w:val="6D15344C"/>
    <w:rsid w:val="6D450812"/>
    <w:rsid w:val="6D4A69C9"/>
    <w:rsid w:val="6D931AAC"/>
    <w:rsid w:val="6D987B98"/>
    <w:rsid w:val="6D9C1C6D"/>
    <w:rsid w:val="6D9C2C3F"/>
    <w:rsid w:val="6D9F2289"/>
    <w:rsid w:val="6DC80189"/>
    <w:rsid w:val="6DD234B0"/>
    <w:rsid w:val="6DDA47FC"/>
    <w:rsid w:val="6DF37729"/>
    <w:rsid w:val="6DF54592"/>
    <w:rsid w:val="6E2829F8"/>
    <w:rsid w:val="6E3826D5"/>
    <w:rsid w:val="6E427874"/>
    <w:rsid w:val="6E493498"/>
    <w:rsid w:val="6E6C212D"/>
    <w:rsid w:val="6E734D48"/>
    <w:rsid w:val="6E7E0B9F"/>
    <w:rsid w:val="6E886E55"/>
    <w:rsid w:val="6EA054C7"/>
    <w:rsid w:val="6EBD43BD"/>
    <w:rsid w:val="6EBF30B5"/>
    <w:rsid w:val="6ED50EAD"/>
    <w:rsid w:val="6EE17FF4"/>
    <w:rsid w:val="6EE379D4"/>
    <w:rsid w:val="6EE946C5"/>
    <w:rsid w:val="6F103FEE"/>
    <w:rsid w:val="6F2E4042"/>
    <w:rsid w:val="6FB32FEB"/>
    <w:rsid w:val="6FC85E57"/>
    <w:rsid w:val="6FD93890"/>
    <w:rsid w:val="6FFC686D"/>
    <w:rsid w:val="70081BF9"/>
    <w:rsid w:val="70227184"/>
    <w:rsid w:val="70377D35"/>
    <w:rsid w:val="70500918"/>
    <w:rsid w:val="70817CB5"/>
    <w:rsid w:val="70AC6C8E"/>
    <w:rsid w:val="70B801C8"/>
    <w:rsid w:val="70C8781C"/>
    <w:rsid w:val="70E10814"/>
    <w:rsid w:val="70EF7475"/>
    <w:rsid w:val="710E6DC7"/>
    <w:rsid w:val="71167DF0"/>
    <w:rsid w:val="711B5C2F"/>
    <w:rsid w:val="71205DA5"/>
    <w:rsid w:val="71372159"/>
    <w:rsid w:val="714E4570"/>
    <w:rsid w:val="71537FBA"/>
    <w:rsid w:val="715867CE"/>
    <w:rsid w:val="7170650A"/>
    <w:rsid w:val="718F4BD2"/>
    <w:rsid w:val="71AE4A2B"/>
    <w:rsid w:val="71C40BE5"/>
    <w:rsid w:val="71DD2114"/>
    <w:rsid w:val="71E64873"/>
    <w:rsid w:val="72464ACE"/>
    <w:rsid w:val="724B4C64"/>
    <w:rsid w:val="726E2EE6"/>
    <w:rsid w:val="72706FD8"/>
    <w:rsid w:val="72A907E6"/>
    <w:rsid w:val="72AE42E3"/>
    <w:rsid w:val="72D417BF"/>
    <w:rsid w:val="731409B3"/>
    <w:rsid w:val="731F2077"/>
    <w:rsid w:val="7339611F"/>
    <w:rsid w:val="733D6D3F"/>
    <w:rsid w:val="735044EE"/>
    <w:rsid w:val="735A32F7"/>
    <w:rsid w:val="739A7D73"/>
    <w:rsid w:val="73A07372"/>
    <w:rsid w:val="73AE5FBC"/>
    <w:rsid w:val="73CF3FA9"/>
    <w:rsid w:val="73EB6096"/>
    <w:rsid w:val="73EF1BE8"/>
    <w:rsid w:val="73F6292C"/>
    <w:rsid w:val="73FD2CDB"/>
    <w:rsid w:val="741F75A2"/>
    <w:rsid w:val="74266827"/>
    <w:rsid w:val="744C7084"/>
    <w:rsid w:val="744F677A"/>
    <w:rsid w:val="74536E8F"/>
    <w:rsid w:val="74640B32"/>
    <w:rsid w:val="748B3EC7"/>
    <w:rsid w:val="74B30E82"/>
    <w:rsid w:val="74CC21AE"/>
    <w:rsid w:val="74DB0B55"/>
    <w:rsid w:val="750917E1"/>
    <w:rsid w:val="751B5CE0"/>
    <w:rsid w:val="75492B10"/>
    <w:rsid w:val="759B78B9"/>
    <w:rsid w:val="759F2115"/>
    <w:rsid w:val="75B05D37"/>
    <w:rsid w:val="75D461E7"/>
    <w:rsid w:val="75EB580D"/>
    <w:rsid w:val="761214D4"/>
    <w:rsid w:val="76296619"/>
    <w:rsid w:val="76431773"/>
    <w:rsid w:val="767C0F1F"/>
    <w:rsid w:val="76865A66"/>
    <w:rsid w:val="768D60AD"/>
    <w:rsid w:val="76A46053"/>
    <w:rsid w:val="76A50DE4"/>
    <w:rsid w:val="76CD7FF0"/>
    <w:rsid w:val="77347A23"/>
    <w:rsid w:val="77477558"/>
    <w:rsid w:val="77843214"/>
    <w:rsid w:val="77A23FDA"/>
    <w:rsid w:val="77D30C4F"/>
    <w:rsid w:val="77F13495"/>
    <w:rsid w:val="7822613A"/>
    <w:rsid w:val="7825311A"/>
    <w:rsid w:val="784E7A31"/>
    <w:rsid w:val="787A0C89"/>
    <w:rsid w:val="78925CF2"/>
    <w:rsid w:val="78A80952"/>
    <w:rsid w:val="78CF230C"/>
    <w:rsid w:val="790B2317"/>
    <w:rsid w:val="795450AA"/>
    <w:rsid w:val="79571231"/>
    <w:rsid w:val="79816E01"/>
    <w:rsid w:val="798C15CB"/>
    <w:rsid w:val="79A44420"/>
    <w:rsid w:val="79A94489"/>
    <w:rsid w:val="79B41898"/>
    <w:rsid w:val="79B65F65"/>
    <w:rsid w:val="79BB3A02"/>
    <w:rsid w:val="79BD362A"/>
    <w:rsid w:val="79C0191C"/>
    <w:rsid w:val="79C37F16"/>
    <w:rsid w:val="79CA1F78"/>
    <w:rsid w:val="79CD78A7"/>
    <w:rsid w:val="79D47FB8"/>
    <w:rsid w:val="79D724C9"/>
    <w:rsid w:val="7A112E83"/>
    <w:rsid w:val="7A2D5B76"/>
    <w:rsid w:val="7A4C330E"/>
    <w:rsid w:val="7A4C39A0"/>
    <w:rsid w:val="7A6E220F"/>
    <w:rsid w:val="7AB66A57"/>
    <w:rsid w:val="7ACA4094"/>
    <w:rsid w:val="7ACD61B5"/>
    <w:rsid w:val="7AE32DB2"/>
    <w:rsid w:val="7AF87886"/>
    <w:rsid w:val="7B182C88"/>
    <w:rsid w:val="7B354CB6"/>
    <w:rsid w:val="7B3E07D2"/>
    <w:rsid w:val="7B6E3414"/>
    <w:rsid w:val="7B7213D1"/>
    <w:rsid w:val="7BC6204D"/>
    <w:rsid w:val="7BD92376"/>
    <w:rsid w:val="7C3824C6"/>
    <w:rsid w:val="7C383C6C"/>
    <w:rsid w:val="7C3E7EE5"/>
    <w:rsid w:val="7C406DF9"/>
    <w:rsid w:val="7C4165B6"/>
    <w:rsid w:val="7C4250E9"/>
    <w:rsid w:val="7C594FEE"/>
    <w:rsid w:val="7C7A4F21"/>
    <w:rsid w:val="7C916B38"/>
    <w:rsid w:val="7CB650A7"/>
    <w:rsid w:val="7CE10310"/>
    <w:rsid w:val="7D030BB3"/>
    <w:rsid w:val="7D13454C"/>
    <w:rsid w:val="7D441D47"/>
    <w:rsid w:val="7D6174DF"/>
    <w:rsid w:val="7D72325C"/>
    <w:rsid w:val="7D8212F8"/>
    <w:rsid w:val="7D873901"/>
    <w:rsid w:val="7D957A4D"/>
    <w:rsid w:val="7DBC0F36"/>
    <w:rsid w:val="7E03029E"/>
    <w:rsid w:val="7E063776"/>
    <w:rsid w:val="7E111C61"/>
    <w:rsid w:val="7E2E5DB0"/>
    <w:rsid w:val="7E346A11"/>
    <w:rsid w:val="7E42190C"/>
    <w:rsid w:val="7E454A8A"/>
    <w:rsid w:val="7E4C232A"/>
    <w:rsid w:val="7E4F5BD0"/>
    <w:rsid w:val="7E691F7C"/>
    <w:rsid w:val="7E7E089B"/>
    <w:rsid w:val="7EE5649F"/>
    <w:rsid w:val="7EEE4FA9"/>
    <w:rsid w:val="7EEE6D3B"/>
    <w:rsid w:val="7F033148"/>
    <w:rsid w:val="7F1B3618"/>
    <w:rsid w:val="7F392754"/>
    <w:rsid w:val="7F4314C9"/>
    <w:rsid w:val="7F613ED4"/>
    <w:rsid w:val="7F6E2E38"/>
    <w:rsid w:val="7F7209B9"/>
    <w:rsid w:val="7F723663"/>
    <w:rsid w:val="7FAB3302"/>
    <w:rsid w:val="7FB65A15"/>
    <w:rsid w:val="7FCB4E23"/>
    <w:rsid w:val="7FE51B1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0" w:semiHidden="0" w:name="toc 2"/>
    <w:lsdException w:qFormat="1" w:unhideWhenUsed="0" w:uiPriority="0"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uiPriority="99" w:name="Body Text 2"/>
    <w:lsdException w:qFormat="1" w:unhideWhenUsed="0" w:uiPriority="0"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uiPriority="99" w:name="HTML Preformatted"/>
    <w:lsdException w:uiPriority="99" w:name="HTML Sample"/>
    <w:lsdException w:uiPriority="99" w:name="HTML Typewriter"/>
    <w:lsdException w:qFormat="1" w:uiPriority="99"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45"/>
    <w:qFormat/>
    <w:uiPriority w:val="0"/>
    <w:pPr>
      <w:keepNext/>
      <w:outlineLvl w:val="1"/>
    </w:pPr>
    <w:rPr>
      <w:b/>
      <w:sz w:val="28"/>
    </w:rPr>
  </w:style>
  <w:style w:type="paragraph" w:styleId="4">
    <w:name w:val="heading 3"/>
    <w:basedOn w:val="1"/>
    <w:next w:val="1"/>
    <w:qFormat/>
    <w:uiPriority w:val="0"/>
    <w:pPr>
      <w:keepNext/>
      <w:keepLines/>
      <w:spacing w:line="415" w:lineRule="auto"/>
      <w:outlineLvl w:val="2"/>
    </w:pPr>
    <w:rPr>
      <w:b/>
      <w:bCs/>
      <w:sz w:val="32"/>
      <w:szCs w:val="32"/>
    </w:rPr>
  </w:style>
  <w:style w:type="paragraph" w:styleId="5">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9"/>
    <w:pPr>
      <w:keepNext/>
      <w:keepLines/>
      <w:spacing w:before="280" w:beforeLines="0" w:beforeAutospacing="0" w:after="290" w:afterLines="0" w:afterAutospacing="0" w:line="372" w:lineRule="auto"/>
      <w:outlineLvl w:val="4"/>
    </w:pPr>
    <w:rPr>
      <w:b/>
      <w:sz w:val="28"/>
    </w:rPr>
  </w:style>
  <w:style w:type="character" w:default="1" w:styleId="35">
    <w:name w:val="Default Paragraph Font"/>
    <w:qFormat/>
    <w:uiPriority w:val="0"/>
  </w:style>
  <w:style w:type="table" w:default="1" w:styleId="33">
    <w:name w:val="Normal Table"/>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2520" w:leftChars="1200"/>
    </w:pPr>
  </w:style>
  <w:style w:type="paragraph" w:styleId="8">
    <w:name w:val="Normal Indent"/>
    <w:basedOn w:val="1"/>
    <w:unhideWhenUsed/>
    <w:qFormat/>
    <w:uiPriority w:val="99"/>
    <w:pPr>
      <w:adjustRightInd w:val="0"/>
      <w:spacing w:line="410" w:lineRule="atLeast"/>
      <w:ind w:firstLine="420"/>
      <w:jc w:val="left"/>
    </w:pPr>
    <w:rPr>
      <w:rFonts w:ascii="宋体"/>
      <w:kern w:val="0"/>
      <w:sz w:val="24"/>
      <w:szCs w:val="20"/>
    </w:rPr>
  </w:style>
  <w:style w:type="paragraph" w:styleId="9">
    <w:name w:val="annotation text"/>
    <w:basedOn w:val="1"/>
    <w:unhideWhenUsed/>
    <w:qFormat/>
    <w:uiPriority w:val="99"/>
    <w:pPr>
      <w:jc w:val="left"/>
    </w:pPr>
  </w:style>
  <w:style w:type="paragraph" w:styleId="10">
    <w:name w:val="Body Text 3"/>
    <w:basedOn w:val="1"/>
    <w:qFormat/>
    <w:uiPriority w:val="0"/>
    <w:pPr>
      <w:spacing w:after="120" w:afterLines="0"/>
    </w:pPr>
    <w:rPr>
      <w:kern w:val="2"/>
      <w:sz w:val="16"/>
      <w:szCs w:val="16"/>
    </w:rPr>
  </w:style>
  <w:style w:type="paragraph" w:styleId="11">
    <w:name w:val="Body Text"/>
    <w:basedOn w:val="1"/>
    <w:next w:val="1"/>
    <w:qFormat/>
    <w:uiPriority w:val="0"/>
    <w:pPr>
      <w:spacing w:after="120"/>
    </w:pPr>
  </w:style>
  <w:style w:type="paragraph" w:styleId="12">
    <w:name w:val="Body Text Indent"/>
    <w:basedOn w:val="1"/>
    <w:next w:val="13"/>
    <w:qFormat/>
    <w:uiPriority w:val="0"/>
    <w:pPr>
      <w:widowControl w:val="0"/>
      <w:adjustRightInd w:val="0"/>
      <w:spacing w:line="360" w:lineRule="auto"/>
      <w:ind w:firstLine="600"/>
    </w:pPr>
    <w:rPr>
      <w:sz w:val="28"/>
      <w:szCs w:val="28"/>
    </w:rPr>
  </w:style>
  <w:style w:type="paragraph" w:styleId="13">
    <w:name w:val="Body Text First Indent 2"/>
    <w:basedOn w:val="12"/>
    <w:next w:val="14"/>
    <w:qFormat/>
    <w:uiPriority w:val="99"/>
    <w:pPr>
      <w:tabs>
        <w:tab w:val="left" w:pos="1218"/>
        <w:tab w:val="left" w:pos="3544"/>
      </w:tabs>
      <w:ind w:firstLine="420" w:firstLineChars="200"/>
    </w:pPr>
    <w:rPr>
      <w:rFonts w:ascii="Times New Roman"/>
      <w:szCs w:val="24"/>
    </w:rPr>
  </w:style>
  <w:style w:type="paragraph" w:customStyle="1" w:styleId="14">
    <w:name w:val="正文（标准）"/>
    <w:basedOn w:val="1"/>
    <w:next w:val="1"/>
    <w:semiHidden/>
    <w:qFormat/>
    <w:uiPriority w:val="0"/>
    <w:pPr>
      <w:ind w:firstLine="525"/>
    </w:pPr>
    <w:rPr>
      <w:rFonts w:ascii="宋体" w:hAnsi="宋体"/>
    </w:rPr>
  </w:style>
  <w:style w:type="paragraph" w:styleId="15">
    <w:name w:val="Block Text"/>
    <w:basedOn w:val="1"/>
    <w:unhideWhenUsed/>
    <w:qFormat/>
    <w:uiPriority w:val="99"/>
    <w:pPr>
      <w:spacing w:after="120"/>
      <w:ind w:left="1440" w:leftChars="700" w:right="1440" w:rightChars="700"/>
    </w:pPr>
    <w:rPr>
      <w:szCs w:val="24"/>
    </w:rPr>
  </w:style>
  <w:style w:type="paragraph" w:styleId="16">
    <w:name w:val="toc 5"/>
    <w:basedOn w:val="1"/>
    <w:next w:val="1"/>
    <w:unhideWhenUsed/>
    <w:qFormat/>
    <w:uiPriority w:val="39"/>
    <w:pPr>
      <w:ind w:left="1680" w:leftChars="800"/>
    </w:pPr>
  </w:style>
  <w:style w:type="paragraph" w:styleId="17">
    <w:name w:val="toc 3"/>
    <w:basedOn w:val="1"/>
    <w:next w:val="1"/>
    <w:qFormat/>
    <w:uiPriority w:val="0"/>
    <w:pPr>
      <w:ind w:left="840" w:leftChars="400"/>
    </w:pPr>
  </w:style>
  <w:style w:type="paragraph" w:styleId="18">
    <w:name w:val="Plain Text"/>
    <w:basedOn w:val="1"/>
    <w:qFormat/>
    <w:uiPriority w:val="0"/>
    <w:rPr>
      <w:rFonts w:ascii="Times New Roman"/>
      <w:kern w:val="2"/>
    </w:rPr>
  </w:style>
  <w:style w:type="paragraph" w:styleId="19">
    <w:name w:val="toc 8"/>
    <w:basedOn w:val="1"/>
    <w:next w:val="1"/>
    <w:unhideWhenUsed/>
    <w:qFormat/>
    <w:uiPriority w:val="39"/>
    <w:pPr>
      <w:ind w:left="2940" w:leftChars="1400"/>
    </w:pPr>
  </w:style>
  <w:style w:type="paragraph" w:styleId="20">
    <w:name w:val="Date"/>
    <w:basedOn w:val="1"/>
    <w:next w:val="1"/>
    <w:unhideWhenUsed/>
    <w:qFormat/>
    <w:uiPriority w:val="99"/>
    <w:pPr>
      <w:ind w:left="2500" w:leftChars="2500"/>
    </w:pPr>
    <w:rPr>
      <w:rFonts w:ascii="Times New Roman" w:hAnsi="Times New Roman"/>
      <w:szCs w:val="20"/>
    </w:rPr>
  </w:style>
  <w:style w:type="paragraph" w:styleId="21">
    <w:name w:val="Body Text Indent 2"/>
    <w:basedOn w:val="1"/>
    <w:unhideWhenUsed/>
    <w:qFormat/>
    <w:uiPriority w:val="99"/>
    <w:pPr>
      <w:spacing w:after="120" w:line="480" w:lineRule="auto"/>
      <w:ind w:left="420" w:leftChars="200"/>
    </w:pPr>
  </w:style>
  <w:style w:type="paragraph" w:styleId="22">
    <w:name w:val="footer"/>
    <w:basedOn w:val="1"/>
    <w:next w:val="23"/>
    <w:qFormat/>
    <w:uiPriority w:val="0"/>
    <w:pPr>
      <w:tabs>
        <w:tab w:val="center" w:pos="4153"/>
        <w:tab w:val="right" w:pos="8306"/>
      </w:tabs>
      <w:snapToGrid w:val="0"/>
      <w:jc w:val="left"/>
    </w:pPr>
    <w:rPr>
      <w:sz w:val="18"/>
    </w:rPr>
  </w:style>
  <w:style w:type="paragraph" w:styleId="23">
    <w:name w:val="header"/>
    <w:basedOn w:val="1"/>
    <w:link w:val="4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24">
    <w:name w:val="toc 1"/>
    <w:basedOn w:val="1"/>
    <w:next w:val="1"/>
    <w:unhideWhenUsed/>
    <w:qFormat/>
    <w:uiPriority w:val="39"/>
  </w:style>
  <w:style w:type="paragraph" w:styleId="25">
    <w:name w:val="toc 4"/>
    <w:basedOn w:val="1"/>
    <w:next w:val="1"/>
    <w:unhideWhenUsed/>
    <w:qFormat/>
    <w:uiPriority w:val="39"/>
    <w:pPr>
      <w:ind w:left="1260" w:leftChars="600"/>
    </w:pPr>
  </w:style>
  <w:style w:type="paragraph" w:styleId="26">
    <w:name w:val="toc 6"/>
    <w:basedOn w:val="1"/>
    <w:next w:val="1"/>
    <w:unhideWhenUsed/>
    <w:qFormat/>
    <w:uiPriority w:val="39"/>
    <w:pPr>
      <w:ind w:left="2100" w:leftChars="1000"/>
    </w:pPr>
  </w:style>
  <w:style w:type="paragraph" w:styleId="27">
    <w:name w:val="Body Text Indent 3"/>
    <w:basedOn w:val="1"/>
    <w:unhideWhenUsed/>
    <w:qFormat/>
    <w:uiPriority w:val="99"/>
    <w:pPr>
      <w:spacing w:after="120" w:afterLines="0"/>
      <w:ind w:left="420" w:leftChars="200"/>
    </w:pPr>
    <w:rPr>
      <w:sz w:val="16"/>
      <w:szCs w:val="16"/>
    </w:rPr>
  </w:style>
  <w:style w:type="paragraph" w:styleId="28">
    <w:name w:val="toc 2"/>
    <w:basedOn w:val="1"/>
    <w:next w:val="1"/>
    <w:qFormat/>
    <w:uiPriority w:val="0"/>
    <w:pPr>
      <w:ind w:left="420" w:leftChars="200"/>
    </w:pPr>
  </w:style>
  <w:style w:type="paragraph" w:styleId="29">
    <w:name w:val="toc 9"/>
    <w:basedOn w:val="1"/>
    <w:next w:val="1"/>
    <w:unhideWhenUsed/>
    <w:qFormat/>
    <w:uiPriority w:val="39"/>
    <w:pPr>
      <w:ind w:left="3360" w:leftChars="1600"/>
    </w:pPr>
  </w:style>
  <w:style w:type="paragraph" w:styleId="30">
    <w:name w:val="Normal (Web)"/>
    <w:basedOn w:val="1"/>
    <w:unhideWhenUsed/>
    <w:qFormat/>
    <w:uiPriority w:val="99"/>
    <w:pPr>
      <w:spacing w:before="100" w:beforeLines="0" w:beforeAutospacing="1" w:after="100" w:afterLines="0" w:afterAutospacing="1"/>
      <w:ind w:left="0" w:right="0"/>
      <w:jc w:val="left"/>
    </w:pPr>
    <w:rPr>
      <w:kern w:val="0"/>
      <w:sz w:val="24"/>
      <w:szCs w:val="20"/>
      <w:lang w:val="en-US" w:eastAsia="zh-CN" w:bidi="ar-SA"/>
    </w:rPr>
  </w:style>
  <w:style w:type="paragraph" w:styleId="31">
    <w:name w:val="Title"/>
    <w:basedOn w:val="1"/>
    <w:next w:val="1"/>
    <w:qFormat/>
    <w:uiPriority w:val="1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32">
    <w:name w:val="Body Text First Indent"/>
    <w:basedOn w:val="11"/>
    <w:next w:val="1"/>
    <w:qFormat/>
    <w:uiPriority w:val="0"/>
    <w:pPr>
      <w:tabs>
        <w:tab w:val="left" w:pos="720"/>
      </w:tabs>
      <w:adjustRightInd w:val="0"/>
      <w:spacing w:line="410" w:lineRule="atLeast"/>
      <w:ind w:firstLine="420" w:firstLineChars="100"/>
      <w:jc w:val="left"/>
      <w:textAlignment w:val="baseline"/>
    </w:pPr>
    <w:rPr>
      <w:rFonts w:ascii="宋体" w:hAnsi="宋体"/>
      <w:color w:val="000000"/>
      <w:kern w:val="0"/>
      <w:szCs w:val="20"/>
    </w:rPr>
  </w:style>
  <w:style w:type="table" w:styleId="34">
    <w:name w:val="Table Grid"/>
    <w:basedOn w:val="33"/>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22"/>
    <w:rPr>
      <w:b/>
    </w:rPr>
  </w:style>
  <w:style w:type="character" w:styleId="37">
    <w:name w:val="page number"/>
    <w:basedOn w:val="35"/>
    <w:unhideWhenUsed/>
    <w:qFormat/>
    <w:uiPriority w:val="99"/>
  </w:style>
  <w:style w:type="character" w:styleId="38">
    <w:name w:val="FollowedHyperlink"/>
    <w:basedOn w:val="35"/>
    <w:unhideWhenUsed/>
    <w:qFormat/>
    <w:uiPriority w:val="99"/>
    <w:rPr>
      <w:color w:val="1D6B6B"/>
      <w:u w:val="none"/>
    </w:rPr>
  </w:style>
  <w:style w:type="character" w:styleId="39">
    <w:name w:val="HTML Definition"/>
    <w:basedOn w:val="35"/>
    <w:unhideWhenUsed/>
    <w:qFormat/>
    <w:uiPriority w:val="99"/>
  </w:style>
  <w:style w:type="character" w:styleId="40">
    <w:name w:val="HTML Variable"/>
    <w:basedOn w:val="35"/>
    <w:unhideWhenUsed/>
    <w:qFormat/>
    <w:uiPriority w:val="99"/>
  </w:style>
  <w:style w:type="character" w:styleId="41">
    <w:name w:val="Hyperlink"/>
    <w:basedOn w:val="35"/>
    <w:unhideWhenUsed/>
    <w:qFormat/>
    <w:uiPriority w:val="99"/>
    <w:rPr>
      <w:color w:val="0563C1"/>
      <w:u w:val="single"/>
    </w:rPr>
  </w:style>
  <w:style w:type="character" w:styleId="42">
    <w:name w:val="HTML Code"/>
    <w:basedOn w:val="35"/>
    <w:unhideWhenUsed/>
    <w:qFormat/>
    <w:uiPriority w:val="99"/>
    <w:rPr>
      <w:rFonts w:ascii="微软雅黑" w:hAnsi="微软雅黑" w:eastAsia="微软雅黑" w:cs="微软雅黑"/>
      <w:sz w:val="20"/>
    </w:rPr>
  </w:style>
  <w:style w:type="character" w:styleId="43">
    <w:name w:val="HTML Cite"/>
    <w:basedOn w:val="35"/>
    <w:unhideWhenUsed/>
    <w:qFormat/>
    <w:uiPriority w:val="99"/>
  </w:style>
  <w:style w:type="paragraph" w:customStyle="1" w:styleId="44">
    <w:name w:val="正文文本首行缩进 21"/>
    <w:basedOn w:val="12"/>
    <w:qFormat/>
    <w:uiPriority w:val="0"/>
    <w:pPr>
      <w:ind w:firstLine="420" w:firstLineChars="200"/>
    </w:pPr>
  </w:style>
  <w:style w:type="character" w:customStyle="1" w:styleId="45">
    <w:name w:val="标题 2 Char"/>
    <w:link w:val="3"/>
    <w:qFormat/>
    <w:uiPriority w:val="0"/>
    <w:rPr>
      <w:b/>
      <w:sz w:val="28"/>
    </w:rPr>
  </w:style>
  <w:style w:type="character" w:customStyle="1" w:styleId="46">
    <w:name w:val="页眉 Char"/>
    <w:link w:val="23"/>
    <w:qFormat/>
    <w:uiPriority w:val="0"/>
    <w:rPr>
      <w:kern w:val="2"/>
      <w:sz w:val="18"/>
    </w:rPr>
  </w:style>
  <w:style w:type="character" w:customStyle="1" w:styleId="47">
    <w:name w:val="hover19"/>
    <w:basedOn w:val="35"/>
    <w:qFormat/>
    <w:uiPriority w:val="0"/>
    <w:rPr>
      <w:color w:val="1B57B9"/>
    </w:rPr>
  </w:style>
  <w:style w:type="character" w:customStyle="1" w:styleId="48">
    <w:name w:val="ico_system"/>
    <w:basedOn w:val="35"/>
    <w:qFormat/>
    <w:uiPriority w:val="0"/>
  </w:style>
  <w:style w:type="character" w:customStyle="1" w:styleId="49">
    <w:name w:val="refresh"/>
    <w:basedOn w:val="35"/>
    <w:qFormat/>
    <w:uiPriority w:val="0"/>
  </w:style>
  <w:style w:type="character" w:customStyle="1" w:styleId="50">
    <w:name w:val="time_select4"/>
    <w:basedOn w:val="35"/>
    <w:qFormat/>
    <w:uiPriority w:val="0"/>
  </w:style>
  <w:style w:type="character" w:customStyle="1" w:styleId="51">
    <w:name w:val="addaffix"/>
    <w:basedOn w:val="35"/>
    <w:qFormat/>
    <w:uiPriority w:val="0"/>
  </w:style>
  <w:style w:type="character" w:customStyle="1" w:styleId="52">
    <w:name w:val="creater"/>
    <w:basedOn w:val="35"/>
    <w:qFormat/>
    <w:uiPriority w:val="0"/>
  </w:style>
  <w:style w:type="character" w:customStyle="1" w:styleId="53">
    <w:name w:val="w32"/>
    <w:basedOn w:val="35"/>
    <w:qFormat/>
    <w:uiPriority w:val="0"/>
  </w:style>
  <w:style w:type="character" w:customStyle="1" w:styleId="54">
    <w:name w:val="ico_open1"/>
    <w:basedOn w:val="35"/>
    <w:qFormat/>
    <w:uiPriority w:val="0"/>
  </w:style>
  <w:style w:type="character" w:customStyle="1" w:styleId="55">
    <w:name w:val="enddate"/>
    <w:basedOn w:val="35"/>
    <w:qFormat/>
    <w:uiPriority w:val="0"/>
  </w:style>
  <w:style w:type="character" w:customStyle="1" w:styleId="56">
    <w:name w:val="ui_title_wrap_title"/>
    <w:basedOn w:val="35"/>
    <w:qFormat/>
    <w:uiPriority w:val="0"/>
  </w:style>
  <w:style w:type="character" w:customStyle="1" w:styleId="57">
    <w:name w:val="cdropright"/>
    <w:basedOn w:val="35"/>
    <w:qFormat/>
    <w:uiPriority w:val="0"/>
  </w:style>
  <w:style w:type="character" w:customStyle="1" w:styleId="58">
    <w:name w:val="common"/>
    <w:basedOn w:val="35"/>
    <w:qFormat/>
    <w:uiPriority w:val="0"/>
  </w:style>
  <w:style w:type="character" w:customStyle="1" w:styleId="59">
    <w:name w:val="infomation"/>
    <w:basedOn w:val="35"/>
    <w:qFormat/>
    <w:uiPriority w:val="0"/>
  </w:style>
  <w:style w:type="character" w:customStyle="1" w:styleId="60">
    <w:name w:val="setmenu"/>
    <w:basedOn w:val="35"/>
    <w:qFormat/>
    <w:uiPriority w:val="0"/>
  </w:style>
  <w:style w:type="character" w:customStyle="1" w:styleId="61">
    <w:name w:val="hover20"/>
    <w:basedOn w:val="35"/>
    <w:qFormat/>
    <w:uiPriority w:val="0"/>
  </w:style>
  <w:style w:type="character" w:customStyle="1" w:styleId="62">
    <w:name w:val="share"/>
    <w:basedOn w:val="35"/>
    <w:qFormat/>
    <w:uiPriority w:val="0"/>
  </w:style>
  <w:style w:type="character" w:customStyle="1" w:styleId="63">
    <w:name w:val="sort"/>
    <w:basedOn w:val="35"/>
    <w:qFormat/>
    <w:uiPriority w:val="0"/>
    <w:rPr>
      <w:bdr w:val="single" w:color="D3E8DF" w:sz="6" w:space="0"/>
    </w:rPr>
  </w:style>
  <w:style w:type="character" w:customStyle="1" w:styleId="64">
    <w:name w:val="number"/>
    <w:basedOn w:val="35"/>
    <w:qFormat/>
    <w:uiPriority w:val="0"/>
    <w:rPr>
      <w:b/>
      <w:sz w:val="22"/>
      <w:szCs w:val="22"/>
    </w:rPr>
  </w:style>
  <w:style w:type="character" w:customStyle="1" w:styleId="65">
    <w:name w:val="biggerthanmax"/>
    <w:basedOn w:val="35"/>
    <w:qFormat/>
    <w:uiPriority w:val="0"/>
    <w:rPr>
      <w:shd w:val="clear" w:color="auto" w:fill="FFFF00"/>
    </w:rPr>
  </w:style>
  <w:style w:type="character" w:customStyle="1" w:styleId="66">
    <w:name w:val="addresses_group2"/>
    <w:basedOn w:val="35"/>
    <w:qFormat/>
    <w:uiPriority w:val="0"/>
  </w:style>
  <w:style w:type="character" w:customStyle="1" w:styleId="67">
    <w:name w:val="owner"/>
    <w:basedOn w:val="35"/>
    <w:qFormat/>
    <w:uiPriority w:val="0"/>
  </w:style>
  <w:style w:type="character" w:customStyle="1" w:styleId="68">
    <w:name w:val="edit_class"/>
    <w:basedOn w:val="35"/>
    <w:qFormat/>
    <w:uiPriority w:val="0"/>
  </w:style>
  <w:style w:type="character" w:customStyle="1" w:styleId="69">
    <w:name w:val="active4"/>
    <w:basedOn w:val="35"/>
    <w:qFormat/>
    <w:uiPriority w:val="0"/>
    <w:rPr>
      <w:color w:val="FFFFFF"/>
    </w:rPr>
  </w:style>
  <w:style w:type="character" w:customStyle="1" w:styleId="70">
    <w:name w:val="publisher"/>
    <w:basedOn w:val="35"/>
    <w:qFormat/>
    <w:uiPriority w:val="0"/>
  </w:style>
  <w:style w:type="character" w:customStyle="1" w:styleId="71">
    <w:name w:val="layui-layer-tabnow"/>
    <w:basedOn w:val="35"/>
    <w:qFormat/>
    <w:uiPriority w:val="0"/>
    <w:rPr>
      <w:bdr w:val="single" w:color="CCCCCC" w:sz="6" w:space="0"/>
      <w:shd w:val="clear" w:color="auto" w:fill="FFFFFF"/>
    </w:rPr>
  </w:style>
  <w:style w:type="character" w:customStyle="1" w:styleId="72">
    <w:name w:val="button"/>
    <w:basedOn w:val="35"/>
    <w:qFormat/>
    <w:uiPriority w:val="0"/>
  </w:style>
  <w:style w:type="character" w:customStyle="1" w:styleId="73">
    <w:name w:val="no_background"/>
    <w:basedOn w:val="35"/>
    <w:qFormat/>
    <w:uiPriority w:val="0"/>
  </w:style>
  <w:style w:type="character" w:customStyle="1" w:styleId="74">
    <w:name w:val="hover22"/>
    <w:basedOn w:val="35"/>
    <w:qFormat/>
    <w:uiPriority w:val="0"/>
  </w:style>
  <w:style w:type="character" w:customStyle="1" w:styleId="75">
    <w:name w:val="remindgray"/>
    <w:basedOn w:val="35"/>
    <w:qFormat/>
    <w:uiPriority w:val="0"/>
  </w:style>
  <w:style w:type="character" w:customStyle="1" w:styleId="76">
    <w:name w:val="active7"/>
    <w:basedOn w:val="35"/>
    <w:qFormat/>
    <w:uiPriority w:val="0"/>
  </w:style>
  <w:style w:type="character" w:customStyle="1" w:styleId="77">
    <w:name w:val="person"/>
    <w:basedOn w:val="35"/>
    <w:qFormat/>
    <w:uiPriority w:val="0"/>
  </w:style>
  <w:style w:type="character" w:customStyle="1" w:styleId="78">
    <w:name w:val="senddate"/>
    <w:basedOn w:val="35"/>
    <w:qFormat/>
    <w:uiPriority w:val="0"/>
  </w:style>
  <w:style w:type="character" w:customStyle="1" w:styleId="79">
    <w:name w:val="print"/>
    <w:basedOn w:val="35"/>
    <w:qFormat/>
    <w:uiPriority w:val="0"/>
  </w:style>
  <w:style w:type="character" w:customStyle="1" w:styleId="80">
    <w:name w:val="complete"/>
    <w:basedOn w:val="35"/>
    <w:qFormat/>
    <w:uiPriority w:val="0"/>
  </w:style>
  <w:style w:type="character" w:customStyle="1" w:styleId="81">
    <w:name w:val="del"/>
    <w:basedOn w:val="35"/>
    <w:qFormat/>
    <w:uiPriority w:val="0"/>
  </w:style>
  <w:style w:type="character" w:customStyle="1" w:styleId="82">
    <w:name w:val="state"/>
    <w:basedOn w:val="35"/>
    <w:qFormat/>
    <w:uiPriority w:val="0"/>
  </w:style>
  <w:style w:type="character" w:customStyle="1" w:styleId="83">
    <w:name w:val="after"/>
    <w:basedOn w:val="35"/>
    <w:qFormat/>
    <w:uiPriority w:val="0"/>
    <w:rPr>
      <w:sz w:val="16"/>
      <w:szCs w:val="0"/>
    </w:rPr>
  </w:style>
  <w:style w:type="character" w:customStyle="1" w:styleId="84">
    <w:name w:val="type"/>
    <w:basedOn w:val="35"/>
    <w:qFormat/>
    <w:uiPriority w:val="0"/>
  </w:style>
  <w:style w:type="character" w:customStyle="1" w:styleId="85">
    <w:name w:val="createdate"/>
    <w:basedOn w:val="35"/>
    <w:qFormat/>
    <w:uiPriority w:val="0"/>
    <w:rPr>
      <w:color w:val="6A8386"/>
    </w:rPr>
  </w:style>
  <w:style w:type="character" w:customStyle="1" w:styleId="86">
    <w:name w:val="close1"/>
    <w:basedOn w:val="35"/>
    <w:qFormat/>
    <w:uiPriority w:val="0"/>
  </w:style>
  <w:style w:type="character" w:customStyle="1" w:styleId="87">
    <w:name w:val="ico_fold2"/>
    <w:basedOn w:val="35"/>
    <w:qFormat/>
    <w:uiPriority w:val="0"/>
  </w:style>
  <w:style w:type="character" w:customStyle="1" w:styleId="88">
    <w:name w:val="time"/>
    <w:basedOn w:val="35"/>
    <w:qFormat/>
    <w:uiPriority w:val="0"/>
  </w:style>
  <w:style w:type="character" w:customStyle="1" w:styleId="89">
    <w:name w:val="ico1655"/>
    <w:basedOn w:val="35"/>
    <w:qFormat/>
    <w:uiPriority w:val="0"/>
  </w:style>
  <w:style w:type="character" w:customStyle="1" w:styleId="90">
    <w:name w:val="associateddata"/>
    <w:basedOn w:val="35"/>
    <w:qFormat/>
    <w:uiPriority w:val="0"/>
    <w:rPr>
      <w:shd w:val="clear" w:color="auto" w:fill="50A6F9"/>
    </w:rPr>
  </w:style>
  <w:style w:type="character" w:customStyle="1" w:styleId="91">
    <w:name w:val="first-child"/>
    <w:basedOn w:val="35"/>
    <w:qFormat/>
    <w:uiPriority w:val="0"/>
  </w:style>
  <w:style w:type="character" w:customStyle="1" w:styleId="92">
    <w:name w:val="advanced_item"/>
    <w:basedOn w:val="35"/>
    <w:qFormat/>
    <w:uiPriority w:val="0"/>
  </w:style>
  <w:style w:type="character" w:customStyle="1" w:styleId="93">
    <w:name w:val="xdrichtextbox"/>
    <w:basedOn w:val="35"/>
    <w:qFormat/>
    <w:uiPriority w:val="0"/>
    <w:rPr>
      <w:color w:val="auto"/>
      <w:sz w:val="18"/>
      <w:szCs w:val="18"/>
      <w:u w:val="none"/>
      <w:bdr w:val="single" w:color="DCDCDC" w:sz="8" w:space="0"/>
      <w:shd w:val="clear" w:color="auto" w:fill="auto"/>
    </w:rPr>
  </w:style>
  <w:style w:type="character" w:customStyle="1" w:styleId="94">
    <w:name w:val="setlist_ico"/>
    <w:basedOn w:val="35"/>
    <w:qFormat/>
    <w:uiPriority w:val="0"/>
  </w:style>
  <w:style w:type="character" w:customStyle="1" w:styleId="95">
    <w:name w:val="close"/>
    <w:basedOn w:val="35"/>
    <w:qFormat/>
    <w:uiPriority w:val="0"/>
  </w:style>
  <w:style w:type="character" w:customStyle="1" w:styleId="96">
    <w:name w:val="iconline2"/>
    <w:basedOn w:val="35"/>
    <w:qFormat/>
    <w:uiPriority w:val="0"/>
  </w:style>
  <w:style w:type="character" w:customStyle="1" w:styleId="97">
    <w:name w:val="icontext12"/>
    <w:basedOn w:val="35"/>
    <w:qFormat/>
    <w:uiPriority w:val="0"/>
  </w:style>
  <w:style w:type="character" w:customStyle="1" w:styleId="98">
    <w:name w:val="time_overtime"/>
    <w:basedOn w:val="35"/>
    <w:qFormat/>
    <w:uiPriority w:val="0"/>
  </w:style>
  <w:style w:type="character" w:customStyle="1" w:styleId="99">
    <w:name w:val="name"/>
    <w:basedOn w:val="35"/>
    <w:qFormat/>
    <w:uiPriority w:val="0"/>
  </w:style>
  <w:style w:type="character" w:customStyle="1" w:styleId="100">
    <w:name w:val="hide2"/>
    <w:basedOn w:val="35"/>
    <w:qFormat/>
    <w:uiPriority w:val="0"/>
    <w:rPr>
      <w:vanish/>
    </w:rPr>
  </w:style>
  <w:style w:type="character" w:customStyle="1" w:styleId="101">
    <w:name w:val="edit_type"/>
    <w:basedOn w:val="35"/>
    <w:qFormat/>
    <w:uiPriority w:val="0"/>
  </w:style>
  <w:style w:type="character" w:customStyle="1" w:styleId="102">
    <w:name w:val="drapbtn"/>
    <w:basedOn w:val="35"/>
    <w:qFormat/>
    <w:uiPriority w:val="0"/>
  </w:style>
  <w:style w:type="character" w:customStyle="1" w:styleId="103">
    <w:name w:val="ico_open"/>
    <w:basedOn w:val="35"/>
    <w:qFormat/>
    <w:uiPriority w:val="0"/>
  </w:style>
  <w:style w:type="character" w:customStyle="1" w:styleId="104">
    <w:name w:val="startdate"/>
    <w:basedOn w:val="35"/>
    <w:qFormat/>
    <w:uiPriority w:val="0"/>
  </w:style>
  <w:style w:type="character" w:customStyle="1" w:styleId="105">
    <w:name w:val="left"/>
    <w:basedOn w:val="35"/>
    <w:qFormat/>
    <w:uiPriority w:val="0"/>
  </w:style>
  <w:style w:type="character" w:customStyle="1" w:styleId="106">
    <w:name w:val="icontext3"/>
    <w:basedOn w:val="35"/>
    <w:qFormat/>
    <w:uiPriority w:val="0"/>
  </w:style>
  <w:style w:type="character" w:customStyle="1" w:styleId="107">
    <w:name w:val="placeholder"/>
    <w:basedOn w:val="35"/>
    <w:qFormat/>
    <w:uiPriority w:val="0"/>
  </w:style>
  <w:style w:type="character" w:customStyle="1" w:styleId="108">
    <w:name w:val="close3"/>
    <w:basedOn w:val="35"/>
    <w:qFormat/>
    <w:uiPriority w:val="0"/>
    <w:rPr>
      <w:vanish/>
    </w:rPr>
  </w:style>
  <w:style w:type="character" w:customStyle="1" w:styleId="109">
    <w:name w:val="fc-event-title"/>
    <w:basedOn w:val="35"/>
    <w:qFormat/>
    <w:uiPriority w:val="0"/>
  </w:style>
  <w:style w:type="character" w:customStyle="1" w:styleId="110">
    <w:name w:val="ico1654"/>
    <w:basedOn w:val="35"/>
    <w:qFormat/>
    <w:uiPriority w:val="0"/>
  </w:style>
  <w:style w:type="character" w:customStyle="1" w:styleId="111">
    <w:name w:val="sender"/>
    <w:basedOn w:val="35"/>
    <w:qFormat/>
    <w:uiPriority w:val="0"/>
  </w:style>
  <w:style w:type="character" w:customStyle="1" w:styleId="112">
    <w:name w:val="urgent"/>
    <w:basedOn w:val="35"/>
    <w:qFormat/>
    <w:uiPriority w:val="0"/>
    <w:rPr>
      <w:color w:val="000000"/>
    </w:rPr>
  </w:style>
  <w:style w:type="character" w:customStyle="1" w:styleId="113">
    <w:name w:val="portal_setico"/>
    <w:basedOn w:val="35"/>
    <w:qFormat/>
    <w:uiPriority w:val="0"/>
  </w:style>
  <w:style w:type="character" w:customStyle="1" w:styleId="114">
    <w:name w:val="pagechatarealistclose_box"/>
    <w:basedOn w:val="35"/>
    <w:qFormat/>
    <w:uiPriority w:val="0"/>
  </w:style>
  <w:style w:type="character" w:customStyle="1" w:styleId="115">
    <w:name w:val="close2"/>
    <w:basedOn w:val="35"/>
    <w:qFormat/>
    <w:uiPriority w:val="0"/>
  </w:style>
  <w:style w:type="character" w:customStyle="1" w:styleId="116">
    <w:name w:val="active5"/>
    <w:basedOn w:val="35"/>
    <w:qFormat/>
    <w:uiPriority w:val="0"/>
    <w:rPr>
      <w:color w:val="FFFFFF"/>
      <w:shd w:val="clear" w:color="auto" w:fill="6EABB1"/>
    </w:rPr>
  </w:style>
  <w:style w:type="character" w:customStyle="1" w:styleId="117">
    <w:name w:val="unselect"/>
    <w:basedOn w:val="35"/>
    <w:qFormat/>
    <w:uiPriority w:val="0"/>
  </w:style>
  <w:style w:type="character" w:customStyle="1" w:styleId="118">
    <w:name w:val="time1"/>
    <w:basedOn w:val="35"/>
    <w:qFormat/>
    <w:uiPriority w:val="0"/>
    <w:rPr>
      <w:color w:val="6A8386"/>
    </w:rPr>
  </w:style>
  <w:style w:type="character" w:customStyle="1" w:styleId="119">
    <w:name w:val="button4"/>
    <w:basedOn w:val="35"/>
    <w:qFormat/>
    <w:uiPriority w:val="0"/>
  </w:style>
  <w:style w:type="character" w:customStyle="1" w:styleId="120">
    <w:name w:val="hover36"/>
    <w:basedOn w:val="35"/>
    <w:qFormat/>
    <w:uiPriority w:val="0"/>
    <w:rPr>
      <w:color w:val="FFFFFF"/>
    </w:rPr>
  </w:style>
  <w:style w:type="character" w:customStyle="1" w:styleId="121">
    <w:name w:val="icontext1"/>
    <w:basedOn w:val="35"/>
    <w:qFormat/>
    <w:uiPriority w:val="0"/>
  </w:style>
  <w:style w:type="character" w:customStyle="1" w:styleId="122">
    <w:name w:val="fc-event-bg"/>
    <w:basedOn w:val="35"/>
    <w:qFormat/>
    <w:uiPriority w:val="0"/>
    <w:rPr>
      <w:shd w:val="clear" w:color="auto" w:fill="FFFFFF"/>
    </w:rPr>
  </w:style>
  <w:style w:type="character" w:customStyle="1" w:styleId="123">
    <w:name w:val="remind"/>
    <w:basedOn w:val="35"/>
    <w:qFormat/>
    <w:uiPriority w:val="0"/>
  </w:style>
  <w:style w:type="character" w:customStyle="1" w:styleId="124">
    <w:name w:val="select"/>
    <w:basedOn w:val="35"/>
    <w:qFormat/>
    <w:uiPriority w:val="0"/>
  </w:style>
  <w:style w:type="character" w:customStyle="1" w:styleId="125">
    <w:name w:val="hilite"/>
    <w:basedOn w:val="35"/>
    <w:qFormat/>
    <w:uiPriority w:val="0"/>
    <w:rPr>
      <w:color w:val="FFFFFF"/>
      <w:shd w:val="clear" w:color="auto" w:fill="666666"/>
    </w:rPr>
  </w:style>
  <w:style w:type="character" w:customStyle="1" w:styleId="126">
    <w:name w:val="scope"/>
    <w:basedOn w:val="35"/>
    <w:qFormat/>
    <w:uiPriority w:val="0"/>
  </w:style>
  <w:style w:type="character" w:customStyle="1" w:styleId="127">
    <w:name w:val="portal_setico1"/>
    <w:basedOn w:val="35"/>
    <w:qFormat/>
    <w:uiPriority w:val="0"/>
  </w:style>
  <w:style w:type="character" w:customStyle="1" w:styleId="128">
    <w:name w:val="fold_open"/>
    <w:basedOn w:val="35"/>
    <w:qFormat/>
    <w:uiPriority w:val="0"/>
  </w:style>
  <w:style w:type="character" w:customStyle="1" w:styleId="129">
    <w:name w:val="xdrichtextbox2"/>
    <w:basedOn w:val="35"/>
    <w:qFormat/>
    <w:uiPriority w:val="0"/>
  </w:style>
  <w:style w:type="character" w:customStyle="1" w:styleId="130">
    <w:name w:val="browse_class&gt;span"/>
    <w:basedOn w:val="35"/>
    <w:qFormat/>
    <w:uiPriority w:val="0"/>
  </w:style>
  <w:style w:type="character" w:customStyle="1" w:styleId="131">
    <w:name w:val="reminders"/>
    <w:basedOn w:val="35"/>
    <w:qFormat/>
    <w:uiPriority w:val="0"/>
  </w:style>
  <w:style w:type="character" w:customStyle="1" w:styleId="132">
    <w:name w:val="hover18"/>
    <w:basedOn w:val="35"/>
    <w:qFormat/>
    <w:uiPriority w:val="0"/>
  </w:style>
  <w:style w:type="character" w:customStyle="1" w:styleId="133">
    <w:name w:val="down"/>
    <w:basedOn w:val="35"/>
    <w:qFormat/>
    <w:uiPriority w:val="0"/>
  </w:style>
  <w:style w:type="character" w:customStyle="1" w:styleId="134">
    <w:name w:val="iconline21"/>
    <w:basedOn w:val="35"/>
    <w:qFormat/>
    <w:uiPriority w:val="0"/>
  </w:style>
  <w:style w:type="character" w:customStyle="1" w:styleId="135">
    <w:name w:val="hover41"/>
    <w:basedOn w:val="35"/>
    <w:qFormat/>
    <w:uiPriority w:val="0"/>
    <w:rPr>
      <w:color w:val="FFFFFF"/>
    </w:rPr>
  </w:style>
  <w:style w:type="character" w:customStyle="1" w:styleId="136">
    <w:name w:val="score2"/>
    <w:basedOn w:val="35"/>
    <w:qFormat/>
    <w:uiPriority w:val="0"/>
  </w:style>
  <w:style w:type="character" w:customStyle="1" w:styleId="137">
    <w:name w:val="cy"/>
    <w:basedOn w:val="35"/>
    <w:qFormat/>
    <w:uiPriority w:val="0"/>
  </w:style>
  <w:style w:type="character" w:customStyle="1" w:styleId="138">
    <w:name w:val="nobutton"/>
    <w:basedOn w:val="35"/>
    <w:qFormat/>
    <w:uiPriority w:val="0"/>
  </w:style>
  <w:style w:type="character" w:customStyle="1" w:styleId="139">
    <w:name w:val="pagechatarealistclose_box1"/>
    <w:basedOn w:val="35"/>
    <w:qFormat/>
    <w:uiPriority w:val="0"/>
  </w:style>
  <w:style w:type="character" w:customStyle="1" w:styleId="140">
    <w:name w:val="icontext2"/>
    <w:basedOn w:val="35"/>
    <w:qFormat/>
    <w:uiPriority w:val="0"/>
  </w:style>
  <w:style w:type="character" w:customStyle="1" w:styleId="141">
    <w:name w:val="cdropleft"/>
    <w:basedOn w:val="35"/>
    <w:qFormat/>
    <w:uiPriority w:val="0"/>
  </w:style>
  <w:style w:type="character" w:customStyle="1" w:styleId="142">
    <w:name w:val="icontext11"/>
    <w:basedOn w:val="35"/>
    <w:qFormat/>
    <w:uiPriority w:val="0"/>
  </w:style>
  <w:style w:type="character" w:customStyle="1" w:styleId="143">
    <w:name w:val="up"/>
    <w:basedOn w:val="35"/>
    <w:qFormat/>
    <w:uiPriority w:val="0"/>
  </w:style>
  <w:style w:type="character" w:customStyle="1" w:styleId="144">
    <w:name w:val="time_logo"/>
    <w:basedOn w:val="35"/>
    <w:qFormat/>
    <w:uiPriority w:val="0"/>
  </w:style>
  <w:style w:type="character" w:customStyle="1" w:styleId="145">
    <w:name w:val="hover21"/>
    <w:basedOn w:val="35"/>
    <w:qFormat/>
    <w:uiPriority w:val="0"/>
  </w:style>
  <w:style w:type="character" w:customStyle="1" w:styleId="146">
    <w:name w:val="design_class"/>
    <w:basedOn w:val="35"/>
    <w:qFormat/>
    <w:uiPriority w:val="0"/>
  </w:style>
  <w:style w:type="character" w:customStyle="1" w:styleId="147">
    <w:name w:val="choosename"/>
    <w:basedOn w:val="35"/>
    <w:qFormat/>
    <w:uiPriority w:val="0"/>
  </w:style>
  <w:style w:type="character" w:customStyle="1" w:styleId="148">
    <w:name w:val="active"/>
    <w:basedOn w:val="35"/>
    <w:qFormat/>
    <w:uiPriority w:val="0"/>
    <w:rPr>
      <w:color w:val="00FF00"/>
      <w:shd w:val="clear" w:color="auto" w:fill="111111"/>
    </w:rPr>
  </w:style>
  <w:style w:type="character" w:customStyle="1" w:styleId="149">
    <w:name w:val="mid"/>
    <w:basedOn w:val="35"/>
    <w:qFormat/>
    <w:uiPriority w:val="0"/>
  </w:style>
  <w:style w:type="character" w:customStyle="1" w:styleId="150">
    <w:name w:val="fc-event-time12"/>
    <w:basedOn w:val="35"/>
    <w:qFormat/>
    <w:uiPriority w:val="0"/>
    <w:rPr>
      <w:sz w:val="15"/>
      <w:szCs w:val="15"/>
    </w:rPr>
  </w:style>
  <w:style w:type="character" w:customStyle="1" w:styleId="151">
    <w:name w:val="form"/>
    <w:basedOn w:val="35"/>
    <w:qFormat/>
    <w:uiPriority w:val="0"/>
  </w:style>
  <w:style w:type="character" w:customStyle="1" w:styleId="152">
    <w:name w:val="tmpztreemove_arrow"/>
    <w:basedOn w:val="35"/>
    <w:qFormat/>
    <w:uiPriority w:val="0"/>
  </w:style>
  <w:style w:type="paragraph" w:customStyle="1" w:styleId="153">
    <w:name w:val="段"/>
    <w:qFormat/>
    <w:locked/>
    <w:uiPriority w:val="0"/>
    <w:pPr>
      <w:ind w:firstLine="200" w:firstLineChars="200"/>
      <w:jc w:val="both"/>
    </w:pPr>
    <w:rPr>
      <w:rFonts w:ascii="宋体" w:hAnsi="Times New Roman" w:eastAsia="宋体" w:cs="Times New Roman"/>
      <w:sz w:val="21"/>
      <w:szCs w:val="22"/>
      <w:lang w:val="en-US" w:eastAsia="zh-CN" w:bidi="ar-SA"/>
    </w:rPr>
  </w:style>
  <w:style w:type="paragraph" w:customStyle="1" w:styleId="154">
    <w:name w:val="无间隔"/>
    <w:qFormat/>
    <w:uiPriority w:val="1"/>
    <w:pPr>
      <w:widowControl w:val="0"/>
      <w:jc w:val="both"/>
    </w:pPr>
    <w:rPr>
      <w:rFonts w:hint="eastAsia" w:ascii="Times New Roman" w:hAnsi="Times New Roman" w:eastAsia="华文中宋" w:cs="Times New Roman"/>
      <w:kern w:val="2"/>
      <w:sz w:val="21"/>
      <w:szCs w:val="22"/>
      <w:lang w:val="en-US" w:eastAsia="zh-CN" w:bidi="ar-SA"/>
    </w:rPr>
  </w:style>
  <w:style w:type="paragraph" w:customStyle="1" w:styleId="155">
    <w:name w:val="正文首行缩进 21"/>
    <w:basedOn w:val="156"/>
    <w:next w:val="30"/>
    <w:qFormat/>
    <w:uiPriority w:val="0"/>
    <w:pPr>
      <w:ind w:firstLine="200" w:firstLineChars="200"/>
    </w:pPr>
  </w:style>
  <w:style w:type="paragraph" w:customStyle="1" w:styleId="156">
    <w:name w:val="正文文本缩进1"/>
    <w:basedOn w:val="1"/>
    <w:qFormat/>
    <w:uiPriority w:val="0"/>
    <w:pPr>
      <w:ind w:left="200" w:leftChars="200"/>
    </w:pPr>
  </w:style>
  <w:style w:type="paragraph" w:customStyle="1" w:styleId="157">
    <w:name w:val="_Style 4"/>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8">
    <w:name w:val="Table Paragraph"/>
    <w:basedOn w:val="1"/>
    <w:qFormat/>
    <w:uiPriority w:val="1"/>
    <w:pPr>
      <w:jc w:val="left"/>
    </w:pPr>
    <w:rPr>
      <w:rFonts w:ascii="Calibri" w:hAnsi="Calibri" w:eastAsia="宋体" w:cs="Times New Roman"/>
      <w:kern w:val="0"/>
      <w:sz w:val="22"/>
      <w:lang w:eastAsia="en-US"/>
    </w:rPr>
  </w:style>
  <w:style w:type="paragraph" w:customStyle="1" w:styleId="159">
    <w:name w:val="List Paragraph"/>
    <w:basedOn w:val="1"/>
    <w:qFormat/>
    <w:uiPriority w:val="34"/>
    <w:pPr>
      <w:ind w:firstLine="420" w:firstLineChars="200"/>
    </w:pPr>
    <w:rPr>
      <w:rFonts w:ascii="Calibri" w:hAnsi="Calibri"/>
      <w:sz w:val="21"/>
      <w:szCs w:val="22"/>
    </w:rPr>
  </w:style>
  <w:style w:type="paragraph" w:customStyle="1" w:styleId="160">
    <w:name w:val="BlockQuote"/>
    <w:basedOn w:val="1"/>
    <w:qFormat/>
    <w:uiPriority w:val="0"/>
    <w:pPr>
      <w:spacing w:line="600" w:lineRule="exact"/>
      <w:ind w:firstLine="880" w:firstLineChars="200"/>
    </w:pPr>
    <w:rPr>
      <w:rFonts w:eastAsia="仿宋"/>
      <w:sz w:val="32"/>
    </w:rPr>
  </w:style>
  <w:style w:type="paragraph" w:customStyle="1" w:styleId="161">
    <w:name w:val="样式1"/>
    <w:basedOn w:val="4"/>
    <w:next w:val="5"/>
    <w:qFormat/>
    <w:uiPriority w:val="0"/>
    <w:rPr>
      <w:rFonts w:eastAsia="Arial"/>
    </w:rPr>
  </w:style>
  <w:style w:type="paragraph" w:styleId="16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63">
    <w:name w:val="标准"/>
    <w:basedOn w:val="1"/>
    <w:qFormat/>
    <w:uiPriority w:val="0"/>
    <w:pPr>
      <w:adjustRightInd w:val="0"/>
      <w:spacing w:line="312" w:lineRule="atLeast"/>
    </w:pPr>
    <w:rPr>
      <w:kern w:val="0"/>
      <w:sz w:val="24"/>
    </w:rPr>
  </w:style>
  <w:style w:type="paragraph" w:customStyle="1" w:styleId="164">
    <w:name w:val="四级标题"/>
    <w:basedOn w:val="20"/>
    <w:qFormat/>
    <w:uiPriority w:val="0"/>
    <w:rPr>
      <w:rFonts w:eastAsia="黑体"/>
    </w:rPr>
  </w:style>
  <w:style w:type="paragraph" w:customStyle="1" w:styleId="165">
    <w:name w:val="Normal Indent1"/>
    <w:basedOn w:val="1"/>
    <w:qFormat/>
    <w:uiPriority w:val="0"/>
    <w:pPr>
      <w:ind w:firstLine="420"/>
    </w:pPr>
  </w:style>
  <w:style w:type="table" w:customStyle="1" w:styleId="166">
    <w:name w:val="常规_检修_19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67">
    <w:name w:val="常规_检修_312"/>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68">
    <w:name w:val="常规_Sheet1_9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69">
    <w:name w:val="常规_检修、实业、矿业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170">
    <w:name w:val="常规_Sheet1_8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71">
    <w:name w:val="常规_检修_212"/>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72">
    <w:name w:val="常规_Sheet1_4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73">
    <w:name w:val="常规_检修_28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74">
    <w:name w:val="常规2"/>
    <w:basedOn w:val="33"/>
    <w:qFormat/>
    <w:uiPriority w:val="0"/>
    <w:pPr>
      <w:textAlignment w:val="bottom"/>
    </w:pPr>
    <w:rPr>
      <w:rFonts w:hint="default" w:ascii="Times New Roman" w:hAnsi="Times New Roman" w:cs="Times New Roman"/>
      <w:color w:val="auto"/>
      <w:sz w:val="24"/>
      <w:szCs w:val="24"/>
      <w:u w:val="none"/>
    </w:rPr>
    <w:tcPr>
      <w:vAlign w:val="bottom"/>
    </w:tcPr>
  </w:style>
  <w:style w:type="table" w:customStyle="1" w:styleId="175">
    <w:name w:val="常规_检修_26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76">
    <w:name w:val="常规 23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177">
    <w:name w:val="常规_Sheet1_15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78">
    <w:name w:val="常规_检修_39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79">
    <w:name w:val="常规_检修_2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80">
    <w:name w:val="常规_检修_8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81">
    <w:name w:val="常规 6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182">
    <w:name w:val="常规_表二_2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183">
    <w:name w:val="常规 13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184">
    <w:name w:val="常规_检修_20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85">
    <w:name w:val="常规 10 2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186">
    <w:name w:val="常规_检修_23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87">
    <w:name w:val="常规_检修_3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88">
    <w:name w:val="常规_检修_27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89">
    <w:name w:val="常规_检修_24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90">
    <w:name w:val="常规_检修_30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91">
    <w:name w:val="常规_Sheet1_13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92">
    <w:name w:val="常规 26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193">
    <w:name w:val="常规 10 3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194">
    <w:name w:val="常规 11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195">
    <w:name w:val="常规_检修_10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96">
    <w:name w:val="常规_检修_112"/>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197">
    <w:name w:val="常规_15晋北铝业公司集团计划内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198">
    <w:name w:val="常规 15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199">
    <w:name w:val="常规 12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00">
    <w:name w:val="常规_检修_36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01">
    <w:name w:val="常规 7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02">
    <w:name w:val="常规 291"/>
    <w:basedOn w:val="33"/>
    <w:qFormat/>
    <w:uiPriority w:val="0"/>
    <w:pPr>
      <w:textAlignment w:val="center"/>
    </w:pPr>
    <w:rPr>
      <w:rFonts w:hint="eastAsia" w:ascii="宋体" w:hAnsi="宋体" w:eastAsia="宋体" w:cs="宋体"/>
      <w:color w:val="000000"/>
      <w:sz w:val="22"/>
      <w:szCs w:val="22"/>
      <w:u w:val="none"/>
    </w:rPr>
    <w:tcPr>
      <w:vAlign w:val="center"/>
    </w:tcPr>
  </w:style>
  <w:style w:type="table" w:customStyle="1" w:styleId="203">
    <w:name w:val="常规_检修_9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04">
    <w:name w:val="常规_检修_7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05">
    <w:name w:val="常规_检修_17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06">
    <w:name w:val="常规_表二_22"/>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207">
    <w:name w:val="常规_Sheet1_142"/>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08">
    <w:name w:val="常规_检修_122"/>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09">
    <w:name w:val="常规_检修_6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10">
    <w:name w:val="常规_检修_29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11">
    <w:name w:val="常规_检修_1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12">
    <w:name w:val="常规_检修_40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13">
    <w:name w:val="常规_Sheet1_11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14">
    <w:name w:val="常规_表二_1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215">
    <w:name w:val="常规 31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216">
    <w:name w:val="常规 9 21"/>
    <w:basedOn w:val="33"/>
    <w:qFormat/>
    <w:uiPriority w:val="0"/>
    <w:pPr>
      <w:textAlignment w:val="bottom"/>
    </w:pPr>
    <w:rPr>
      <w:rFonts w:ascii="Tahoma" w:hAnsi="Tahoma" w:eastAsia="Tahoma" w:cs="Tahoma"/>
      <w:color w:val="000000"/>
      <w:sz w:val="22"/>
      <w:szCs w:val="22"/>
      <w:u w:val="none"/>
    </w:rPr>
    <w:tcPr>
      <w:vAlign w:val="bottom"/>
    </w:tcPr>
  </w:style>
  <w:style w:type="table" w:customStyle="1" w:styleId="217">
    <w:name w:val="常规_检修_41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18">
    <w:name w:val="常规_Sheet1_5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19">
    <w:name w:val="常规_表二_12"/>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220">
    <w:name w:val="常规 5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21">
    <w:name w:val="常规_Sheet1_7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22">
    <w:name w:val="常规 25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223">
    <w:name w:val="常规_检修_322"/>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24">
    <w:name w:val="常规_检修_37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25">
    <w:name w:val="常规_检修_25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26">
    <w:name w:val="常规_检修_33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27">
    <w:name w:val="常规_检修_35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28">
    <w:name w:val="常规_检修_15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29">
    <w:name w:val="常规 17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30">
    <w:name w:val="常规_检修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31">
    <w:name w:val="常规 14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232">
    <w:name w:val="常规_Sheet1_12"/>
    <w:basedOn w:val="33"/>
    <w:qFormat/>
    <w:uiPriority w:val="0"/>
    <w:pPr>
      <w:textAlignment w:val="bottom"/>
    </w:pPr>
    <w:rPr>
      <w:rFonts w:hint="eastAsia" w:ascii="宋体" w:hAnsi="宋体" w:eastAsia="宋体" w:cs="宋体"/>
      <w:color w:val="auto"/>
      <w:sz w:val="24"/>
      <w:szCs w:val="24"/>
      <w:u w:val="none"/>
    </w:rPr>
    <w:tcPr>
      <w:vAlign w:val="bottom"/>
    </w:tcPr>
  </w:style>
  <w:style w:type="table" w:customStyle="1" w:styleId="233">
    <w:name w:val="常规_Sheet1_3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34">
    <w:name w:val="超链接1"/>
    <w:basedOn w:val="33"/>
    <w:qFormat/>
    <w:uiPriority w:val="0"/>
    <w:rPr>
      <w:rFonts w:hint="eastAsia" w:ascii="宋体" w:hAnsi="宋体" w:eastAsia="宋体" w:cs="宋体"/>
      <w:color w:val="0000FF"/>
      <w:sz w:val="22"/>
      <w:szCs w:val="22"/>
      <w:u w:val="single"/>
    </w:rPr>
  </w:style>
  <w:style w:type="table" w:customStyle="1" w:styleId="235">
    <w:name w:val="常规_检修_16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36">
    <w:name w:val="常规1"/>
    <w:basedOn w:val="33"/>
    <w:qFormat/>
    <w:uiPriority w:val="0"/>
    <w:pPr>
      <w:textAlignment w:val="bottom"/>
    </w:pPr>
    <w:rPr>
      <w:rFonts w:hint="default" w:ascii="Times New Roman" w:hAnsi="Times New Roman" w:cs="Times New Roman"/>
      <w:color w:val="auto"/>
      <w:sz w:val="24"/>
      <w:szCs w:val="24"/>
      <w:u w:val="none"/>
    </w:rPr>
    <w:tcPr>
      <w:vAlign w:val="bottom"/>
    </w:tcPr>
  </w:style>
  <w:style w:type="table" w:customStyle="1" w:styleId="237">
    <w:name w:val="常规_检修_13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38">
    <w:name w:val="常规 8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39">
    <w:name w:val="常规 19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40">
    <w:name w:val="常规_Sheet1_16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41">
    <w:name w:val="常规 3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42">
    <w:name w:val="常规_Sheet11"/>
    <w:basedOn w:val="33"/>
    <w:qFormat/>
    <w:uiPriority w:val="0"/>
    <w:pPr>
      <w:textAlignment w:val="bottom"/>
    </w:pPr>
    <w:rPr>
      <w:rFonts w:hint="eastAsia" w:ascii="宋体" w:hAnsi="宋体" w:eastAsia="宋体" w:cs="宋体"/>
      <w:color w:val="auto"/>
      <w:sz w:val="24"/>
      <w:szCs w:val="24"/>
      <w:u w:val="none"/>
    </w:rPr>
    <w:tcPr>
      <w:vAlign w:val="bottom"/>
    </w:tcPr>
  </w:style>
  <w:style w:type="table" w:customStyle="1" w:styleId="243">
    <w:name w:val="常规_检修_18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44">
    <w:name w:val="常规_Sheet1_2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45">
    <w:name w:val="常规_检修_14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46">
    <w:name w:val="常规_检修_222"/>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47">
    <w:name w:val="常规 2 3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48">
    <w:name w:val="常规 18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49">
    <w:name w:val="常规 271"/>
    <w:basedOn w:val="33"/>
    <w:qFormat/>
    <w:uiPriority w:val="0"/>
    <w:pPr>
      <w:textAlignment w:val="center"/>
    </w:pPr>
    <w:rPr>
      <w:rFonts w:hint="eastAsia" w:ascii="宋体" w:hAnsi="宋体" w:eastAsia="宋体" w:cs="宋体"/>
      <w:color w:val="000000"/>
      <w:sz w:val="22"/>
      <w:szCs w:val="22"/>
      <w:u w:val="none"/>
    </w:rPr>
    <w:tcPr>
      <w:vAlign w:val="center"/>
    </w:tcPr>
  </w:style>
  <w:style w:type="table" w:customStyle="1" w:styleId="250">
    <w:name w:val="常规 21"/>
    <w:basedOn w:val="33"/>
    <w:qFormat/>
    <w:uiPriority w:val="0"/>
    <w:pPr>
      <w:textAlignment w:val="center"/>
    </w:pPr>
    <w:rPr>
      <w:rFonts w:hint="eastAsia" w:ascii="宋体" w:hAnsi="宋体" w:eastAsia="宋体" w:cs="宋体"/>
      <w:color w:val="auto"/>
      <w:sz w:val="24"/>
      <w:szCs w:val="24"/>
      <w:u w:val="none"/>
    </w:rPr>
    <w:tcPr>
      <w:vAlign w:val="center"/>
    </w:tcPr>
  </w:style>
  <w:style w:type="table" w:customStyle="1" w:styleId="251">
    <w:name w:val="常规_Sheet12"/>
    <w:basedOn w:val="33"/>
    <w:qFormat/>
    <w:uiPriority w:val="0"/>
    <w:pPr>
      <w:textAlignment w:val="bottom"/>
    </w:pPr>
    <w:rPr>
      <w:rFonts w:hint="eastAsia" w:ascii="宋体" w:hAnsi="宋体" w:eastAsia="宋体" w:cs="宋体"/>
      <w:color w:val="auto"/>
      <w:sz w:val="24"/>
      <w:szCs w:val="24"/>
      <w:u w:val="none"/>
    </w:rPr>
    <w:tcPr>
      <w:vAlign w:val="bottom"/>
    </w:tcPr>
  </w:style>
  <w:style w:type="table" w:customStyle="1" w:styleId="252">
    <w:name w:val="货币2"/>
    <w:basedOn w:val="33"/>
    <w:qFormat/>
    <w:uiPriority w:val="0"/>
  </w:style>
  <w:style w:type="table" w:customStyle="1" w:styleId="253">
    <w:name w:val="常规 4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54">
    <w:name w:val="常规_Sheet1_10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55">
    <w:name w:val="常规_检修_42"/>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56">
    <w:name w:val="常规_检修_34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57">
    <w:name w:val="常规_检修_381"/>
    <w:basedOn w:val="33"/>
    <w:qFormat/>
    <w:uiPriority w:val="0"/>
    <w:pPr>
      <w:textAlignment w:val="center"/>
    </w:pPr>
    <w:rPr>
      <w:rFonts w:hint="eastAsia" w:ascii="宋体" w:hAnsi="宋体" w:eastAsia="宋体" w:cs="宋体"/>
      <w:color w:val="auto"/>
      <w:sz w:val="18"/>
      <w:szCs w:val="18"/>
      <w:u w:val="none"/>
    </w:rPr>
    <w:tcPr>
      <w:vAlign w:val="center"/>
    </w:tcPr>
  </w:style>
  <w:style w:type="table" w:customStyle="1" w:styleId="258">
    <w:name w:val="常规 16 21"/>
    <w:basedOn w:val="33"/>
    <w:qFormat/>
    <w:uiPriority w:val="0"/>
    <w:pPr>
      <w:textAlignment w:val="bottom"/>
    </w:pPr>
    <w:rPr>
      <w:rFonts w:hint="default" w:ascii="Tahoma" w:hAnsi="Tahoma" w:eastAsia="Tahoma" w:cs="Tahoma"/>
      <w:color w:val="000000"/>
      <w:sz w:val="22"/>
      <w:szCs w:val="22"/>
      <w:u w:val="none"/>
    </w:rPr>
    <w:tcPr>
      <w:vAlign w:val="bottom"/>
    </w:tcPr>
  </w:style>
  <w:style w:type="table" w:customStyle="1" w:styleId="259">
    <w:name w:val="常规_检修_51"/>
    <w:basedOn w:val="33"/>
    <w:qFormat/>
    <w:uiPriority w:val="0"/>
    <w:pPr>
      <w:textAlignment w:val="center"/>
    </w:pPr>
    <w:rPr>
      <w:rFonts w:hint="eastAsia" w:ascii="宋体" w:hAnsi="宋体" w:eastAsia="宋体" w:cs="宋体"/>
      <w:color w:val="auto"/>
      <w:sz w:val="18"/>
      <w:szCs w:val="18"/>
      <w:u w:val="none"/>
    </w:r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131</Words>
  <Characters>372</Characters>
  <Lines>28</Lines>
  <Paragraphs>7</Paragraphs>
  <TotalTime>0</TotalTime>
  <ScaleCrop>false</ScaleCrop>
  <LinksUpToDate>false</LinksUpToDate>
  <CharactersWithSpaces>418</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2016-03-04T03:49:00Z</dcterms:created>
  <dc:creator>ThinkPad X1</dc:creator>
  <cp:lastModifiedBy>花开花落</cp:lastModifiedBy>
  <cp:lastPrinted>2020-02-12T02:23:00Z</cp:lastPrinted>
  <dcterms:modified xsi:type="dcterms:W3CDTF">2026-11-06T10:27:17Z</dcterms:modified>
  <dc:subject>Dossier bilingue chinois-français</dc:subject>
  <dc:title>国际机票代理服务竞争性谈判采购文件（中法文）</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1D5704A6CE9B435B96C559662CCFBD99_13</vt:lpwstr>
  </property>
  <property fmtid="{D5CDD505-2E9C-101B-9397-08002B2CF9AE}" pid="4" name="KSOTemplateDocerSaveRecord">
    <vt:lpwstr>eyJoZGlkIjoiYjk5ODM0YmMxOWJiYWQyNDU4MGIzYWRmYTA0ZmI5NDciLCJ1c2VySWQiOiI1MzIwNjMyNTMifQ==</vt:lpwstr>
  </property>
</Properties>
</file>