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59B0A61">
      <w:pPr>
        <w:spacing w:line="360" w:lineRule="auto"/>
        <w:ind w:left="-178" w:leftChars="-85" w:right="119"/>
        <w:jc w:val="right"/>
        <w:rPr>
          <w:rFonts w:ascii="宋体" w:hAnsi="宋体"/>
          <w:b/>
          <w:bCs/>
          <w:color w:val="auto"/>
          <w:sz w:val="24"/>
          <w:highlight w:val="none"/>
        </w:rPr>
      </w:pPr>
      <w:bookmarkStart w:id="163" w:name="_GoBack"/>
      <w:bookmarkEnd w:id="163"/>
      <w:r>
        <w:rPr>
          <w:rFonts w:hint="eastAsia" w:ascii="仿宋" w:hAnsi="仿宋" w:eastAsia="仿宋" w:cs="仿宋"/>
          <w:b/>
          <w:bCs/>
          <w:snapToGrid/>
          <w:color w:val="auto"/>
          <w:kern w:val="2"/>
          <w:sz w:val="32"/>
          <w:szCs w:val="32"/>
          <w:highlight w:val="none"/>
        </w:rPr>
        <w:drawing>
          <wp:anchor distT="0" distB="0" distL="114300" distR="114300" simplePos="0" relativeHeight="251659264" behindDoc="0" locked="0" layoutInCell="1" allowOverlap="1">
            <wp:simplePos x="0" y="0"/>
            <wp:positionH relativeFrom="column">
              <wp:posOffset>-135255</wp:posOffset>
            </wp:positionH>
            <wp:positionV relativeFrom="paragraph">
              <wp:posOffset>-11430</wp:posOffset>
            </wp:positionV>
            <wp:extent cx="3262630" cy="524510"/>
            <wp:effectExtent l="0" t="0" r="13970" b="8890"/>
            <wp:wrapNone/>
            <wp:docPr id="2" name="图片 2" descr="说明: 铝电公司-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铝电公司-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831850" y="1127760"/>
                      <a:ext cx="3262630" cy="524510"/>
                    </a:xfrm>
                    <a:prstGeom prst="rect">
                      <a:avLst/>
                    </a:prstGeom>
                    <a:noFill/>
                    <a:ln>
                      <a:noFill/>
                    </a:ln>
                    <a:effectLst/>
                  </pic:spPr>
                </pic:pic>
              </a:graphicData>
            </a:graphic>
          </wp:anchor>
        </w:drawing>
      </w:r>
    </w:p>
    <w:p w14:paraId="4C25C58E">
      <w:pPr>
        <w:spacing w:line="360" w:lineRule="auto"/>
        <w:jc w:val="left"/>
        <w:rPr>
          <w:rFonts w:ascii="宋体" w:hAnsi="宋体"/>
          <w:color w:val="auto"/>
          <w:highlight w:val="none"/>
        </w:rPr>
      </w:pPr>
    </w:p>
    <w:p w14:paraId="44B8A9B8">
      <w:pPr>
        <w:spacing w:line="360" w:lineRule="auto"/>
        <w:jc w:val="center"/>
        <w:rPr>
          <w:rFonts w:ascii="宋体" w:hAnsi="宋体"/>
          <w:b/>
          <w:bCs/>
          <w:color w:val="auto"/>
          <w:sz w:val="52"/>
          <w:szCs w:val="52"/>
          <w:highlight w:val="none"/>
        </w:rPr>
      </w:pPr>
    </w:p>
    <w:p w14:paraId="465BD1DE">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b/>
          <w:bCs/>
          <w:color w:val="auto"/>
          <w:sz w:val="52"/>
          <w:szCs w:val="52"/>
          <w:highlight w:val="none"/>
        </w:rPr>
      </w:pPr>
    </w:p>
    <w:p w14:paraId="577A448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bCs/>
          <w:color w:val="auto"/>
          <w:sz w:val="44"/>
          <w:szCs w:val="44"/>
          <w:highlight w:val="none"/>
        </w:rPr>
      </w:pPr>
      <w:r>
        <w:rPr>
          <w:rFonts w:hint="eastAsia" w:ascii="宋体" w:hAnsi="宋体"/>
          <w:b/>
          <w:bCs/>
          <w:color w:val="auto"/>
          <w:sz w:val="44"/>
          <w:szCs w:val="44"/>
          <w:highlight w:val="none"/>
          <w:lang w:val="en-US" w:eastAsia="zh-CN"/>
        </w:rPr>
        <w:t>几内亚高丽亚矿山股份有限公司铝土矿出口代理服务竞争性谈判</w:t>
      </w:r>
      <w:r>
        <w:rPr>
          <w:rFonts w:hint="eastAsia" w:ascii="宋体" w:hAnsi="宋体"/>
          <w:b/>
          <w:bCs/>
          <w:color w:val="auto"/>
          <w:sz w:val="44"/>
          <w:szCs w:val="44"/>
          <w:highlight w:val="none"/>
        </w:rPr>
        <w:t>采购</w:t>
      </w:r>
    </w:p>
    <w:p w14:paraId="5778A6C1">
      <w:pPr>
        <w:keepNext w:val="0"/>
        <w:keepLines w:val="0"/>
        <w:pageBreakBefore w:val="0"/>
        <w:widowControl w:val="0"/>
        <w:kinsoku/>
        <w:wordWrap/>
        <w:overflowPunct/>
        <w:topLinePunct w:val="0"/>
        <w:autoSpaceDE/>
        <w:autoSpaceDN/>
        <w:bidi w:val="0"/>
        <w:jc w:val="center"/>
        <w:textAlignment w:val="auto"/>
        <w:rPr>
          <w:rFonts w:hint="eastAsia"/>
          <w:sz w:val="44"/>
          <w:szCs w:val="44"/>
        </w:rPr>
      </w:pPr>
      <w:r>
        <w:rPr>
          <w:rFonts w:hint="eastAsia"/>
          <w:sz w:val="44"/>
          <w:szCs w:val="44"/>
        </w:rPr>
        <w:t>Documents de passation de marché pour des négociations concurrentielles ouvertes concernant les services de l'agence d'exportation de bauxite de la Guinea Colia Mining S.A.</w:t>
      </w:r>
    </w:p>
    <w:p w14:paraId="473114FF">
      <w:pPr>
        <w:jc w:val="center"/>
        <w:rPr>
          <w:rFonts w:ascii="宋体" w:hAnsi="宋体"/>
          <w:color w:val="auto"/>
          <w:highlight w:val="none"/>
        </w:rPr>
      </w:pPr>
    </w:p>
    <w:p w14:paraId="21A84D39">
      <w:pPr>
        <w:jc w:val="center"/>
        <w:rPr>
          <w:rFonts w:ascii="宋体" w:hAnsi="宋体"/>
          <w:color w:val="auto"/>
          <w:highlight w:val="none"/>
        </w:rPr>
      </w:pPr>
    </w:p>
    <w:p w14:paraId="5B113D23">
      <w:pPr>
        <w:jc w:val="center"/>
        <w:rPr>
          <w:rFonts w:ascii="宋体" w:hAnsi="宋体"/>
          <w:color w:val="auto"/>
          <w:highlight w:val="none"/>
        </w:rPr>
      </w:pPr>
    </w:p>
    <w:p w14:paraId="27E36FB8">
      <w:pPr>
        <w:jc w:val="center"/>
        <w:rPr>
          <w:rFonts w:ascii="宋体" w:hAnsi="宋体"/>
          <w:color w:val="auto"/>
          <w:highlight w:val="none"/>
        </w:rPr>
      </w:pPr>
    </w:p>
    <w:p w14:paraId="06F1F37B">
      <w:pPr>
        <w:jc w:val="center"/>
        <w:rPr>
          <w:rFonts w:ascii="宋体" w:hAnsi="宋体"/>
          <w:color w:val="auto"/>
          <w:highlight w:val="none"/>
        </w:rPr>
      </w:pPr>
    </w:p>
    <w:p w14:paraId="088C47AC">
      <w:pPr>
        <w:jc w:val="center"/>
        <w:rPr>
          <w:rFonts w:ascii="宋体" w:hAnsi="宋体"/>
          <w:color w:val="auto"/>
          <w:highlight w:val="none"/>
        </w:rPr>
      </w:pPr>
    </w:p>
    <w:p w14:paraId="1229D464">
      <w:pPr>
        <w:pStyle w:val="20"/>
        <w:rPr>
          <w:rFonts w:ascii="宋体" w:hAnsi="宋体"/>
          <w:color w:val="auto"/>
          <w:highlight w:val="none"/>
        </w:rPr>
      </w:pPr>
    </w:p>
    <w:p w14:paraId="344F6867">
      <w:pPr>
        <w:jc w:val="center"/>
        <w:rPr>
          <w:rFonts w:ascii="宋体" w:hAnsi="宋体"/>
          <w:color w:val="auto"/>
          <w:highlight w:val="none"/>
        </w:rPr>
      </w:pPr>
    </w:p>
    <w:p w14:paraId="2B0E23A3">
      <w:pPr>
        <w:jc w:val="center"/>
        <w:rPr>
          <w:rFonts w:hint="eastAsia" w:ascii="宋体" w:hAnsi="宋体"/>
          <w:color w:val="auto"/>
          <w:highlight w:val="none"/>
        </w:rPr>
      </w:pPr>
    </w:p>
    <w:p w14:paraId="65E4CAA4">
      <w:pPr>
        <w:jc w:val="center"/>
        <w:rPr>
          <w:rFonts w:ascii="宋体" w:hAnsi="宋体"/>
          <w:color w:val="auto"/>
          <w:highlight w:val="none"/>
        </w:rPr>
      </w:pPr>
    </w:p>
    <w:p w14:paraId="2D71BB5D">
      <w:pPr>
        <w:jc w:val="center"/>
        <w:rPr>
          <w:rFonts w:ascii="宋体" w:hAnsi="宋体"/>
          <w:color w:val="auto"/>
          <w:highlight w:val="none"/>
        </w:rPr>
      </w:pPr>
    </w:p>
    <w:p w14:paraId="4AD4A5FE">
      <w:pPr>
        <w:jc w:val="center"/>
        <w:rPr>
          <w:rFonts w:hint="eastAsia" w:ascii="宋体" w:hAnsi="宋体"/>
          <w:color w:val="auto"/>
          <w:highlight w:val="none"/>
        </w:rPr>
      </w:pPr>
    </w:p>
    <w:tbl>
      <w:tblPr>
        <w:tblStyle w:val="31"/>
        <w:tblW w:w="0" w:type="auto"/>
        <w:jc w:val="center"/>
        <w:tblLayout w:type="fixed"/>
        <w:tblCellMar>
          <w:top w:w="0" w:type="dxa"/>
          <w:left w:w="108" w:type="dxa"/>
          <w:bottom w:w="0" w:type="dxa"/>
          <w:right w:w="108" w:type="dxa"/>
        </w:tblCellMar>
      </w:tblPr>
      <w:tblGrid>
        <w:gridCol w:w="2717"/>
        <w:gridCol w:w="6463"/>
      </w:tblGrid>
      <w:tr w14:paraId="43B52C0E">
        <w:tblPrEx>
          <w:tblCellMar>
            <w:top w:w="0" w:type="dxa"/>
            <w:left w:w="108" w:type="dxa"/>
            <w:bottom w:w="0" w:type="dxa"/>
            <w:right w:w="108" w:type="dxa"/>
          </w:tblCellMar>
        </w:tblPrEx>
        <w:trPr>
          <w:trHeight w:val="542" w:hRule="atLeast"/>
          <w:jc w:val="center"/>
        </w:trPr>
        <w:tc>
          <w:tcPr>
            <w:tcW w:w="2717" w:type="dxa"/>
            <w:noWrap w:val="0"/>
            <w:vAlign w:val="center"/>
          </w:tcPr>
          <w:p w14:paraId="784EA9F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ascii="宋体" w:hAnsi="宋体"/>
                <w:color w:val="auto"/>
                <w:sz w:val="28"/>
                <w:szCs w:val="22"/>
                <w:highlight w:val="none"/>
              </w:rPr>
            </w:pPr>
            <w:r>
              <w:rPr>
                <w:rFonts w:ascii="宋体" w:hAnsi="宋体"/>
                <w:b/>
                <w:color w:val="auto"/>
                <w:sz w:val="30"/>
                <w:szCs w:val="22"/>
                <w:highlight w:val="none"/>
              </w:rPr>
              <w:t>采  购  人：</w:t>
            </w:r>
            <w:r>
              <w:rPr>
                <w:rFonts w:hint="eastAsia" w:ascii="宋体" w:hAnsi="宋体"/>
                <w:b/>
                <w:color w:val="auto"/>
                <w:sz w:val="30"/>
                <w:szCs w:val="22"/>
                <w:highlight w:val="none"/>
              </w:rPr>
              <w:t>Acheteur</w:t>
            </w:r>
          </w:p>
        </w:tc>
        <w:tc>
          <w:tcPr>
            <w:tcW w:w="6463" w:type="dxa"/>
            <w:noWrap w:val="0"/>
            <w:vAlign w:val="center"/>
          </w:tcPr>
          <w:p w14:paraId="3832C8C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ascii="宋体" w:hAnsi="宋体"/>
                <w:b/>
                <w:color w:val="auto"/>
                <w:sz w:val="30"/>
                <w:szCs w:val="22"/>
                <w:highlight w:val="none"/>
              </w:rPr>
            </w:pPr>
            <w:r>
              <w:rPr>
                <w:rFonts w:ascii="宋体" w:hAnsi="宋体"/>
                <w:b/>
                <w:sz w:val="30"/>
                <w:szCs w:val="22"/>
                <w:lang w:eastAsia="zh"/>
              </w:rPr>
              <w:t>国家电投集团铝电投资有限公司</w:t>
            </w:r>
          </w:p>
        </w:tc>
      </w:tr>
      <w:tr w14:paraId="026FC297">
        <w:tblPrEx>
          <w:tblCellMar>
            <w:top w:w="0" w:type="dxa"/>
            <w:left w:w="108" w:type="dxa"/>
            <w:bottom w:w="0" w:type="dxa"/>
            <w:right w:w="108" w:type="dxa"/>
          </w:tblCellMar>
        </w:tblPrEx>
        <w:trPr>
          <w:trHeight w:val="542" w:hRule="atLeast"/>
          <w:jc w:val="center"/>
        </w:trPr>
        <w:tc>
          <w:tcPr>
            <w:tcW w:w="2717" w:type="dxa"/>
            <w:noWrap w:val="0"/>
            <w:vAlign w:val="center"/>
          </w:tcPr>
          <w:p w14:paraId="409748A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ascii="宋体" w:hAnsi="宋体"/>
                <w:b/>
                <w:color w:val="auto"/>
                <w:sz w:val="30"/>
                <w:szCs w:val="22"/>
                <w:highlight w:val="none"/>
              </w:rPr>
            </w:pPr>
          </w:p>
        </w:tc>
        <w:tc>
          <w:tcPr>
            <w:tcW w:w="6463" w:type="dxa"/>
            <w:noWrap w:val="0"/>
            <w:vAlign w:val="center"/>
          </w:tcPr>
          <w:p w14:paraId="1D3022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hint="eastAsia" w:ascii="宋体" w:hAnsi="宋体"/>
                <w:b/>
                <w:color w:val="auto"/>
                <w:sz w:val="30"/>
                <w:szCs w:val="22"/>
                <w:highlight w:val="none"/>
                <w:lang w:val="en-US" w:eastAsia="zh-CN"/>
              </w:rPr>
            </w:pPr>
            <w:r>
              <w:rPr>
                <w:rFonts w:hint="eastAsia" w:ascii="宋体" w:hAnsi="宋体"/>
                <w:b/>
                <w:color w:val="auto"/>
                <w:sz w:val="30"/>
                <w:szCs w:val="22"/>
                <w:highlight w:val="none"/>
                <w:lang w:val="en-US" w:eastAsia="zh-CN"/>
              </w:rPr>
              <w:t>SPIC Aluminum &amp; Power Investment Co., Ltd.</w:t>
            </w:r>
          </w:p>
        </w:tc>
      </w:tr>
      <w:tr w14:paraId="0A2125C6">
        <w:tblPrEx>
          <w:tblCellMar>
            <w:top w:w="0" w:type="dxa"/>
            <w:left w:w="108" w:type="dxa"/>
            <w:bottom w:w="0" w:type="dxa"/>
            <w:right w:w="108" w:type="dxa"/>
          </w:tblCellMar>
        </w:tblPrEx>
        <w:trPr>
          <w:trHeight w:val="542" w:hRule="atLeast"/>
          <w:jc w:val="center"/>
        </w:trPr>
        <w:tc>
          <w:tcPr>
            <w:tcW w:w="2717" w:type="dxa"/>
            <w:noWrap w:val="0"/>
            <w:vAlign w:val="center"/>
          </w:tcPr>
          <w:p w14:paraId="2309E96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ascii="宋体" w:hAnsi="宋体"/>
                <w:b/>
                <w:color w:val="auto"/>
                <w:sz w:val="30"/>
                <w:szCs w:val="22"/>
                <w:highlight w:val="none"/>
              </w:rPr>
            </w:pPr>
            <w:r>
              <w:rPr>
                <w:rFonts w:hint="eastAsia" w:ascii="宋体" w:hAnsi="宋体"/>
                <w:b/>
                <w:color w:val="auto"/>
                <w:sz w:val="30"/>
                <w:szCs w:val="22"/>
                <w:highlight w:val="none"/>
                <w:lang w:val="en-US" w:eastAsia="zh-CN"/>
              </w:rPr>
              <w:t>项目单位</w:t>
            </w:r>
          </w:p>
        </w:tc>
        <w:tc>
          <w:tcPr>
            <w:tcW w:w="6463" w:type="dxa"/>
            <w:noWrap w:val="0"/>
            <w:vAlign w:val="center"/>
          </w:tcPr>
          <w:p w14:paraId="30273DD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hint="eastAsia" w:ascii="宋体" w:hAnsi="宋体"/>
                <w:b/>
                <w:color w:val="auto"/>
                <w:sz w:val="30"/>
                <w:szCs w:val="22"/>
                <w:highlight w:val="none"/>
                <w:lang w:val="en-US" w:eastAsia="zh-CN"/>
              </w:rPr>
            </w:pPr>
            <w:r>
              <w:rPr>
                <w:rFonts w:hint="eastAsia" w:ascii="宋体" w:hAnsi="宋体"/>
                <w:b/>
                <w:color w:val="auto"/>
                <w:sz w:val="30"/>
                <w:szCs w:val="22"/>
                <w:highlight w:val="none"/>
                <w:lang w:val="en-US" w:eastAsia="zh-CN"/>
              </w:rPr>
              <w:t>几内亚高丽亚矿山股份有限公司</w:t>
            </w:r>
          </w:p>
          <w:p w14:paraId="0F7B585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hint="eastAsia" w:ascii="宋体" w:hAnsi="宋体"/>
                <w:b/>
                <w:color w:val="auto"/>
                <w:sz w:val="30"/>
                <w:szCs w:val="22"/>
                <w:highlight w:val="none"/>
              </w:rPr>
            </w:pPr>
            <w:r>
              <w:rPr>
                <w:rFonts w:hint="eastAsia" w:ascii="宋体" w:hAnsi="宋体"/>
                <w:b/>
                <w:color w:val="auto"/>
                <w:sz w:val="30"/>
                <w:szCs w:val="22"/>
                <w:highlight w:val="none"/>
              </w:rPr>
              <w:t>Guinea Colia Mining S.A.</w:t>
            </w:r>
          </w:p>
        </w:tc>
      </w:tr>
    </w:tbl>
    <w:p w14:paraId="5FD273C2">
      <w:pPr>
        <w:jc w:val="center"/>
        <w:rPr>
          <w:rFonts w:ascii="宋体" w:hAnsi="宋体"/>
          <w:b/>
          <w:color w:val="auto"/>
          <w:kern w:val="0"/>
          <w:sz w:val="28"/>
          <w:szCs w:val="20"/>
          <w:highlight w:val="none"/>
        </w:rPr>
      </w:pPr>
    </w:p>
    <w:p w14:paraId="3B9AA0D8">
      <w:pPr>
        <w:jc w:val="center"/>
        <w:rPr>
          <w:rFonts w:ascii="宋体" w:hAnsi="宋体"/>
          <w:b/>
          <w:color w:val="auto"/>
          <w:sz w:val="28"/>
          <w:szCs w:val="20"/>
          <w:highlight w:val="none"/>
        </w:rPr>
      </w:pPr>
      <w:r>
        <w:rPr>
          <w:rFonts w:hint="eastAsia" w:ascii="宋体" w:hAnsi="宋体"/>
          <w:b/>
          <w:color w:val="auto"/>
          <w:sz w:val="28"/>
          <w:szCs w:val="20"/>
          <w:highlight w:val="none"/>
        </w:rPr>
        <w:t>20</w:t>
      </w:r>
      <w:r>
        <w:rPr>
          <w:rFonts w:hint="eastAsia" w:ascii="宋体" w:hAnsi="宋体"/>
          <w:b/>
          <w:color w:val="auto"/>
          <w:sz w:val="28"/>
          <w:szCs w:val="20"/>
          <w:highlight w:val="none"/>
          <w:u w:val="single"/>
        </w:rPr>
        <w:t xml:space="preserve"> </w:t>
      </w:r>
      <w:r>
        <w:rPr>
          <w:rFonts w:hint="eastAsia" w:ascii="宋体" w:hAnsi="宋体"/>
          <w:b/>
          <w:color w:val="auto"/>
          <w:sz w:val="28"/>
          <w:szCs w:val="20"/>
          <w:highlight w:val="none"/>
          <w:u w:val="single"/>
          <w:lang w:val="en-US" w:eastAsia="zh-CN"/>
        </w:rPr>
        <w:t>26</w:t>
      </w:r>
      <w:r>
        <w:rPr>
          <w:rFonts w:hint="eastAsia" w:ascii="宋体" w:hAnsi="宋体"/>
          <w:b/>
          <w:color w:val="auto"/>
          <w:sz w:val="28"/>
          <w:szCs w:val="20"/>
          <w:highlight w:val="none"/>
          <w:u w:val="single"/>
        </w:rPr>
        <w:t xml:space="preserve"> </w:t>
      </w:r>
      <w:r>
        <w:rPr>
          <w:rFonts w:ascii="宋体" w:hAnsi="宋体"/>
          <w:b/>
          <w:color w:val="auto"/>
          <w:sz w:val="28"/>
          <w:szCs w:val="20"/>
          <w:highlight w:val="none"/>
        </w:rPr>
        <w:t>年</w:t>
      </w:r>
      <w:r>
        <w:rPr>
          <w:rFonts w:hint="eastAsia" w:ascii="宋体" w:hAnsi="宋体"/>
          <w:b/>
          <w:color w:val="auto"/>
          <w:sz w:val="28"/>
          <w:szCs w:val="20"/>
          <w:highlight w:val="none"/>
          <w:u w:val="single"/>
        </w:rPr>
        <w:t xml:space="preserve"> </w:t>
      </w:r>
      <w:r>
        <w:rPr>
          <w:rFonts w:hint="eastAsia" w:ascii="宋体" w:hAnsi="宋体"/>
          <w:b/>
          <w:color w:val="auto"/>
          <w:sz w:val="28"/>
          <w:szCs w:val="20"/>
          <w:highlight w:val="none"/>
          <w:u w:val="single"/>
          <w:lang w:val="en-US" w:eastAsia="zh-CN"/>
        </w:rPr>
        <w:t>9</w:t>
      </w:r>
      <w:r>
        <w:rPr>
          <w:rFonts w:ascii="宋体" w:hAnsi="宋体"/>
          <w:b/>
          <w:color w:val="auto"/>
          <w:sz w:val="28"/>
          <w:szCs w:val="20"/>
          <w:highlight w:val="none"/>
        </w:rPr>
        <w:t>月</w:t>
      </w:r>
    </w:p>
    <w:p w14:paraId="3E407251">
      <w:pPr>
        <w:pStyle w:val="9"/>
        <w:ind w:firstLine="3840" w:firstLineChars="1600"/>
        <w:rPr>
          <w:rFonts w:hint="eastAsia"/>
          <w:color w:val="auto"/>
          <w:highlight w:val="none"/>
        </w:rPr>
      </w:pPr>
      <w:r>
        <w:rPr>
          <w:rFonts w:hint="eastAsia"/>
          <w:color w:val="auto"/>
          <w:highlight w:val="none"/>
        </w:rPr>
        <w:t xml:space="preserve">septembre 20 26 </w:t>
      </w:r>
    </w:p>
    <w:p w14:paraId="59ECB1EF">
      <w:pPr>
        <w:pStyle w:val="22"/>
        <w:tabs>
          <w:tab w:val="right" w:leader="dot" w:pos="9354"/>
        </w:tabs>
        <w:jc w:val="center"/>
        <w:rPr>
          <w:rFonts w:hint="eastAsia" w:ascii="仿宋_GB2312" w:hAnsi="宋体" w:eastAsia="仿宋_GB2312" w:cs="宋体"/>
          <w:b/>
          <w:color w:val="auto"/>
          <w:sz w:val="36"/>
          <w:szCs w:val="36"/>
          <w:highlight w:val="none"/>
          <w:lang w:val="en-US" w:eastAsia="zh-CN"/>
        </w:rPr>
        <w:sectPr>
          <w:headerReference r:id="rId3" w:type="default"/>
          <w:pgSz w:w="11906" w:h="16838"/>
          <w:pgMar w:top="1417" w:right="1134" w:bottom="1134" w:left="1417" w:header="851" w:footer="850" w:gutter="0"/>
          <w:pgBorders>
            <w:top w:val="none" w:sz="0" w:space="0"/>
            <w:left w:val="none" w:sz="0" w:space="0"/>
            <w:bottom w:val="none" w:sz="0" w:space="0"/>
            <w:right w:val="none" w:sz="0" w:space="0"/>
          </w:pgBorders>
          <w:pgNumType w:fmt="decimal" w:start="1"/>
          <w:cols w:space="720" w:num="1"/>
          <w:titlePg/>
          <w:rtlGutter w:val="0"/>
          <w:docGrid w:linePitch="312" w:charSpace="0"/>
        </w:sectPr>
      </w:pPr>
      <w:bookmarkStart w:id="0" w:name="_Toc30176"/>
    </w:p>
    <w:p w14:paraId="7449AC91">
      <w:pPr>
        <w:spacing w:line="360" w:lineRule="auto"/>
        <w:jc w:val="center"/>
        <w:rPr>
          <w:rFonts w:hint="eastAsia" w:ascii="仿宋_GB2312" w:hAnsi="宋体" w:eastAsia="仿宋_GB2312" w:cs="宋体"/>
          <w:b/>
          <w:color w:val="auto"/>
          <w:sz w:val="36"/>
          <w:szCs w:val="36"/>
          <w:highlight w:val="none"/>
          <w:lang w:val="en-US" w:eastAsia="zh-CN"/>
        </w:rPr>
      </w:pPr>
      <w:r>
        <w:rPr>
          <w:b/>
          <w:color w:val="auto"/>
          <w:sz w:val="28"/>
          <w:szCs w:val="28"/>
          <w:highlight w:val="none"/>
        </w:rPr>
        <w:t>目 录</w:t>
      </w:r>
    </w:p>
    <w:p w14:paraId="2F4E08F2">
      <w:pPr>
        <w:pStyle w:val="22"/>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TOC \o "1-3" \h \u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_Toc21240 </w:instrText>
      </w:r>
      <w:r>
        <w:rPr>
          <w:rFonts w:hint="eastAsia" w:ascii="仿宋_GB2312" w:hAnsi="宋体" w:eastAsia="仿宋_GB2312" w:cs="宋体"/>
          <w:color w:val="auto"/>
          <w:kern w:val="2"/>
          <w:szCs w:val="36"/>
          <w:highlight w:val="none"/>
          <w:lang w:val="en-US" w:eastAsia="zh-CN" w:bidi="ar-SA"/>
        </w:rPr>
        <w:fldChar w:fldCharType="separate"/>
      </w:r>
      <w:r>
        <w:rPr>
          <w:color w:val="auto"/>
          <w:kern w:val="2"/>
          <w:highlight w:val="none"/>
          <w:lang w:val="en-US" w:eastAsia="zh-CN" w:bidi="ar-SA"/>
        </w:rPr>
        <w:t>第</w:t>
      </w:r>
      <w:r>
        <w:rPr>
          <w:rFonts w:hint="eastAsia" w:ascii="宋体" w:hAnsi="宋体" w:eastAsia="宋体"/>
          <w:color w:val="auto"/>
          <w:kern w:val="44"/>
          <w:szCs w:val="28"/>
          <w:highlight w:val="none"/>
          <w:lang w:val="en-US" w:eastAsia="zh-CN" w:bidi="ar-SA"/>
        </w:rPr>
        <w:t xml:space="preserve">一章 </w:t>
      </w:r>
      <w:r>
        <w:rPr>
          <w:rFonts w:hint="eastAsia" w:ascii="宋体" w:hAnsi="宋体" w:eastAsia="宋体"/>
          <w:color w:val="auto"/>
          <w:kern w:val="2"/>
          <w:szCs w:val="28"/>
          <w:highlight w:val="none"/>
          <w:lang w:val="en-US" w:eastAsia="zh-CN" w:bidi="ar-SA"/>
        </w:rPr>
        <w:t>响应人</w:t>
      </w:r>
      <w:r>
        <w:rPr>
          <w:rFonts w:ascii="宋体" w:hAnsi="宋体" w:eastAsia="宋体"/>
          <w:color w:val="auto"/>
          <w:kern w:val="2"/>
          <w:szCs w:val="28"/>
          <w:highlight w:val="none"/>
          <w:lang w:val="en-US" w:eastAsia="zh-CN" w:bidi="ar-SA"/>
        </w:rPr>
        <w:t>须知</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_Toc21240 </w:instrText>
      </w:r>
      <w:r>
        <w:rPr>
          <w:color w:val="auto"/>
          <w:kern w:val="2"/>
          <w:highlight w:val="none"/>
          <w:lang w:val="en-US" w:eastAsia="zh-CN" w:bidi="ar-SA"/>
        </w:rPr>
        <w:fldChar w:fldCharType="separate"/>
      </w:r>
      <w:r>
        <w:rPr>
          <w:color w:val="auto"/>
          <w:kern w:val="2"/>
          <w:highlight w:val="none"/>
          <w:lang w:val="en-US" w:eastAsia="zh-CN" w:bidi="ar-SA"/>
        </w:rPr>
        <w:t>2</w:t>
      </w:r>
      <w:r>
        <w:rPr>
          <w:color w:val="auto"/>
          <w:kern w:val="2"/>
          <w:highlight w:val="none"/>
          <w:lang w:val="en-US" w:eastAsia="zh-CN" w:bidi="ar-SA"/>
        </w:rPr>
        <w:fldChar w:fldCharType="end"/>
      </w:r>
      <w:r>
        <w:rPr>
          <w:rFonts w:hint="eastAsia" w:ascii="宋体" w:hAnsi="宋体" w:eastAsia="宋体" w:cs="宋体"/>
          <w:color w:val="auto"/>
          <w:kern w:val="44"/>
          <w:szCs w:val="28"/>
          <w:highlight w:val="none"/>
          <w:lang w:val="en-US" w:eastAsia="zh-CN" w:bidi="ar-SA"/>
        </w:rPr>
        <w:fldChar w:fldCharType="end"/>
      </w:r>
    </w:p>
    <w:p w14:paraId="197EDD15">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_Toc27752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bCs/>
          <w:color w:val="auto"/>
          <w:kern w:val="2"/>
          <w:szCs w:val="21"/>
          <w:highlight w:val="none"/>
          <w:lang w:val="en-US" w:eastAsia="zh-CN" w:bidi="ar-SA"/>
        </w:rPr>
        <w:t>响应人须知前附表</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_Toc27752 </w:instrText>
      </w:r>
      <w:r>
        <w:rPr>
          <w:color w:val="auto"/>
          <w:kern w:val="2"/>
          <w:highlight w:val="none"/>
          <w:lang w:val="en-US" w:eastAsia="zh-CN" w:bidi="ar-SA"/>
        </w:rPr>
        <w:fldChar w:fldCharType="separate"/>
      </w:r>
      <w:r>
        <w:rPr>
          <w:color w:val="auto"/>
          <w:kern w:val="2"/>
          <w:highlight w:val="none"/>
          <w:lang w:val="en-US" w:eastAsia="zh-CN" w:bidi="ar-SA"/>
        </w:rPr>
        <w:t>2</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751862F2">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_Toc21661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cs="宋体"/>
          <w:color w:val="auto"/>
          <w:kern w:val="0"/>
          <w:szCs w:val="21"/>
          <w:highlight w:val="none"/>
          <w:lang w:val="en-US" w:eastAsia="zh-CN" w:bidi="ar-SA"/>
        </w:rPr>
        <w:t>1.总则</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_Toc21661 </w:instrText>
      </w:r>
      <w:r>
        <w:rPr>
          <w:color w:val="auto"/>
          <w:kern w:val="2"/>
          <w:highlight w:val="none"/>
          <w:lang w:val="en-US" w:eastAsia="zh-CN" w:bidi="ar-SA"/>
        </w:rPr>
        <w:fldChar w:fldCharType="separate"/>
      </w:r>
      <w:r>
        <w:rPr>
          <w:color w:val="auto"/>
          <w:kern w:val="2"/>
          <w:highlight w:val="none"/>
          <w:lang w:val="en-US" w:eastAsia="zh-CN" w:bidi="ar-SA"/>
        </w:rPr>
        <w:t>4</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0326E2B0">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_Toc15773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cs="宋体"/>
          <w:color w:val="auto"/>
          <w:kern w:val="0"/>
          <w:szCs w:val="21"/>
          <w:highlight w:val="none"/>
          <w:lang w:val="en-US" w:eastAsia="zh-CN" w:bidi="ar-SA"/>
        </w:rPr>
        <w:t>2.竞争性谈判文件组成</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_Toc15773 </w:instrText>
      </w:r>
      <w:r>
        <w:rPr>
          <w:color w:val="auto"/>
          <w:kern w:val="2"/>
          <w:highlight w:val="none"/>
          <w:lang w:val="en-US" w:eastAsia="zh-CN" w:bidi="ar-SA"/>
        </w:rPr>
        <w:fldChar w:fldCharType="separate"/>
      </w:r>
      <w:r>
        <w:rPr>
          <w:color w:val="auto"/>
          <w:kern w:val="2"/>
          <w:highlight w:val="none"/>
          <w:lang w:val="en-US" w:eastAsia="zh-CN" w:bidi="ar-SA"/>
        </w:rPr>
        <w:t>4</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4658FBC1">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_Toc8244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cs="宋体"/>
          <w:color w:val="auto"/>
          <w:kern w:val="0"/>
          <w:szCs w:val="21"/>
          <w:highlight w:val="none"/>
          <w:lang w:val="en-US" w:eastAsia="zh-CN" w:bidi="ar-SA"/>
        </w:rPr>
        <w:t>3.谈判说明</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_Toc8244 </w:instrText>
      </w:r>
      <w:r>
        <w:rPr>
          <w:color w:val="auto"/>
          <w:kern w:val="2"/>
          <w:highlight w:val="none"/>
          <w:lang w:val="en-US" w:eastAsia="zh-CN" w:bidi="ar-SA"/>
        </w:rPr>
        <w:fldChar w:fldCharType="separate"/>
      </w:r>
      <w:r>
        <w:rPr>
          <w:color w:val="auto"/>
          <w:kern w:val="2"/>
          <w:highlight w:val="none"/>
          <w:lang w:val="en-US" w:eastAsia="zh-CN" w:bidi="ar-SA"/>
        </w:rPr>
        <w:t>4</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6271E227">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_Toc22619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cs="宋体"/>
          <w:color w:val="auto"/>
          <w:kern w:val="0"/>
          <w:szCs w:val="21"/>
          <w:highlight w:val="none"/>
          <w:lang w:val="en-US" w:eastAsia="zh-CN" w:bidi="ar-SA"/>
        </w:rPr>
        <w:t>4.合同签订</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_Toc22619 </w:instrText>
      </w:r>
      <w:r>
        <w:rPr>
          <w:color w:val="auto"/>
          <w:kern w:val="2"/>
          <w:highlight w:val="none"/>
          <w:lang w:val="en-US" w:eastAsia="zh-CN" w:bidi="ar-SA"/>
        </w:rPr>
        <w:fldChar w:fldCharType="separate"/>
      </w:r>
      <w:r>
        <w:rPr>
          <w:color w:val="auto"/>
          <w:kern w:val="2"/>
          <w:highlight w:val="none"/>
          <w:lang w:val="en-US" w:eastAsia="zh-CN" w:bidi="ar-SA"/>
        </w:rPr>
        <w:t>7</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6D9D98A5">
      <w:pPr>
        <w:pStyle w:val="22"/>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_Toc22692 </w:instrText>
      </w:r>
      <w:r>
        <w:rPr>
          <w:rFonts w:hint="eastAsia" w:ascii="仿宋_GB2312" w:hAnsi="宋体" w:eastAsia="仿宋_GB2312" w:cs="宋体"/>
          <w:color w:val="auto"/>
          <w:kern w:val="2"/>
          <w:szCs w:val="36"/>
          <w:highlight w:val="none"/>
          <w:lang w:val="en-US" w:eastAsia="zh-CN" w:bidi="ar-SA"/>
        </w:rPr>
        <w:fldChar w:fldCharType="separate"/>
      </w:r>
      <w:r>
        <w:rPr>
          <w:color w:val="auto"/>
          <w:kern w:val="2"/>
          <w:highlight w:val="none"/>
          <w:lang w:val="en-US" w:eastAsia="zh-CN" w:bidi="ar-SA"/>
        </w:rPr>
        <w:t>第</w:t>
      </w:r>
      <w:r>
        <w:rPr>
          <w:rFonts w:hint="eastAsia" w:ascii="宋体" w:hAnsi="宋体" w:eastAsia="宋体" w:cs="Times New Roman"/>
          <w:color w:val="auto"/>
          <w:kern w:val="44"/>
          <w:szCs w:val="28"/>
          <w:highlight w:val="none"/>
          <w:lang w:val="en-US" w:eastAsia="zh-CN" w:bidi="ar-SA"/>
        </w:rPr>
        <w:t xml:space="preserve">二章 </w:t>
      </w:r>
      <w:r>
        <w:rPr>
          <w:rFonts w:hint="eastAsia" w:ascii="宋体" w:hAnsi="宋体" w:eastAsia="宋体" w:cs="Times New Roman"/>
          <w:color w:val="auto"/>
          <w:kern w:val="2"/>
          <w:szCs w:val="28"/>
          <w:highlight w:val="none"/>
          <w:lang w:val="en-US" w:eastAsia="zh-CN" w:bidi="ar-SA"/>
        </w:rPr>
        <w:t>委托人要求</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_Toc22692 </w:instrText>
      </w:r>
      <w:r>
        <w:rPr>
          <w:color w:val="auto"/>
          <w:kern w:val="2"/>
          <w:highlight w:val="none"/>
          <w:lang w:val="en-US" w:eastAsia="zh-CN" w:bidi="ar-SA"/>
        </w:rPr>
        <w:fldChar w:fldCharType="separate"/>
      </w:r>
      <w:r>
        <w:rPr>
          <w:color w:val="auto"/>
          <w:kern w:val="2"/>
          <w:highlight w:val="none"/>
          <w:lang w:val="en-US" w:eastAsia="zh-CN" w:bidi="ar-SA"/>
        </w:rPr>
        <w:t>8</w:t>
      </w:r>
      <w:r>
        <w:rPr>
          <w:color w:val="auto"/>
          <w:kern w:val="2"/>
          <w:highlight w:val="none"/>
          <w:lang w:val="en-US" w:eastAsia="zh-CN" w:bidi="ar-SA"/>
        </w:rPr>
        <w:fldChar w:fldCharType="end"/>
      </w:r>
      <w:r>
        <w:rPr>
          <w:rFonts w:hint="eastAsia" w:ascii="宋体" w:hAnsi="宋体" w:eastAsia="宋体" w:cs="Times New Roman"/>
          <w:color w:val="auto"/>
          <w:kern w:val="44"/>
          <w:szCs w:val="28"/>
          <w:highlight w:val="none"/>
          <w:lang w:val="en-US" w:eastAsia="zh-CN" w:bidi="ar-SA"/>
        </w:rPr>
        <w:fldChar w:fldCharType="end"/>
      </w:r>
    </w:p>
    <w:p w14:paraId="712A21E9">
      <w:pPr>
        <w:pStyle w:val="22"/>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_Toc13119 </w:instrText>
      </w:r>
      <w:r>
        <w:rPr>
          <w:rFonts w:hint="eastAsia" w:ascii="仿宋_GB2312" w:hAnsi="宋体" w:eastAsia="仿宋_GB2312" w:cs="宋体"/>
          <w:color w:val="auto"/>
          <w:kern w:val="2"/>
          <w:szCs w:val="36"/>
          <w:highlight w:val="none"/>
          <w:lang w:val="en-US" w:eastAsia="zh-CN" w:bidi="ar-SA"/>
        </w:rPr>
        <w:fldChar w:fldCharType="separate"/>
      </w:r>
      <w:r>
        <w:rPr>
          <w:rFonts w:ascii="宋体" w:hAnsi="宋体" w:eastAsia="宋体"/>
          <w:color w:val="auto"/>
          <w:kern w:val="2"/>
          <w:szCs w:val="28"/>
          <w:highlight w:val="none"/>
          <w:lang w:val="en-US" w:eastAsia="zh-CN" w:bidi="ar-SA"/>
        </w:rPr>
        <w:t>第</w:t>
      </w:r>
      <w:r>
        <w:rPr>
          <w:rFonts w:hint="eastAsia" w:ascii="宋体" w:hAnsi="宋体" w:eastAsia="宋体"/>
          <w:color w:val="auto"/>
          <w:kern w:val="2"/>
          <w:szCs w:val="28"/>
          <w:highlight w:val="none"/>
          <w:lang w:val="en-US" w:eastAsia="zh-CN" w:bidi="ar-SA"/>
        </w:rPr>
        <w:t>三</w:t>
      </w:r>
      <w:r>
        <w:rPr>
          <w:rFonts w:ascii="宋体" w:hAnsi="宋体" w:eastAsia="宋体"/>
          <w:color w:val="auto"/>
          <w:kern w:val="2"/>
          <w:szCs w:val="28"/>
          <w:highlight w:val="none"/>
          <w:lang w:val="en-US" w:eastAsia="zh-CN" w:bidi="ar-SA"/>
        </w:rPr>
        <w:t xml:space="preserve">章 </w:t>
      </w:r>
      <w:r>
        <w:rPr>
          <w:rFonts w:hint="eastAsia" w:ascii="宋体" w:hAnsi="宋体" w:eastAsia="宋体" w:cs="Times New Roman"/>
          <w:color w:val="auto"/>
          <w:kern w:val="2"/>
          <w:szCs w:val="28"/>
          <w:highlight w:val="none"/>
          <w:lang w:val="en-US" w:eastAsia="zh-CN" w:bidi="ar-SA"/>
        </w:rPr>
        <w:t>合同</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_Toc13119 </w:instrText>
      </w:r>
      <w:r>
        <w:rPr>
          <w:color w:val="auto"/>
          <w:kern w:val="2"/>
          <w:highlight w:val="none"/>
          <w:lang w:val="en-US" w:eastAsia="zh-CN" w:bidi="ar-SA"/>
        </w:rPr>
        <w:fldChar w:fldCharType="separate"/>
      </w:r>
      <w:r>
        <w:rPr>
          <w:color w:val="auto"/>
          <w:kern w:val="2"/>
          <w:highlight w:val="none"/>
          <w:lang w:val="en-US" w:eastAsia="zh-CN" w:bidi="ar-SA"/>
        </w:rPr>
        <w:t>10</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55A17CFD">
      <w:pPr>
        <w:pStyle w:val="22"/>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_Toc15382 </w:instrText>
      </w:r>
      <w:r>
        <w:rPr>
          <w:rFonts w:hint="eastAsia" w:ascii="仿宋_GB2312" w:hAnsi="宋体" w:eastAsia="仿宋_GB2312" w:cs="宋体"/>
          <w:color w:val="auto"/>
          <w:kern w:val="2"/>
          <w:szCs w:val="36"/>
          <w:highlight w:val="none"/>
          <w:lang w:val="en-US" w:eastAsia="zh-CN" w:bidi="ar-SA"/>
        </w:rPr>
        <w:fldChar w:fldCharType="separate"/>
      </w:r>
      <w:r>
        <w:rPr>
          <w:rFonts w:ascii="宋体" w:hAnsi="宋体" w:eastAsia="宋体"/>
          <w:color w:val="auto"/>
          <w:kern w:val="2"/>
          <w:szCs w:val="28"/>
          <w:highlight w:val="none"/>
          <w:lang w:val="en-US" w:eastAsia="zh-CN" w:bidi="ar-SA"/>
        </w:rPr>
        <w:t>第</w:t>
      </w:r>
      <w:r>
        <w:rPr>
          <w:rFonts w:hint="eastAsia" w:ascii="宋体" w:hAnsi="宋体" w:eastAsia="宋体"/>
          <w:color w:val="auto"/>
          <w:kern w:val="2"/>
          <w:szCs w:val="28"/>
          <w:highlight w:val="none"/>
          <w:lang w:val="en-US" w:eastAsia="zh-CN" w:bidi="ar-SA"/>
        </w:rPr>
        <w:t>四</w:t>
      </w:r>
      <w:r>
        <w:rPr>
          <w:rFonts w:ascii="宋体" w:hAnsi="宋体" w:eastAsia="宋体"/>
          <w:color w:val="auto"/>
          <w:kern w:val="2"/>
          <w:szCs w:val="28"/>
          <w:highlight w:val="none"/>
          <w:lang w:val="en-US" w:eastAsia="zh-CN" w:bidi="ar-SA"/>
        </w:rPr>
        <w:t xml:space="preserve">章 </w:t>
      </w:r>
      <w:r>
        <w:rPr>
          <w:rFonts w:hint="eastAsia" w:ascii="宋体" w:hAnsi="宋体" w:eastAsia="宋体" w:cs="Times New Roman"/>
          <w:color w:val="auto"/>
          <w:kern w:val="2"/>
          <w:szCs w:val="28"/>
          <w:highlight w:val="none"/>
          <w:lang w:val="en-US" w:eastAsia="zh-CN" w:bidi="ar-SA"/>
        </w:rPr>
        <w:t>响应文件格式</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_Toc15382 </w:instrText>
      </w:r>
      <w:r>
        <w:rPr>
          <w:color w:val="auto"/>
          <w:kern w:val="2"/>
          <w:highlight w:val="none"/>
          <w:lang w:val="en-US" w:eastAsia="zh-CN" w:bidi="ar-SA"/>
        </w:rPr>
        <w:fldChar w:fldCharType="separate"/>
      </w:r>
      <w:r>
        <w:rPr>
          <w:color w:val="auto"/>
          <w:kern w:val="2"/>
          <w:highlight w:val="none"/>
          <w:lang w:val="en-US" w:eastAsia="zh-CN" w:bidi="ar-SA"/>
        </w:rPr>
        <w:t>11</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024C7A1A">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_Toc18570 </w:instrText>
      </w:r>
      <w:r>
        <w:rPr>
          <w:rFonts w:hint="eastAsia" w:ascii="仿宋_GB2312" w:hAnsi="宋体" w:eastAsia="仿宋_GB2312" w:cs="宋体"/>
          <w:color w:val="auto"/>
          <w:kern w:val="2"/>
          <w:szCs w:val="36"/>
          <w:highlight w:val="none"/>
          <w:lang w:val="en-US" w:eastAsia="zh-CN" w:bidi="ar-SA"/>
        </w:rPr>
        <w:fldChar w:fldCharType="separate"/>
      </w:r>
      <w:r>
        <w:rPr>
          <w:rFonts w:ascii="Times New Roman" w:hAnsi="Times New Roman" w:eastAsia="宋体"/>
          <w:color w:val="auto"/>
          <w:kern w:val="2"/>
          <w:szCs w:val="28"/>
          <w:highlight w:val="none"/>
          <w:lang w:val="en-US" w:eastAsia="zh-CN" w:bidi="ar-SA"/>
        </w:rPr>
        <w:t>目</w:t>
      </w:r>
      <w:r>
        <w:rPr>
          <w:rFonts w:hint="eastAsia" w:ascii="Times New Roman" w:hAnsi="Times New Roman" w:eastAsia="宋体"/>
          <w:color w:val="auto"/>
          <w:kern w:val="2"/>
          <w:szCs w:val="28"/>
          <w:highlight w:val="none"/>
          <w:lang w:val="en-US" w:eastAsia="zh-CN" w:bidi="ar-SA"/>
        </w:rPr>
        <w:t xml:space="preserve"> </w:t>
      </w:r>
      <w:r>
        <w:rPr>
          <w:rFonts w:ascii="Times New Roman" w:hAnsi="Times New Roman" w:eastAsia="宋体"/>
          <w:color w:val="auto"/>
          <w:kern w:val="2"/>
          <w:szCs w:val="28"/>
          <w:highlight w:val="none"/>
          <w:lang w:val="en-US" w:eastAsia="zh-CN" w:bidi="ar-SA"/>
        </w:rPr>
        <w:t xml:space="preserve"> 录</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_Toc18570 </w:instrText>
      </w:r>
      <w:r>
        <w:rPr>
          <w:color w:val="auto"/>
          <w:kern w:val="2"/>
          <w:highlight w:val="none"/>
          <w:lang w:val="en-US" w:eastAsia="zh-CN" w:bidi="ar-SA"/>
        </w:rPr>
        <w:fldChar w:fldCharType="separate"/>
      </w:r>
      <w:r>
        <w:rPr>
          <w:color w:val="auto"/>
          <w:kern w:val="2"/>
          <w:highlight w:val="none"/>
          <w:lang w:val="en-US" w:eastAsia="zh-CN" w:bidi="ar-SA"/>
        </w:rPr>
        <w:t>13</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165F48A6">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_Toc7028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一、法定代表人（单位负责人）身份证明</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_Toc7028 </w:instrText>
      </w:r>
      <w:r>
        <w:rPr>
          <w:color w:val="auto"/>
          <w:kern w:val="2"/>
          <w:highlight w:val="none"/>
          <w:lang w:val="en-US" w:eastAsia="zh-CN" w:bidi="ar-SA"/>
        </w:rPr>
        <w:fldChar w:fldCharType="separate"/>
      </w:r>
      <w:r>
        <w:rPr>
          <w:color w:val="auto"/>
          <w:kern w:val="2"/>
          <w:highlight w:val="none"/>
          <w:lang w:val="en-US" w:eastAsia="zh-CN" w:bidi="ar-SA"/>
        </w:rPr>
        <w:t>14</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46CCBBCA">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_Toc12892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二、授权委托书</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_Toc12892 </w:instrText>
      </w:r>
      <w:r>
        <w:rPr>
          <w:color w:val="auto"/>
          <w:kern w:val="2"/>
          <w:highlight w:val="none"/>
          <w:lang w:val="en-US" w:eastAsia="zh-CN" w:bidi="ar-SA"/>
        </w:rPr>
        <w:fldChar w:fldCharType="separate"/>
      </w:r>
      <w:r>
        <w:rPr>
          <w:color w:val="auto"/>
          <w:kern w:val="2"/>
          <w:highlight w:val="none"/>
          <w:lang w:val="en-US" w:eastAsia="zh-CN" w:bidi="ar-SA"/>
        </w:rPr>
        <w:t>15</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08E7C12A">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_Toc5474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三、联合体协议书（如有）</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_Toc5474 </w:instrText>
      </w:r>
      <w:r>
        <w:rPr>
          <w:color w:val="auto"/>
          <w:kern w:val="2"/>
          <w:highlight w:val="none"/>
          <w:lang w:val="en-US" w:eastAsia="zh-CN" w:bidi="ar-SA"/>
        </w:rPr>
        <w:fldChar w:fldCharType="separate"/>
      </w:r>
      <w:r>
        <w:rPr>
          <w:color w:val="auto"/>
          <w:kern w:val="2"/>
          <w:highlight w:val="none"/>
          <w:lang w:val="en-US" w:eastAsia="zh-CN" w:bidi="ar-SA"/>
        </w:rPr>
        <w:t>17</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30BBECB3">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_Toc12548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四、商务和技术偏差表</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_Toc12548 </w:instrText>
      </w:r>
      <w:r>
        <w:rPr>
          <w:color w:val="auto"/>
          <w:kern w:val="2"/>
          <w:highlight w:val="none"/>
          <w:lang w:val="en-US" w:eastAsia="zh-CN" w:bidi="ar-SA"/>
        </w:rPr>
        <w:fldChar w:fldCharType="separate"/>
      </w:r>
      <w:r>
        <w:rPr>
          <w:color w:val="auto"/>
          <w:kern w:val="2"/>
          <w:highlight w:val="none"/>
          <w:lang w:val="en-US" w:eastAsia="zh-CN" w:bidi="ar-SA"/>
        </w:rPr>
        <w:t>18</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498983B6">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_Toc7213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五、资格审查资料</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_Toc7213 </w:instrText>
      </w:r>
      <w:r>
        <w:rPr>
          <w:color w:val="auto"/>
          <w:kern w:val="2"/>
          <w:highlight w:val="none"/>
          <w:lang w:val="en-US" w:eastAsia="zh-CN" w:bidi="ar-SA"/>
        </w:rPr>
        <w:fldChar w:fldCharType="separate"/>
      </w:r>
      <w:r>
        <w:rPr>
          <w:color w:val="auto"/>
          <w:kern w:val="2"/>
          <w:highlight w:val="none"/>
          <w:lang w:val="en-US" w:eastAsia="zh-CN" w:bidi="ar-SA"/>
        </w:rPr>
        <w:t>19</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61FB3E82">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_Toc15348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六、近年完成的类似项目情况表</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_Toc15348 </w:instrText>
      </w:r>
      <w:r>
        <w:rPr>
          <w:color w:val="auto"/>
          <w:kern w:val="2"/>
          <w:highlight w:val="none"/>
          <w:lang w:val="en-US" w:eastAsia="zh-CN" w:bidi="ar-SA"/>
        </w:rPr>
        <w:fldChar w:fldCharType="separate"/>
      </w:r>
      <w:r>
        <w:rPr>
          <w:color w:val="auto"/>
          <w:kern w:val="2"/>
          <w:highlight w:val="none"/>
          <w:lang w:val="en-US" w:eastAsia="zh-CN" w:bidi="ar-SA"/>
        </w:rPr>
        <w:t>21</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023D21A5">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_Toc9871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七、服务大纲</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_Toc9871 </w:instrText>
      </w:r>
      <w:r>
        <w:rPr>
          <w:color w:val="auto"/>
          <w:kern w:val="2"/>
          <w:highlight w:val="none"/>
          <w:lang w:val="en-US" w:eastAsia="zh-CN" w:bidi="ar-SA"/>
        </w:rPr>
        <w:fldChar w:fldCharType="separate"/>
      </w:r>
      <w:r>
        <w:rPr>
          <w:color w:val="auto"/>
          <w:kern w:val="2"/>
          <w:highlight w:val="none"/>
          <w:lang w:val="en-US" w:eastAsia="zh-CN" w:bidi="ar-SA"/>
        </w:rPr>
        <w:t>23</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35E84862">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_Toc32732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8"/>
          <w:highlight w:val="none"/>
          <w:lang w:val="en-US" w:eastAsia="zh-CN" w:bidi="ar-SA"/>
        </w:rPr>
        <w:t>目  录</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_Toc32732 </w:instrText>
      </w:r>
      <w:r>
        <w:rPr>
          <w:color w:val="auto"/>
          <w:kern w:val="2"/>
          <w:highlight w:val="none"/>
          <w:lang w:val="en-US" w:eastAsia="zh-CN" w:bidi="ar-SA"/>
        </w:rPr>
        <w:fldChar w:fldCharType="separate"/>
      </w:r>
      <w:r>
        <w:rPr>
          <w:color w:val="auto"/>
          <w:kern w:val="2"/>
          <w:highlight w:val="none"/>
          <w:lang w:val="en-US" w:eastAsia="zh-CN" w:bidi="ar-SA"/>
        </w:rPr>
        <w:t>27</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5ABF2B3A">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_Toc973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一、响应函</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_Toc973 </w:instrText>
      </w:r>
      <w:r>
        <w:rPr>
          <w:color w:val="auto"/>
          <w:kern w:val="2"/>
          <w:highlight w:val="none"/>
          <w:lang w:val="en-US" w:eastAsia="zh-CN" w:bidi="ar-SA"/>
        </w:rPr>
        <w:fldChar w:fldCharType="separate"/>
      </w:r>
      <w:r>
        <w:rPr>
          <w:color w:val="auto"/>
          <w:kern w:val="2"/>
          <w:highlight w:val="none"/>
          <w:lang w:val="en-US" w:eastAsia="zh-CN" w:bidi="ar-SA"/>
        </w:rPr>
        <w:t>28</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09CE33DD">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_Toc30430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二、报价格式</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_Toc30430 </w:instrText>
      </w:r>
      <w:r>
        <w:rPr>
          <w:color w:val="auto"/>
          <w:kern w:val="2"/>
          <w:highlight w:val="none"/>
          <w:lang w:val="en-US" w:eastAsia="zh-CN" w:bidi="ar-SA"/>
        </w:rPr>
        <w:fldChar w:fldCharType="separate"/>
      </w:r>
      <w:r>
        <w:rPr>
          <w:color w:val="auto"/>
          <w:kern w:val="2"/>
          <w:highlight w:val="none"/>
          <w:lang w:val="en-US" w:eastAsia="zh-CN" w:bidi="ar-SA"/>
        </w:rPr>
        <w:t>29</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7410F22F">
      <w:pPr>
        <w:spacing w:line="360" w:lineRule="auto"/>
        <w:jc w:val="both"/>
        <w:rPr>
          <w:rFonts w:hint="eastAsia" w:ascii="仿宋_GB2312" w:hAnsi="宋体" w:eastAsia="仿宋_GB2312" w:cs="宋体"/>
          <w:color w:val="auto"/>
          <w:kern w:val="2"/>
          <w:szCs w:val="36"/>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end"/>
      </w:r>
    </w:p>
    <w:p w14:paraId="0AF65A44">
      <w:pPr>
        <w:pStyle w:val="30"/>
        <w:rPr>
          <w:rFonts w:hint="eastAsia" w:ascii="仿宋_GB2312" w:hAnsi="宋体" w:eastAsia="仿宋_GB2312" w:cs="宋体"/>
          <w:color w:val="auto"/>
          <w:kern w:val="2"/>
          <w:szCs w:val="36"/>
          <w:highlight w:val="none"/>
          <w:lang w:val="en-US" w:eastAsia="zh-CN" w:bidi="ar-SA"/>
        </w:rPr>
      </w:pPr>
    </w:p>
    <w:p w14:paraId="0AA61552">
      <w:pPr>
        <w:pStyle w:val="30"/>
        <w:rPr>
          <w:rFonts w:hint="eastAsia" w:ascii="仿宋_GB2312" w:hAnsi="宋体" w:eastAsia="仿宋_GB2312" w:cs="宋体"/>
          <w:color w:val="auto"/>
          <w:kern w:val="2"/>
          <w:szCs w:val="36"/>
          <w:highlight w:val="none"/>
          <w:lang w:val="en-US" w:eastAsia="zh-CN" w:bidi="ar-SA"/>
        </w:rPr>
      </w:pPr>
    </w:p>
    <w:p w14:paraId="57E96828">
      <w:pPr>
        <w:pStyle w:val="30"/>
        <w:rPr>
          <w:rFonts w:hint="eastAsia" w:ascii="仿宋_GB2312" w:hAnsi="宋体" w:eastAsia="仿宋_GB2312" w:cs="宋体"/>
          <w:color w:val="auto"/>
          <w:kern w:val="2"/>
          <w:szCs w:val="36"/>
          <w:highlight w:val="none"/>
          <w:lang w:val="en-US" w:eastAsia="zh-CN" w:bidi="ar-SA"/>
        </w:rPr>
      </w:pPr>
    </w:p>
    <w:p w14:paraId="08F714F4">
      <w:pPr>
        <w:pStyle w:val="30"/>
        <w:rPr>
          <w:rFonts w:hint="eastAsia" w:ascii="仿宋_GB2312" w:hAnsi="宋体" w:eastAsia="仿宋_GB2312" w:cs="宋体"/>
          <w:color w:val="auto"/>
          <w:kern w:val="2"/>
          <w:szCs w:val="36"/>
          <w:highlight w:val="none"/>
          <w:lang w:val="en-US" w:eastAsia="zh-CN" w:bidi="ar-SA"/>
        </w:rPr>
      </w:pPr>
    </w:p>
    <w:p w14:paraId="705AC657">
      <w:pPr>
        <w:pStyle w:val="30"/>
        <w:rPr>
          <w:rFonts w:hint="eastAsia" w:ascii="仿宋_GB2312" w:hAnsi="宋体" w:eastAsia="仿宋_GB2312" w:cs="宋体"/>
          <w:color w:val="auto"/>
          <w:kern w:val="2"/>
          <w:szCs w:val="36"/>
          <w:highlight w:val="none"/>
          <w:lang w:val="en-US" w:eastAsia="zh-CN" w:bidi="ar-SA"/>
        </w:rPr>
      </w:pPr>
    </w:p>
    <w:p w14:paraId="49116D9C">
      <w:pPr>
        <w:pStyle w:val="30"/>
        <w:rPr>
          <w:rFonts w:hint="eastAsia" w:ascii="仿宋_GB2312" w:hAnsi="宋体" w:eastAsia="仿宋_GB2312" w:cs="宋体"/>
          <w:color w:val="auto"/>
          <w:kern w:val="2"/>
          <w:szCs w:val="36"/>
          <w:highlight w:val="none"/>
          <w:lang w:val="en-US" w:eastAsia="zh-CN" w:bidi="ar-SA"/>
        </w:rPr>
      </w:pPr>
    </w:p>
    <w:p w14:paraId="577FC6C3">
      <w:pPr>
        <w:pStyle w:val="30"/>
        <w:rPr>
          <w:rFonts w:hint="eastAsia" w:ascii="仿宋_GB2312" w:hAnsi="宋体" w:eastAsia="仿宋_GB2312" w:cs="宋体"/>
          <w:color w:val="auto"/>
          <w:kern w:val="2"/>
          <w:szCs w:val="36"/>
          <w:highlight w:val="none"/>
          <w:lang w:val="en-US" w:eastAsia="zh-CN" w:bidi="ar-SA"/>
        </w:rPr>
      </w:pPr>
    </w:p>
    <w:p w14:paraId="72B03E23">
      <w:pPr>
        <w:pStyle w:val="30"/>
        <w:rPr>
          <w:rFonts w:hint="eastAsia" w:ascii="仿宋_GB2312" w:hAnsi="宋体" w:eastAsia="仿宋_GB2312" w:cs="宋体"/>
          <w:color w:val="auto"/>
          <w:kern w:val="2"/>
          <w:szCs w:val="36"/>
          <w:highlight w:val="none"/>
          <w:lang w:val="en-US" w:eastAsia="zh-CN" w:bidi="ar-SA"/>
        </w:rPr>
      </w:pPr>
    </w:p>
    <w:p w14:paraId="0B7BD48E">
      <w:pPr>
        <w:pStyle w:val="30"/>
        <w:rPr>
          <w:rFonts w:hint="eastAsia" w:ascii="仿宋_GB2312" w:hAnsi="宋体" w:eastAsia="仿宋_GB2312" w:cs="宋体"/>
          <w:color w:val="auto"/>
          <w:kern w:val="2"/>
          <w:szCs w:val="36"/>
          <w:highlight w:val="none"/>
          <w:lang w:val="en-US" w:eastAsia="zh-CN" w:bidi="ar-SA"/>
        </w:rPr>
      </w:pPr>
    </w:p>
    <w:p w14:paraId="3668A3A4">
      <w:pPr>
        <w:pStyle w:val="30"/>
        <w:rPr>
          <w:rFonts w:hint="eastAsia" w:ascii="仿宋_GB2312" w:hAnsi="宋体" w:eastAsia="仿宋_GB2312" w:cs="宋体"/>
          <w:color w:val="auto"/>
          <w:kern w:val="2"/>
          <w:szCs w:val="36"/>
          <w:highlight w:val="none"/>
          <w:lang w:val="en-US" w:eastAsia="zh-CN" w:bidi="ar-SA"/>
        </w:rPr>
      </w:pPr>
    </w:p>
    <w:p w14:paraId="51EDD87B">
      <w:pPr>
        <w:pStyle w:val="30"/>
        <w:rPr>
          <w:rFonts w:hint="eastAsia" w:ascii="仿宋_GB2312" w:hAnsi="宋体" w:eastAsia="仿宋_GB2312" w:cs="宋体"/>
          <w:color w:val="auto"/>
          <w:kern w:val="2"/>
          <w:szCs w:val="36"/>
          <w:highlight w:val="none"/>
          <w:lang w:val="en-US" w:eastAsia="zh-CN" w:bidi="ar-SA"/>
        </w:rPr>
      </w:pPr>
    </w:p>
    <w:p w14:paraId="203485C2">
      <w:pPr>
        <w:pStyle w:val="30"/>
        <w:rPr>
          <w:rFonts w:hint="eastAsia" w:ascii="仿宋_GB2312" w:hAnsi="宋体" w:eastAsia="仿宋_GB2312" w:cs="宋体"/>
          <w:color w:val="auto"/>
          <w:kern w:val="2"/>
          <w:szCs w:val="36"/>
          <w:highlight w:val="none"/>
          <w:lang w:val="en-US" w:eastAsia="zh-CN" w:bidi="ar-SA"/>
        </w:rPr>
      </w:pPr>
    </w:p>
    <w:p w14:paraId="145E7AFD">
      <w:pPr>
        <w:spacing w:line="360" w:lineRule="auto"/>
        <w:jc w:val="center"/>
        <w:rPr>
          <w:rFonts w:hint="eastAsia" w:ascii="仿宋_GB2312" w:hAnsi="宋体" w:eastAsia="仿宋_GB2312" w:cs="宋体"/>
          <w:b/>
          <w:color w:val="auto"/>
          <w:sz w:val="36"/>
          <w:szCs w:val="36"/>
          <w:highlight w:val="none"/>
          <w:lang w:val="en-US" w:eastAsia="zh-CN"/>
        </w:rPr>
        <w:sectPr>
          <w:headerReference r:id="rId4" w:type="first"/>
          <w:footerReference r:id="rId6" w:type="first"/>
          <w:footerReference r:id="rId5" w:type="default"/>
          <w:pgSz w:w="11906" w:h="16838"/>
          <w:pgMar w:top="1417" w:right="1134" w:bottom="1134" w:left="1417" w:header="851" w:footer="850" w:gutter="0"/>
          <w:pgBorders>
            <w:top w:val="none" w:sz="0" w:space="0"/>
            <w:left w:val="none" w:sz="0" w:space="0"/>
            <w:bottom w:val="none" w:sz="0" w:space="0"/>
            <w:right w:val="none" w:sz="0" w:space="0"/>
          </w:pgBorders>
          <w:pgNumType w:fmt="decimal" w:start="1"/>
          <w:cols w:space="720" w:num="1"/>
          <w:titlePg/>
          <w:rtlGutter w:val="0"/>
          <w:docGrid w:linePitch="312" w:charSpace="0"/>
        </w:sectPr>
      </w:pPr>
    </w:p>
    <w:p w14:paraId="1BD4A9FC">
      <w:pPr>
        <w:pStyle w:val="2"/>
        <w:numPr>
          <w:ilvl w:val="0"/>
          <w:numId w:val="1"/>
        </w:numPr>
        <w:adjustRightInd w:val="0"/>
        <w:snapToGrid w:val="0"/>
        <w:spacing w:before="0" w:after="0" w:line="360" w:lineRule="auto"/>
        <w:jc w:val="center"/>
        <w:rPr>
          <w:rFonts w:ascii="宋体" w:hAnsi="宋体" w:eastAsia="宋体"/>
          <w:b/>
          <w:color w:val="auto"/>
          <w:sz w:val="28"/>
          <w:szCs w:val="28"/>
          <w:highlight w:val="none"/>
        </w:rPr>
      </w:pPr>
      <w:bookmarkStart w:id="1" w:name="_Toc144974495"/>
      <w:bookmarkStart w:id="2" w:name="_Toc247527551"/>
      <w:bookmarkStart w:id="3" w:name="_Toc21240"/>
      <w:bookmarkStart w:id="4" w:name="_Toc30112"/>
      <w:bookmarkStart w:id="5" w:name="_Toc247513950"/>
      <w:bookmarkStart w:id="6" w:name="_Toc4273"/>
      <w:bookmarkStart w:id="7" w:name="_Toc152042303"/>
      <w:bookmarkStart w:id="8" w:name="_Toc152045527"/>
      <w:bookmarkStart w:id="9" w:name="_Toc300834947"/>
      <w:r>
        <w:rPr>
          <w:rFonts w:hint="eastAsia" w:ascii="宋体" w:hAnsi="宋体" w:eastAsia="宋体"/>
          <w:b/>
          <w:color w:val="auto"/>
          <w:sz w:val="28"/>
          <w:szCs w:val="28"/>
          <w:highlight w:val="none"/>
          <w:lang w:val="en-US" w:eastAsia="zh-CN"/>
        </w:rPr>
        <w:t>响应</w:t>
      </w:r>
      <w:r>
        <w:rPr>
          <w:rFonts w:hint="eastAsia" w:ascii="宋体" w:hAnsi="宋体" w:eastAsia="宋体"/>
          <w:b/>
          <w:color w:val="auto"/>
          <w:sz w:val="28"/>
          <w:szCs w:val="28"/>
          <w:highlight w:val="none"/>
          <w:lang w:eastAsia="zh-CN"/>
        </w:rPr>
        <w:t>人</w:t>
      </w:r>
      <w:r>
        <w:rPr>
          <w:rFonts w:ascii="宋体" w:hAnsi="宋体" w:eastAsia="宋体"/>
          <w:b/>
          <w:color w:val="auto"/>
          <w:sz w:val="28"/>
          <w:szCs w:val="28"/>
          <w:highlight w:val="none"/>
        </w:rPr>
        <w:t>须知</w:t>
      </w:r>
      <w:bookmarkEnd w:id="1"/>
      <w:bookmarkEnd w:id="2"/>
      <w:bookmarkEnd w:id="3"/>
      <w:bookmarkEnd w:id="4"/>
      <w:bookmarkEnd w:id="5"/>
      <w:bookmarkEnd w:id="6"/>
      <w:bookmarkEnd w:id="7"/>
      <w:bookmarkEnd w:id="8"/>
      <w:bookmarkEnd w:id="9"/>
    </w:p>
    <w:p w14:paraId="081C106D">
      <w:pPr>
        <w:pStyle w:val="2"/>
        <w:numPr>
          <w:ilvl w:val="0"/>
          <w:numId w:val="0"/>
        </w:numPr>
        <w:adjustRightInd w:val="0"/>
        <w:snapToGrid w:val="0"/>
        <w:spacing w:before="0" w:after="0" w:line="360" w:lineRule="auto"/>
        <w:ind w:firstLine="281" w:firstLineChars="100"/>
        <w:jc w:val="center"/>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Instructions pour les soumissionnaires</w:t>
      </w:r>
    </w:p>
    <w:p w14:paraId="720D4007">
      <w:pPr>
        <w:pStyle w:val="3"/>
        <w:keepLines/>
        <w:widowControl/>
        <w:adjustRightInd/>
        <w:spacing w:before="0" w:after="0" w:line="360" w:lineRule="auto"/>
        <w:jc w:val="both"/>
        <w:textAlignment w:val="auto"/>
        <w:rPr>
          <w:rFonts w:hint="eastAsia" w:ascii="宋体" w:hAnsi="宋体" w:eastAsia="宋体"/>
          <w:bCs/>
          <w:color w:val="auto"/>
          <w:kern w:val="2"/>
          <w:sz w:val="21"/>
          <w:szCs w:val="21"/>
          <w:highlight w:val="none"/>
          <w:lang w:val="en-US" w:eastAsia="zh-CN" w:bidi="ar-SA"/>
        </w:rPr>
      </w:pPr>
      <w:bookmarkStart w:id="10" w:name="_Toc6561309"/>
      <w:bookmarkStart w:id="11" w:name="_Toc9980"/>
      <w:bookmarkStart w:id="12" w:name="_Toc27752"/>
      <w:r>
        <w:rPr>
          <w:rFonts w:hint="eastAsia" w:ascii="宋体" w:hAnsi="宋体" w:eastAsia="宋体"/>
          <w:bCs/>
          <w:color w:val="auto"/>
          <w:kern w:val="2"/>
          <w:sz w:val="21"/>
          <w:szCs w:val="21"/>
          <w:highlight w:val="none"/>
          <w:lang w:val="en-US" w:eastAsia="zh-CN" w:bidi="ar-SA"/>
        </w:rPr>
        <w:t>响应人须知前附表</w:t>
      </w:r>
      <w:bookmarkEnd w:id="10"/>
      <w:bookmarkEnd w:id="11"/>
      <w:bookmarkEnd w:id="12"/>
    </w:p>
    <w:p w14:paraId="5AD0CC0B">
      <w:pPr>
        <w:rPr>
          <w:rFonts w:hint="default"/>
          <w:color w:val="auto"/>
          <w:highlight w:val="none"/>
          <w:lang w:val="fr-FR" w:eastAsia="zh-CN"/>
        </w:rPr>
      </w:pPr>
      <w:r>
        <w:rPr>
          <w:rFonts w:hint="eastAsia"/>
          <w:color w:val="auto"/>
          <w:highlight w:val="none"/>
          <w:lang w:val="en-US" w:eastAsia="zh-CN"/>
        </w:rPr>
        <w:t>Annexe préliminaire des Instructions pour les soumissionnaire</w:t>
      </w:r>
      <w:r>
        <w:rPr>
          <w:rFonts w:hint="default"/>
          <w:color w:val="auto"/>
          <w:highlight w:val="none"/>
          <w:lang w:val="fr-FR" w:eastAsia="zh-CN"/>
        </w:rPr>
        <w:t>s</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765"/>
        <w:gridCol w:w="1140"/>
        <w:gridCol w:w="4679"/>
        <w:gridCol w:w="933"/>
      </w:tblGrid>
      <w:tr w14:paraId="74643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603B9DE8">
            <w:pPr>
              <w:adjustRightInd w:val="0"/>
              <w:snapToGrid w:val="0"/>
              <w:jc w:val="center"/>
              <w:rPr>
                <w:rFonts w:hAnsi="宋体"/>
                <w:b/>
                <w:color w:val="auto"/>
                <w:highlight w:val="none"/>
              </w:rPr>
            </w:pPr>
            <w:r>
              <w:rPr>
                <w:rFonts w:hint="eastAsia" w:hAnsi="宋体"/>
                <w:b/>
                <w:color w:val="auto"/>
                <w:highlight w:val="none"/>
                <w:lang w:val="en-US" w:eastAsia="zh-CN"/>
              </w:rPr>
              <w:t>序</w:t>
            </w:r>
            <w:r>
              <w:rPr>
                <w:rFonts w:hAnsi="宋体"/>
                <w:b/>
                <w:color w:val="auto"/>
                <w:highlight w:val="none"/>
              </w:rPr>
              <w:t>号</w:t>
            </w:r>
          </w:p>
          <w:p w14:paraId="0F01FB8A">
            <w:pPr>
              <w:pStyle w:val="20"/>
              <w:jc w:val="center"/>
              <w:rPr>
                <w:rFonts w:hint="eastAsia" w:eastAsia="宋体"/>
                <w:color w:val="auto"/>
                <w:highlight w:val="none"/>
                <w:lang w:eastAsia="zh-CN"/>
              </w:rPr>
            </w:pPr>
            <w:r>
              <w:rPr>
                <w:rFonts w:hint="eastAsia" w:hAnsi="宋体"/>
                <w:b/>
                <w:color w:val="auto"/>
                <w:highlight w:val="none"/>
                <w:lang w:val="en-US" w:eastAsia="zh-CN"/>
              </w:rPr>
              <w:t>Nº</w:t>
            </w:r>
          </w:p>
        </w:tc>
        <w:tc>
          <w:tcPr>
            <w:tcW w:w="1765" w:type="dxa"/>
            <w:noWrap w:val="0"/>
            <w:vAlign w:val="center"/>
          </w:tcPr>
          <w:p w14:paraId="423ED612">
            <w:pPr>
              <w:adjustRightInd w:val="0"/>
              <w:snapToGrid w:val="0"/>
              <w:jc w:val="center"/>
              <w:rPr>
                <w:rFonts w:hAnsi="宋体"/>
                <w:b/>
                <w:color w:val="auto"/>
                <w:highlight w:val="none"/>
              </w:rPr>
            </w:pPr>
            <w:r>
              <w:rPr>
                <w:rFonts w:hAnsi="宋体"/>
                <w:b/>
                <w:color w:val="auto"/>
                <w:highlight w:val="none"/>
              </w:rPr>
              <w:t>条款名称</w:t>
            </w:r>
          </w:p>
          <w:p w14:paraId="687997B6">
            <w:pPr>
              <w:adjustRightInd w:val="0"/>
              <w:snapToGrid w:val="0"/>
              <w:jc w:val="center"/>
              <w:rPr>
                <w:rFonts w:hAnsi="宋体"/>
                <w:b/>
                <w:color w:val="auto"/>
                <w:highlight w:val="none"/>
              </w:rPr>
            </w:pPr>
            <w:r>
              <w:rPr>
                <w:rFonts w:hint="eastAsia" w:hAnsi="宋体"/>
                <w:b/>
                <w:color w:val="auto"/>
                <w:highlight w:val="none"/>
              </w:rPr>
              <w:t>Nom de l'article</w:t>
            </w:r>
          </w:p>
        </w:tc>
        <w:tc>
          <w:tcPr>
            <w:tcW w:w="5819" w:type="dxa"/>
            <w:gridSpan w:val="2"/>
            <w:noWrap w:val="0"/>
            <w:vAlign w:val="center"/>
          </w:tcPr>
          <w:p w14:paraId="50CD986A">
            <w:pPr>
              <w:adjustRightInd w:val="0"/>
              <w:snapToGrid w:val="0"/>
              <w:jc w:val="center"/>
              <w:rPr>
                <w:rFonts w:hAnsi="宋体"/>
                <w:b/>
                <w:color w:val="auto"/>
                <w:highlight w:val="none"/>
              </w:rPr>
            </w:pPr>
            <w:r>
              <w:rPr>
                <w:rFonts w:hAnsi="宋体"/>
                <w:b/>
                <w:color w:val="auto"/>
                <w:highlight w:val="none"/>
              </w:rPr>
              <w:t>编  列  内  容</w:t>
            </w:r>
          </w:p>
          <w:p w14:paraId="403B2A77">
            <w:pPr>
              <w:adjustRightInd w:val="0"/>
              <w:snapToGrid w:val="0"/>
              <w:jc w:val="center"/>
              <w:rPr>
                <w:rFonts w:hAnsi="宋体"/>
                <w:b/>
                <w:color w:val="auto"/>
                <w:highlight w:val="none"/>
              </w:rPr>
            </w:pPr>
            <w:r>
              <w:rPr>
                <w:rFonts w:hint="eastAsia" w:hAnsi="宋体"/>
                <w:b/>
                <w:color w:val="auto"/>
                <w:highlight w:val="none"/>
              </w:rPr>
              <w:t>Contenu</w:t>
            </w:r>
            <w:r>
              <w:rPr>
                <w:rFonts w:hint="eastAsia" w:hAnsi="宋体"/>
                <w:b/>
                <w:color w:val="auto"/>
                <w:highlight w:val="none"/>
              </w:rPr>
              <w:tab/>
            </w:r>
            <w:r>
              <w:rPr>
                <w:rFonts w:hint="eastAsia" w:hAnsi="宋体"/>
                <w:b/>
                <w:color w:val="auto"/>
                <w:highlight w:val="none"/>
              </w:rPr>
              <w:t xml:space="preserve"> </w:t>
            </w:r>
          </w:p>
        </w:tc>
        <w:tc>
          <w:tcPr>
            <w:tcW w:w="933" w:type="dxa"/>
            <w:noWrap w:val="0"/>
            <w:vAlign w:val="center"/>
          </w:tcPr>
          <w:p w14:paraId="369C8E31">
            <w:pPr>
              <w:adjustRightInd w:val="0"/>
              <w:snapToGrid w:val="0"/>
              <w:jc w:val="center"/>
              <w:rPr>
                <w:rFonts w:hint="eastAsia" w:hAnsi="宋体"/>
                <w:b/>
                <w:color w:val="auto"/>
                <w:highlight w:val="none"/>
              </w:rPr>
            </w:pPr>
            <w:r>
              <w:rPr>
                <w:rFonts w:hAnsi="宋体"/>
                <w:b/>
                <w:color w:val="auto"/>
                <w:highlight w:val="none"/>
              </w:rPr>
              <w:t>条款号</w:t>
            </w:r>
            <w:r>
              <w:rPr>
                <w:rFonts w:hint="eastAsia" w:hAnsi="宋体"/>
                <w:b/>
                <w:color w:val="auto"/>
                <w:highlight w:val="none"/>
              </w:rPr>
              <w:t>Nº de l'article</w:t>
            </w:r>
          </w:p>
          <w:p w14:paraId="12A6CF8B">
            <w:pPr>
              <w:pStyle w:val="20"/>
              <w:rPr>
                <w:color w:val="auto"/>
                <w:highlight w:val="none"/>
              </w:rPr>
            </w:pPr>
          </w:p>
        </w:tc>
      </w:tr>
      <w:tr w14:paraId="03A00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760A9E5F">
            <w:pPr>
              <w:numPr>
                <w:ilvl w:val="0"/>
                <w:numId w:val="2"/>
              </w:numPr>
              <w:adjustRightInd w:val="0"/>
              <w:snapToGrid w:val="0"/>
              <w:ind w:left="0" w:leftChars="0" w:firstLine="170" w:firstLineChars="0"/>
              <w:jc w:val="center"/>
              <w:rPr>
                <w:rFonts w:hint="eastAsia" w:hAnsi="宋体" w:eastAsia="宋体"/>
                <w:color w:val="auto"/>
                <w:highlight w:val="none"/>
                <w:lang w:eastAsia="zh-CN"/>
              </w:rPr>
            </w:pPr>
          </w:p>
        </w:tc>
        <w:tc>
          <w:tcPr>
            <w:tcW w:w="1765" w:type="dxa"/>
            <w:noWrap w:val="0"/>
            <w:vAlign w:val="center"/>
          </w:tcPr>
          <w:p w14:paraId="2EB715F5">
            <w:pPr>
              <w:adjustRightInd w:val="0"/>
              <w:snapToGrid w:val="0"/>
              <w:jc w:val="center"/>
              <w:rPr>
                <w:rFonts w:hint="eastAsia" w:hAnsi="宋体"/>
                <w:color w:val="auto"/>
                <w:highlight w:val="none"/>
              </w:rPr>
            </w:pPr>
            <w:r>
              <w:rPr>
                <w:rFonts w:hint="eastAsia" w:hAnsi="宋体"/>
                <w:color w:val="auto"/>
                <w:highlight w:val="none"/>
                <w:lang w:val="en-US" w:eastAsia="zh-CN"/>
              </w:rPr>
              <w:t>采购</w:t>
            </w:r>
            <w:r>
              <w:rPr>
                <w:rFonts w:hint="eastAsia" w:hAnsi="宋体"/>
                <w:color w:val="auto"/>
                <w:highlight w:val="none"/>
              </w:rPr>
              <w:t>人</w:t>
            </w:r>
          </w:p>
          <w:p w14:paraId="5AA0011B">
            <w:pPr>
              <w:pStyle w:val="20"/>
              <w:jc w:val="center"/>
              <w:rPr>
                <w:rFonts w:hint="eastAsia"/>
                <w:color w:val="auto"/>
                <w:highlight w:val="none"/>
              </w:rPr>
            </w:pPr>
            <w:r>
              <w:rPr>
                <w:rFonts w:hint="eastAsia"/>
                <w:color w:val="auto"/>
                <w:highlight w:val="none"/>
              </w:rPr>
              <w:t>Acheteur</w:t>
            </w:r>
          </w:p>
        </w:tc>
        <w:tc>
          <w:tcPr>
            <w:tcW w:w="5819" w:type="dxa"/>
            <w:gridSpan w:val="2"/>
            <w:noWrap w:val="0"/>
            <w:vAlign w:val="center"/>
          </w:tcPr>
          <w:p w14:paraId="28EA62E6">
            <w:pPr>
              <w:adjustRightInd w:val="0"/>
              <w:snapToGrid w:val="0"/>
              <w:rPr>
                <w:rFonts w:hint="eastAsia" w:ascii="宋体" w:hAnsi="宋体"/>
                <w:b/>
                <w:sz w:val="30"/>
                <w:szCs w:val="22"/>
                <w:lang w:val="en-US" w:eastAsia="zh-CN"/>
              </w:rPr>
            </w:pPr>
            <w:r>
              <w:rPr>
                <w:rFonts w:hint="eastAsia" w:ascii="Calibri" w:hAnsi="Calibri"/>
                <w:b w:val="0"/>
                <w:kern w:val="0"/>
                <w:sz w:val="22"/>
                <w:szCs w:val="20"/>
                <w:lang w:eastAsia="en-US"/>
              </w:rPr>
              <w:t>国家电投集团铝电投资有限公司</w:t>
            </w:r>
            <w:r>
              <w:rPr>
                <w:rFonts w:hint="eastAsia" w:ascii="宋体" w:hAnsi="宋体"/>
                <w:b/>
                <w:sz w:val="30"/>
                <w:szCs w:val="22"/>
                <w:lang w:val="en-US" w:eastAsia="zh-CN"/>
              </w:rPr>
              <w:t xml:space="preserve">      </w:t>
            </w:r>
          </w:p>
          <w:p w14:paraId="250D0A33">
            <w:pPr>
              <w:adjustRightInd w:val="0"/>
              <w:snapToGrid w:val="0"/>
              <w:rPr>
                <w:rFonts w:hAnsi="宋体"/>
                <w:color w:val="auto"/>
                <w:highlight w:val="none"/>
              </w:rPr>
            </w:pPr>
            <w:r>
              <w:rPr>
                <w:rFonts w:hint="eastAsia"/>
              </w:rPr>
              <w:t>SPIC Aluminum &amp; Power Investment Co., Ltd.</w:t>
            </w:r>
          </w:p>
        </w:tc>
        <w:tc>
          <w:tcPr>
            <w:tcW w:w="933" w:type="dxa"/>
            <w:noWrap w:val="0"/>
            <w:vAlign w:val="center"/>
          </w:tcPr>
          <w:p w14:paraId="79DA7BD6">
            <w:pPr>
              <w:adjustRightInd w:val="0"/>
              <w:snapToGrid w:val="0"/>
              <w:jc w:val="center"/>
              <w:rPr>
                <w:rFonts w:hint="eastAsia" w:hAnsi="宋体"/>
                <w:color w:val="auto"/>
                <w:highlight w:val="none"/>
              </w:rPr>
            </w:pPr>
            <w:r>
              <w:rPr>
                <w:rFonts w:hint="eastAsia" w:hAnsi="宋体"/>
                <w:color w:val="auto"/>
                <w:highlight w:val="none"/>
                <w:lang w:val="en-US" w:eastAsia="zh-CN"/>
              </w:rPr>
              <w:t>1.1.1</w:t>
            </w:r>
          </w:p>
        </w:tc>
      </w:tr>
      <w:tr w14:paraId="69FBCE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205AAEC9">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09C5D13D">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项目单位</w:t>
            </w:r>
          </w:p>
          <w:p w14:paraId="22C67EF6">
            <w:pPr>
              <w:pStyle w:val="20"/>
              <w:jc w:val="center"/>
              <w:rPr>
                <w:rFonts w:hint="default"/>
                <w:color w:val="auto"/>
                <w:highlight w:val="none"/>
                <w:lang w:val="en-US" w:eastAsia="zh-CN"/>
              </w:rPr>
            </w:pPr>
            <w:r>
              <w:rPr>
                <w:rFonts w:hint="default"/>
                <w:color w:val="auto"/>
                <w:highlight w:val="none"/>
                <w:lang w:val="en-US" w:eastAsia="zh-CN"/>
              </w:rPr>
              <w:t>Société de projet</w:t>
            </w:r>
          </w:p>
        </w:tc>
        <w:tc>
          <w:tcPr>
            <w:tcW w:w="5819" w:type="dxa"/>
            <w:gridSpan w:val="2"/>
            <w:noWrap w:val="0"/>
            <w:vAlign w:val="center"/>
          </w:tcPr>
          <w:p w14:paraId="5C906CDA">
            <w:pPr>
              <w:adjustRightInd w:val="0"/>
              <w:snapToGrid w:val="0"/>
              <w:ind w:left="2520" w:hanging="2640" w:hangingChars="1200"/>
              <w:jc w:val="left"/>
              <w:rPr>
                <w:rFonts w:hint="eastAsia" w:ascii="Calibri" w:hAnsi="Calibri"/>
                <w:kern w:val="0"/>
                <w:sz w:val="22"/>
                <w:lang w:eastAsia="en-US"/>
              </w:rPr>
            </w:pPr>
            <w:r>
              <w:rPr>
                <w:rFonts w:hint="eastAsia" w:ascii="Calibri" w:hAnsi="Calibri"/>
                <w:kern w:val="0"/>
                <w:sz w:val="22"/>
                <w:lang w:eastAsia="en-US"/>
              </w:rPr>
              <w:t>几内亚高丽亚矿山股份有限公司</w:t>
            </w:r>
          </w:p>
          <w:p w14:paraId="59A52C37">
            <w:pPr>
              <w:adjustRightInd w:val="0"/>
              <w:snapToGrid w:val="0"/>
              <w:ind w:left="2520" w:hanging="2520" w:hangingChars="1200"/>
              <w:jc w:val="left"/>
              <w:rPr>
                <w:rFonts w:hint="eastAsia" w:hAnsi="宋体"/>
                <w:color w:val="auto"/>
                <w:highlight w:val="none"/>
              </w:rPr>
            </w:pPr>
            <w:r>
              <w:rPr>
                <w:rFonts w:hint="eastAsia"/>
              </w:rPr>
              <w:t>Guinea Colia Mining S.A.</w:t>
            </w:r>
          </w:p>
        </w:tc>
        <w:tc>
          <w:tcPr>
            <w:tcW w:w="933" w:type="dxa"/>
            <w:noWrap w:val="0"/>
            <w:vAlign w:val="center"/>
          </w:tcPr>
          <w:p w14:paraId="6BDBED8A">
            <w:pPr>
              <w:adjustRightInd w:val="0"/>
              <w:snapToGrid w:val="0"/>
              <w:jc w:val="center"/>
              <w:rPr>
                <w:rFonts w:hint="eastAsia" w:ascii="宋体" w:hAnsi="宋体" w:eastAsia="宋体"/>
                <w:color w:val="auto"/>
                <w:szCs w:val="21"/>
                <w:highlight w:val="none"/>
                <w:lang w:val="en-US" w:eastAsia="zh-CN"/>
              </w:rPr>
            </w:pPr>
            <w:r>
              <w:rPr>
                <w:rFonts w:hint="eastAsia" w:hAnsi="宋体"/>
                <w:color w:val="auto"/>
                <w:highlight w:val="none"/>
                <w:lang w:val="en-US" w:eastAsia="zh-CN"/>
              </w:rPr>
              <w:t>1.1.2</w:t>
            </w:r>
          </w:p>
        </w:tc>
      </w:tr>
      <w:tr w14:paraId="4753F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3A6A1E69">
            <w:pPr>
              <w:numPr>
                <w:ilvl w:val="0"/>
                <w:numId w:val="2"/>
              </w:numPr>
              <w:adjustRightInd w:val="0"/>
              <w:snapToGrid w:val="0"/>
              <w:ind w:left="0" w:leftChars="0" w:firstLine="170" w:firstLineChars="0"/>
              <w:jc w:val="center"/>
              <w:rPr>
                <w:rFonts w:hint="eastAsia" w:hAnsi="宋体" w:eastAsia="宋体"/>
                <w:color w:val="auto"/>
                <w:highlight w:val="none"/>
                <w:lang w:eastAsia="zh-CN"/>
              </w:rPr>
            </w:pPr>
          </w:p>
        </w:tc>
        <w:tc>
          <w:tcPr>
            <w:tcW w:w="1765" w:type="dxa"/>
            <w:noWrap w:val="0"/>
            <w:vAlign w:val="center"/>
          </w:tcPr>
          <w:p w14:paraId="775B34EC">
            <w:pPr>
              <w:adjustRightInd w:val="0"/>
              <w:snapToGrid w:val="0"/>
              <w:jc w:val="center"/>
              <w:rPr>
                <w:rFonts w:hAnsi="宋体"/>
                <w:color w:val="auto"/>
                <w:highlight w:val="none"/>
              </w:rPr>
            </w:pPr>
            <w:r>
              <w:rPr>
                <w:rFonts w:hAnsi="宋体"/>
                <w:color w:val="auto"/>
                <w:highlight w:val="none"/>
              </w:rPr>
              <w:t>项目名称</w:t>
            </w:r>
          </w:p>
          <w:p w14:paraId="0E203842">
            <w:pPr>
              <w:pStyle w:val="20"/>
              <w:jc w:val="center"/>
              <w:rPr>
                <w:color w:val="auto"/>
                <w:highlight w:val="none"/>
              </w:rPr>
            </w:pPr>
            <w:r>
              <w:rPr>
                <w:rFonts w:hint="eastAsia"/>
                <w:color w:val="auto"/>
                <w:highlight w:val="none"/>
              </w:rPr>
              <w:t>Nom du projet</w:t>
            </w:r>
          </w:p>
        </w:tc>
        <w:tc>
          <w:tcPr>
            <w:tcW w:w="5819" w:type="dxa"/>
            <w:gridSpan w:val="2"/>
            <w:noWrap w:val="0"/>
            <w:vAlign w:val="center"/>
          </w:tcPr>
          <w:p w14:paraId="1DA5445E">
            <w:pPr>
              <w:pStyle w:val="158"/>
              <w:adjustRightInd w:val="0"/>
              <w:snapToGrid w:val="0"/>
              <w:rPr>
                <w:rFonts w:hint="eastAsia" w:hAnsi="宋体"/>
                <w:color w:val="auto"/>
                <w:highlight w:val="none"/>
                <w:lang w:val="en-US" w:eastAsia="zh-CN"/>
              </w:rPr>
            </w:pPr>
            <w:r>
              <w:rPr>
                <w:rFonts w:hint="eastAsia"/>
              </w:rPr>
              <w:t>几内亚高丽亚矿山股份有限公司</w:t>
            </w:r>
            <w:r>
              <w:rPr>
                <w:rFonts w:hint="eastAsia" w:hAnsi="宋体"/>
                <w:color w:val="auto"/>
                <w:highlight w:val="none"/>
                <w:lang w:val="en-US" w:eastAsia="zh-CN"/>
              </w:rPr>
              <w:t>铝土矿出口代理</w:t>
            </w:r>
            <w:r>
              <w:rPr>
                <w:rFonts w:hint="eastAsia" w:hAnsi="宋体"/>
                <w:color w:val="auto"/>
                <w:highlight w:val="none"/>
              </w:rPr>
              <w:t>服务</w:t>
            </w:r>
            <w:r>
              <w:rPr>
                <w:rFonts w:hint="eastAsia" w:hAnsi="宋体"/>
                <w:color w:val="auto"/>
                <w:highlight w:val="none"/>
                <w:lang w:val="en-US" w:eastAsia="zh-CN"/>
              </w:rPr>
              <w:t>项目</w:t>
            </w:r>
          </w:p>
          <w:p w14:paraId="2B83DC76">
            <w:pPr>
              <w:pStyle w:val="158"/>
              <w:adjustRightInd w:val="0"/>
              <w:snapToGrid w:val="0"/>
              <w:rPr>
                <w:rFonts w:hint="eastAsia" w:hAnsi="宋体" w:eastAsia="宋体"/>
                <w:color w:val="auto"/>
                <w:highlight w:val="none"/>
                <w:lang w:val="en-US" w:eastAsia="zh-CN"/>
              </w:rPr>
            </w:pPr>
            <w:r>
              <w:rPr>
                <w:rFonts w:hint="eastAsia" w:ascii="Times New Roman" w:hAnsi="Times New Roman" w:eastAsia="宋体" w:cs="Times New Roman"/>
                <w:color w:val="auto"/>
                <w:kern w:val="2"/>
                <w:sz w:val="21"/>
                <w:highlight w:val="none"/>
                <w:lang w:val="en-US" w:eastAsia="zh-CN" w:bidi="ar-SA"/>
              </w:rPr>
              <w:t>Projet de service de l'agence d'exportation de bauxite</w:t>
            </w:r>
            <w:r>
              <w:rPr>
                <w:rFonts w:hint="eastAsia" w:ascii="Times New Roman" w:hAnsi="Times New Roman" w:cs="Times New Roman"/>
                <w:color w:val="auto"/>
                <w:kern w:val="2"/>
                <w:sz w:val="21"/>
                <w:highlight w:val="none"/>
                <w:lang w:val="en-US" w:eastAsia="zh-CN" w:bidi="ar-SA"/>
              </w:rPr>
              <w:t xml:space="preserve"> </w:t>
            </w:r>
            <w:r>
              <w:rPr>
                <w:rFonts w:hint="eastAsia" w:ascii="Times New Roman" w:hAnsi="Times New Roman" w:eastAsia="宋体" w:cs="Times New Roman"/>
                <w:color w:val="auto"/>
                <w:kern w:val="2"/>
                <w:sz w:val="21"/>
                <w:highlight w:val="none"/>
                <w:lang w:val="en-US" w:eastAsia="zh-CN" w:bidi="ar-SA"/>
              </w:rPr>
              <w:t>de</w:t>
            </w:r>
            <w:r>
              <w:rPr>
                <w:rFonts w:hint="eastAsia" w:ascii="Times New Roman" w:hAnsi="Times New Roman" w:cs="Times New Roman"/>
                <w:color w:val="auto"/>
                <w:kern w:val="2"/>
                <w:sz w:val="21"/>
                <w:highlight w:val="none"/>
                <w:lang w:val="en-US" w:eastAsia="zh-CN" w:bidi="ar-SA"/>
              </w:rPr>
              <w:t xml:space="preserve"> </w:t>
            </w:r>
            <w:r>
              <w:rPr>
                <w:rFonts w:hint="eastAsia"/>
              </w:rPr>
              <w:t>Guinea Colia Mining S.A.</w:t>
            </w:r>
          </w:p>
        </w:tc>
        <w:tc>
          <w:tcPr>
            <w:tcW w:w="933" w:type="dxa"/>
            <w:noWrap w:val="0"/>
            <w:vAlign w:val="center"/>
          </w:tcPr>
          <w:p w14:paraId="74FC16C5">
            <w:pPr>
              <w:adjustRightInd w:val="0"/>
              <w:snapToGrid w:val="0"/>
              <w:jc w:val="center"/>
              <w:rPr>
                <w:rFonts w:hint="eastAsia" w:ascii="宋体" w:hAnsi="宋体" w:eastAsia="宋体"/>
                <w:color w:val="auto"/>
                <w:szCs w:val="21"/>
                <w:highlight w:val="none"/>
                <w:lang w:val="en-US" w:eastAsia="zh-CN"/>
              </w:rPr>
            </w:pPr>
            <w:r>
              <w:rPr>
                <w:rFonts w:hint="eastAsia" w:hAnsi="宋体"/>
                <w:color w:val="auto"/>
                <w:highlight w:val="none"/>
                <w:lang w:val="en-US" w:eastAsia="zh-CN"/>
              </w:rPr>
              <w:t>1.1.3</w:t>
            </w:r>
          </w:p>
        </w:tc>
      </w:tr>
      <w:tr w14:paraId="55E65F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027702CD">
            <w:pPr>
              <w:numPr>
                <w:ilvl w:val="0"/>
                <w:numId w:val="2"/>
              </w:numPr>
              <w:adjustRightInd w:val="0"/>
              <w:snapToGrid w:val="0"/>
              <w:ind w:left="0" w:leftChars="0" w:firstLine="170" w:firstLineChars="0"/>
              <w:jc w:val="both"/>
              <w:rPr>
                <w:rFonts w:hint="eastAsia" w:hAnsi="宋体" w:eastAsia="宋体"/>
                <w:color w:val="auto"/>
                <w:highlight w:val="none"/>
                <w:lang w:eastAsia="zh-CN"/>
              </w:rPr>
            </w:pPr>
          </w:p>
        </w:tc>
        <w:tc>
          <w:tcPr>
            <w:tcW w:w="1765" w:type="dxa"/>
            <w:noWrap w:val="0"/>
            <w:vAlign w:val="center"/>
          </w:tcPr>
          <w:p w14:paraId="5B6D0F1F">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项目地点</w:t>
            </w:r>
          </w:p>
          <w:p w14:paraId="29F3FBC9">
            <w:pPr>
              <w:pStyle w:val="20"/>
              <w:jc w:val="center"/>
              <w:rPr>
                <w:rFonts w:hint="default"/>
                <w:color w:val="auto"/>
                <w:highlight w:val="none"/>
                <w:lang w:val="fr-FR" w:eastAsia="zh-CN"/>
              </w:rPr>
            </w:pPr>
            <w:r>
              <w:rPr>
                <w:rFonts w:hint="eastAsia"/>
                <w:color w:val="auto"/>
                <w:highlight w:val="none"/>
                <w:lang w:val="en-US" w:eastAsia="zh-CN"/>
              </w:rPr>
              <w:t>L</w:t>
            </w:r>
            <w:r>
              <w:rPr>
                <w:rFonts w:hint="default"/>
                <w:color w:val="auto"/>
                <w:highlight w:val="none"/>
                <w:lang w:val="fr-FR" w:eastAsia="zh-CN"/>
              </w:rPr>
              <w:t>ieu de projet</w:t>
            </w:r>
          </w:p>
        </w:tc>
        <w:tc>
          <w:tcPr>
            <w:tcW w:w="5819" w:type="dxa"/>
            <w:gridSpan w:val="2"/>
            <w:noWrap w:val="0"/>
            <w:vAlign w:val="center"/>
          </w:tcPr>
          <w:p w14:paraId="27BDA4F6">
            <w:pPr>
              <w:pStyle w:val="158"/>
              <w:adjustRightInd w:val="0"/>
              <w:snapToGrid w:val="0"/>
              <w:rPr>
                <w:rFonts w:hint="eastAsia" w:ascii="宋体" w:hAnsi="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几内亚博法</w:t>
            </w:r>
          </w:p>
          <w:p w14:paraId="02FC2BA6">
            <w:pPr>
              <w:pStyle w:val="158"/>
              <w:adjustRightInd w:val="0"/>
              <w:snapToGrid w:val="0"/>
              <w:rPr>
                <w:rFonts w:hint="default" w:ascii="宋体" w:hAnsi="宋体" w:eastAsia="宋体"/>
                <w:color w:val="auto"/>
                <w:szCs w:val="21"/>
                <w:highlight w:val="none"/>
                <w:lang w:val="en-US" w:eastAsia="zh-CN"/>
              </w:rPr>
            </w:pPr>
            <w:r>
              <w:rPr>
                <w:rFonts w:hint="default" w:ascii="Times New Roman" w:hAnsi="Times New Roman" w:cs="Times New Roman"/>
                <w:color w:val="auto"/>
                <w:highlight w:val="none"/>
                <w:u w:val="none"/>
                <w:lang w:val="en-US" w:eastAsia="zh-Hans"/>
              </w:rPr>
              <w:t>Bof</w:t>
            </w:r>
            <w:r>
              <w:rPr>
                <w:rFonts w:hint="default" w:ascii="Times New Roman" w:hAnsi="Times New Roman" w:cs="Times New Roman"/>
                <w:color w:val="auto"/>
                <w:highlight w:val="none"/>
                <w:u w:val="none"/>
                <w:lang w:val="en-US" w:eastAsia="zh-CN"/>
              </w:rPr>
              <w:t>f</w:t>
            </w:r>
            <w:r>
              <w:rPr>
                <w:rFonts w:hint="default" w:ascii="Times New Roman" w:hAnsi="Times New Roman" w:cs="Times New Roman"/>
                <w:color w:val="auto"/>
                <w:highlight w:val="none"/>
                <w:u w:val="none"/>
                <w:lang w:val="en-US" w:eastAsia="zh-Hans"/>
              </w:rPr>
              <w:t>a, République de Guinée</w:t>
            </w:r>
          </w:p>
        </w:tc>
        <w:tc>
          <w:tcPr>
            <w:tcW w:w="933" w:type="dxa"/>
            <w:noWrap w:val="0"/>
            <w:vAlign w:val="center"/>
          </w:tcPr>
          <w:p w14:paraId="76C5F308">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w:t>
            </w:r>
          </w:p>
        </w:tc>
      </w:tr>
      <w:tr w14:paraId="67273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56FB6E37">
            <w:pPr>
              <w:numPr>
                <w:ilvl w:val="0"/>
                <w:numId w:val="2"/>
              </w:numPr>
              <w:adjustRightInd w:val="0"/>
              <w:snapToGrid w:val="0"/>
              <w:ind w:left="0" w:leftChars="0" w:firstLine="170" w:firstLineChars="0"/>
              <w:jc w:val="center"/>
              <w:rPr>
                <w:rFonts w:hint="eastAsia" w:hAnsi="宋体" w:eastAsia="宋体"/>
                <w:color w:val="auto"/>
                <w:highlight w:val="none"/>
                <w:lang w:eastAsia="zh-CN"/>
              </w:rPr>
            </w:pPr>
          </w:p>
        </w:tc>
        <w:tc>
          <w:tcPr>
            <w:tcW w:w="1765" w:type="dxa"/>
            <w:noWrap w:val="0"/>
            <w:vAlign w:val="center"/>
          </w:tcPr>
          <w:p w14:paraId="0AB79861">
            <w:pPr>
              <w:spacing w:line="360" w:lineRule="auto"/>
              <w:ind w:firstLine="480"/>
              <w:jc w:val="center"/>
              <w:rPr>
                <w:rFonts w:hint="eastAsia" w:hAnsi="宋体"/>
                <w:color w:val="auto"/>
                <w:highlight w:val="none"/>
                <w:lang w:eastAsia="zh-CN"/>
              </w:rPr>
            </w:pPr>
            <w:r>
              <w:rPr>
                <w:rFonts w:hint="eastAsia" w:hAnsi="宋体"/>
                <w:color w:val="auto"/>
                <w:highlight w:val="none"/>
                <w:lang w:eastAsia="zh-CN"/>
              </w:rPr>
              <w:t>采购范围</w:t>
            </w:r>
            <w:r>
              <w:rPr>
                <w:rFonts w:hint="default" w:ascii="Times New Roman" w:hAnsi="Times New Roman" w:cs="Times New Roman"/>
                <w:color w:val="auto"/>
                <w:highlight w:val="none"/>
              </w:rPr>
              <w:t>Champ d</w:t>
            </w:r>
            <w:r>
              <w:rPr>
                <w:rFonts w:hint="default" w:ascii="Times New Roman" w:hAnsi="Times New Roman" w:cs="Times New Roman"/>
                <w:color w:val="auto"/>
                <w:highlight w:val="none"/>
                <w:lang w:val="fr-FR"/>
              </w:rPr>
              <w:t>’</w:t>
            </w:r>
            <w:r>
              <w:rPr>
                <w:rFonts w:hint="default" w:ascii="Times New Roman" w:hAnsi="Times New Roman" w:cs="Times New Roman"/>
                <w:color w:val="auto"/>
                <w:highlight w:val="none"/>
              </w:rPr>
              <w:t>appel d</w:t>
            </w:r>
            <w:r>
              <w:rPr>
                <w:rFonts w:hint="default" w:ascii="Times New Roman" w:hAnsi="Times New Roman" w:cs="Times New Roman"/>
                <w:color w:val="auto"/>
                <w:highlight w:val="none"/>
                <w:lang w:val="fr-FR"/>
              </w:rPr>
              <w:t>’</w:t>
            </w:r>
            <w:r>
              <w:rPr>
                <w:rFonts w:hint="default" w:ascii="Times New Roman" w:hAnsi="Times New Roman" w:cs="Times New Roman"/>
                <w:color w:val="auto"/>
                <w:highlight w:val="none"/>
              </w:rPr>
              <w:t>offres</w:t>
            </w:r>
          </w:p>
          <w:p w14:paraId="4F51F2B3">
            <w:pPr>
              <w:pStyle w:val="20"/>
              <w:jc w:val="center"/>
              <w:rPr>
                <w:rFonts w:hint="default"/>
                <w:color w:val="auto"/>
                <w:highlight w:val="none"/>
                <w:lang w:val="fr-FR" w:eastAsia="zh-CN"/>
              </w:rPr>
            </w:pPr>
          </w:p>
        </w:tc>
        <w:tc>
          <w:tcPr>
            <w:tcW w:w="5819" w:type="dxa"/>
            <w:gridSpan w:val="2"/>
            <w:noWrap w:val="0"/>
            <w:vAlign w:val="center"/>
          </w:tcPr>
          <w:p w14:paraId="5FBC034A">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（1）根据客户要求完成铝土矿的出口的报关工作；</w:t>
            </w:r>
          </w:p>
          <w:p w14:paraId="3EF1BFAC">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（2）根据客户的要求开展铝土矿出口税申报工作，帮助客户简化和办理税费付款程序，取得出口税申报及办理过程资料，获取完税证明；</w:t>
            </w:r>
          </w:p>
          <w:p w14:paraId="58EABC63">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（3）工作内容包括但不限于与铝土矿出口有关的其他附带工作任务、谈判、相关的咨询和技术支撑；</w:t>
            </w:r>
          </w:p>
          <w:p w14:paraId="61DE82FD">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（4）投标人保证所有办理的手续和程序符合几内亚现行法律法规和其他相关行政文件要求；详见第二章委托人要求。</w:t>
            </w:r>
          </w:p>
          <w:p w14:paraId="429C1E85">
            <w:pPr>
              <w:tabs>
                <w:tab w:val="left" w:pos="5670"/>
              </w:tabs>
              <w:adjustRightInd w:val="0"/>
              <w:snapToGrid w:val="0"/>
              <w:rPr>
                <w:rFonts w:hint="default" w:ascii="Times New Roman" w:hAnsi="Times New Roman" w:eastAsia="宋体" w:cs="Times New Roman"/>
                <w:color w:val="auto"/>
                <w:kern w:val="2"/>
                <w:sz w:val="21"/>
                <w:highlight w:val="none"/>
                <w:lang w:val="fr-FR" w:eastAsia="zh-CN" w:bidi="ar-SA"/>
              </w:rPr>
            </w:pPr>
            <w:r>
              <w:rPr>
                <w:rFonts w:hint="default" w:ascii="Times New Roman" w:hAnsi="Times New Roman" w:eastAsia="宋体" w:cs="Times New Roman"/>
                <w:color w:val="auto"/>
                <w:kern w:val="2"/>
                <w:sz w:val="21"/>
                <w:highlight w:val="none"/>
                <w:lang w:val="fr-FR" w:eastAsia="zh-CN" w:bidi="ar-SA"/>
              </w:rPr>
              <w:t xml:space="preserve">(1) Effectuer les démarches douanières relatives à l'exportation de bauxite conformément aux exigences du client ; </w:t>
            </w:r>
          </w:p>
          <w:p w14:paraId="38D6AFD1">
            <w:pPr>
              <w:tabs>
                <w:tab w:val="left" w:pos="5670"/>
              </w:tabs>
              <w:adjustRightInd w:val="0"/>
              <w:snapToGrid w:val="0"/>
              <w:rPr>
                <w:rFonts w:hint="default" w:ascii="Times New Roman" w:hAnsi="Times New Roman" w:eastAsia="宋体" w:cs="Times New Roman"/>
                <w:color w:val="auto"/>
                <w:kern w:val="2"/>
                <w:sz w:val="21"/>
                <w:highlight w:val="none"/>
                <w:lang w:val="fr-FR" w:eastAsia="zh-CN" w:bidi="ar-SA"/>
              </w:rPr>
            </w:pPr>
            <w:r>
              <w:rPr>
                <w:rFonts w:hint="default" w:ascii="Times New Roman" w:hAnsi="Times New Roman" w:eastAsia="宋体" w:cs="Times New Roman"/>
                <w:color w:val="auto"/>
                <w:kern w:val="2"/>
                <w:sz w:val="21"/>
                <w:highlight w:val="none"/>
                <w:lang w:val="fr-FR" w:eastAsia="zh-CN" w:bidi="ar-SA"/>
              </w:rPr>
              <w:t xml:space="preserve">(2) Gérer la déclaration fiscale sur l'exportation de bauxite selon les demandes du client, aider le client à simplifier et à effectuer les procédures de paiement des taxes et frais, obtenir les documents nécessaires à la déclaration et au traitement de cette procédure, ainsi que le certificat de paiement des taxes ; </w:t>
            </w:r>
          </w:p>
          <w:p w14:paraId="3AADE28B">
            <w:pPr>
              <w:tabs>
                <w:tab w:val="left" w:pos="5670"/>
              </w:tabs>
              <w:adjustRightInd w:val="0"/>
              <w:snapToGrid w:val="0"/>
              <w:rPr>
                <w:rFonts w:hint="default" w:ascii="Times New Roman" w:hAnsi="Times New Roman" w:eastAsia="宋体" w:cs="Times New Roman"/>
                <w:color w:val="auto"/>
                <w:kern w:val="2"/>
                <w:sz w:val="21"/>
                <w:highlight w:val="none"/>
                <w:lang w:val="fr-FR" w:eastAsia="zh-CN" w:bidi="ar-SA"/>
              </w:rPr>
            </w:pPr>
            <w:r>
              <w:rPr>
                <w:rFonts w:hint="default" w:ascii="Times New Roman" w:hAnsi="Times New Roman" w:eastAsia="宋体" w:cs="Times New Roman"/>
                <w:color w:val="auto"/>
                <w:kern w:val="2"/>
                <w:sz w:val="21"/>
                <w:highlight w:val="none"/>
                <w:lang w:val="fr-FR" w:eastAsia="zh-CN" w:bidi="ar-SA"/>
              </w:rPr>
              <w:t xml:space="preserve">(3) Les tâches comprennent notamment d'autres missions annexes liées à l'exportation de bauxite, ainsi que des négociations, des consultations et un soutien technique ; </w:t>
            </w:r>
          </w:p>
          <w:p w14:paraId="23A4BA9E">
            <w:pPr>
              <w:tabs>
                <w:tab w:val="left" w:pos="5670"/>
              </w:tabs>
              <w:adjustRightInd w:val="0"/>
              <w:snapToGrid w:val="0"/>
              <w:rPr>
                <w:rFonts w:hint="default" w:hAnsi="宋体" w:eastAsia="宋体"/>
                <w:color w:val="auto"/>
                <w:highlight w:val="none"/>
                <w:lang w:val="fr-FR" w:eastAsia="zh-CN"/>
              </w:rPr>
            </w:pPr>
            <w:r>
              <w:rPr>
                <w:rFonts w:hint="default" w:ascii="Times New Roman" w:hAnsi="Times New Roman" w:eastAsia="宋体" w:cs="Times New Roman"/>
                <w:color w:val="auto"/>
                <w:kern w:val="2"/>
                <w:sz w:val="21"/>
                <w:highlight w:val="none"/>
                <w:lang w:val="fr-FR" w:eastAsia="zh-CN" w:bidi="ar-SA"/>
              </w:rPr>
              <w:t>(4) Le soumissionnaire garantit que toutes les formalités et procédures suivies sont conformes aux lois et réglementations en vigueur en Guinée ainsi qu'à autres documents administratifs pertinents ; voir le chapitre II « Exigences du mandant ».</w:t>
            </w:r>
          </w:p>
        </w:tc>
        <w:tc>
          <w:tcPr>
            <w:tcW w:w="933" w:type="dxa"/>
            <w:noWrap w:val="0"/>
            <w:vAlign w:val="center"/>
          </w:tcPr>
          <w:p w14:paraId="3B7CDBCA">
            <w:pPr>
              <w:adjustRightInd w:val="0"/>
              <w:snapToGrid w:val="0"/>
              <w:jc w:val="center"/>
              <w:rPr>
                <w:rFonts w:hAnsi="宋体"/>
                <w:b/>
                <w:color w:val="auto"/>
                <w:highlight w:val="none"/>
              </w:rPr>
            </w:pPr>
            <w:r>
              <w:rPr>
                <w:rFonts w:hint="eastAsia" w:hAnsi="宋体"/>
                <w:color w:val="auto"/>
                <w:highlight w:val="none"/>
                <w:lang w:val="en-US" w:eastAsia="zh-CN"/>
              </w:rPr>
              <w:t>1.3</w:t>
            </w:r>
          </w:p>
        </w:tc>
      </w:tr>
      <w:tr w14:paraId="3E21BD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48466E79">
            <w:pPr>
              <w:numPr>
                <w:ilvl w:val="0"/>
                <w:numId w:val="2"/>
              </w:numPr>
              <w:adjustRightInd w:val="0"/>
              <w:snapToGrid w:val="0"/>
              <w:ind w:left="0" w:leftChars="0" w:firstLine="170" w:firstLineChars="0"/>
              <w:jc w:val="center"/>
              <w:rPr>
                <w:rFonts w:hint="eastAsia" w:hAnsi="宋体" w:eastAsia="宋体"/>
                <w:color w:val="auto"/>
                <w:highlight w:val="none"/>
                <w:lang w:val="en-US" w:eastAsia="zh-CN"/>
              </w:rPr>
            </w:pPr>
          </w:p>
        </w:tc>
        <w:tc>
          <w:tcPr>
            <w:tcW w:w="1765" w:type="dxa"/>
            <w:noWrap w:val="0"/>
            <w:vAlign w:val="center"/>
          </w:tcPr>
          <w:p w14:paraId="380B2BD0">
            <w:pPr>
              <w:adjustRightInd w:val="0"/>
              <w:snapToGrid w:val="0"/>
              <w:jc w:val="center"/>
              <w:rPr>
                <w:rFonts w:hint="eastAsia" w:hAnsi="宋体" w:eastAsia="宋体"/>
                <w:color w:val="auto"/>
                <w:highlight w:val="none"/>
                <w:lang w:val="en-US" w:eastAsia="zh-CN"/>
              </w:rPr>
            </w:pPr>
            <w:r>
              <w:rPr>
                <w:rFonts w:hint="eastAsia" w:hAnsi="宋体" w:eastAsia="宋体"/>
                <w:color w:val="auto"/>
                <w:highlight w:val="none"/>
                <w:lang w:val="en-US" w:eastAsia="zh-CN"/>
              </w:rPr>
              <w:t>服务期限</w:t>
            </w:r>
          </w:p>
          <w:p w14:paraId="506FB4BE">
            <w:pPr>
              <w:adjustRightInd w:val="0"/>
              <w:snapToGrid w:val="0"/>
              <w:jc w:val="center"/>
              <w:rPr>
                <w:rFonts w:hint="eastAsia" w:hAnsi="宋体" w:eastAsia="宋体"/>
                <w:color w:val="auto"/>
                <w:highlight w:val="none"/>
                <w:lang w:val="en-US" w:eastAsia="zh-CN"/>
              </w:rPr>
            </w:pPr>
            <w:r>
              <w:rPr>
                <w:rFonts w:hint="eastAsia" w:hAnsi="宋体" w:eastAsia="宋体"/>
                <w:color w:val="auto"/>
                <w:highlight w:val="none"/>
                <w:lang w:val="en-US" w:eastAsia="zh-CN"/>
              </w:rPr>
              <w:t>Durée du service</w:t>
            </w:r>
          </w:p>
        </w:tc>
        <w:tc>
          <w:tcPr>
            <w:tcW w:w="5819" w:type="dxa"/>
            <w:gridSpan w:val="2"/>
            <w:noWrap w:val="0"/>
            <w:vAlign w:val="center"/>
          </w:tcPr>
          <w:p w14:paraId="39B0A9D7">
            <w:pPr>
              <w:adjustRightInd w:val="0"/>
              <w:snapToGrid w:val="0"/>
              <w:rPr>
                <w:rFonts w:hint="default" w:ascii="宋体" w:hAnsi="宋体"/>
                <w:color w:val="auto"/>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自合同签订之日起</w:t>
            </w:r>
            <w:r>
              <w:rPr>
                <w:rFonts w:hint="eastAsia" w:ascii="宋体" w:hAnsi="宋体" w:cs="Times New Roman"/>
                <w:color w:val="auto"/>
                <w:kern w:val="2"/>
                <w:sz w:val="21"/>
                <w:szCs w:val="21"/>
                <w:highlight w:val="none"/>
                <w:lang w:val="en-US" w:eastAsia="zh-CN" w:bidi="ar-SA"/>
              </w:rPr>
              <w:t>2年，</w:t>
            </w:r>
            <w:r>
              <w:rPr>
                <w:rFonts w:hint="eastAsia" w:ascii="宋体" w:hAnsi="宋体"/>
                <w:color w:val="auto"/>
                <w:szCs w:val="21"/>
                <w:highlight w:val="none"/>
                <w:lang w:eastAsia="zh-CN"/>
              </w:rPr>
              <w:t>详见第</w:t>
            </w:r>
            <w:r>
              <w:rPr>
                <w:rFonts w:hint="eastAsia" w:ascii="宋体" w:hAnsi="宋体"/>
                <w:color w:val="auto"/>
                <w:szCs w:val="21"/>
                <w:highlight w:val="none"/>
                <w:lang w:val="en-US" w:eastAsia="zh-CN"/>
              </w:rPr>
              <w:t>二</w:t>
            </w:r>
            <w:r>
              <w:rPr>
                <w:rFonts w:hint="eastAsia" w:ascii="宋体" w:hAnsi="宋体"/>
                <w:color w:val="auto"/>
                <w:szCs w:val="21"/>
                <w:highlight w:val="none"/>
                <w:lang w:eastAsia="zh-CN"/>
              </w:rPr>
              <w:t>章委托人要求，</w:t>
            </w:r>
            <w:r>
              <w:rPr>
                <w:rFonts w:hint="eastAsia" w:ascii="宋体" w:hAnsi="宋体"/>
                <w:color w:val="auto"/>
                <w:szCs w:val="21"/>
                <w:highlight w:val="none"/>
                <w:lang w:val="en-US" w:eastAsia="zh-CN"/>
              </w:rPr>
              <w:t>2年合同期。</w:t>
            </w:r>
          </w:p>
          <w:p w14:paraId="7FF8F70F">
            <w:pPr>
              <w:adjustRightInd w:val="0"/>
              <w:snapToGrid w:val="0"/>
              <w:rPr>
                <w:rFonts w:hAnsi="宋体"/>
                <w:color w:val="auto"/>
                <w:highlight w:val="none"/>
              </w:rPr>
            </w:pPr>
            <w:r>
              <w:rPr>
                <w:rFonts w:hint="eastAsia" w:cs="Times New Roman"/>
                <w:color w:val="auto"/>
                <w:szCs w:val="21"/>
                <w:highlight w:val="none"/>
                <w:lang w:val="en-US" w:eastAsia="zh-CN"/>
              </w:rPr>
              <w:t>La période de deux ans à compter de la date de signature du contrat est définie plus précisément dans le chapitre II « Demande du mandant » ; cette période correspond au terme du contrat.</w:t>
            </w:r>
          </w:p>
        </w:tc>
        <w:tc>
          <w:tcPr>
            <w:tcW w:w="933" w:type="dxa"/>
            <w:noWrap w:val="0"/>
            <w:vAlign w:val="center"/>
          </w:tcPr>
          <w:p w14:paraId="52E440AC">
            <w:pPr>
              <w:adjustRightInd w:val="0"/>
              <w:snapToGrid w:val="0"/>
              <w:jc w:val="center"/>
              <w:rPr>
                <w:rFonts w:hint="eastAsia" w:ascii="宋体" w:hAnsi="宋体" w:eastAsia="宋体"/>
                <w:color w:val="auto"/>
                <w:szCs w:val="21"/>
                <w:highlight w:val="none"/>
                <w:lang w:val="en-US" w:eastAsia="zh-CN"/>
              </w:rPr>
            </w:pPr>
            <w:r>
              <w:rPr>
                <w:rFonts w:hint="eastAsia" w:hAnsi="宋体" w:eastAsia="宋体"/>
                <w:color w:val="auto"/>
                <w:highlight w:val="none"/>
                <w:lang w:val="en-US" w:eastAsia="zh-CN"/>
              </w:rPr>
              <w:t>1.4</w:t>
            </w:r>
          </w:p>
        </w:tc>
      </w:tr>
      <w:tr w14:paraId="0767D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01" w:type="dxa"/>
            <w:noWrap w:val="0"/>
            <w:vAlign w:val="center"/>
          </w:tcPr>
          <w:p w14:paraId="25B4CB6C">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072F4517">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质量标准</w:t>
            </w:r>
          </w:p>
          <w:p w14:paraId="203284B2">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Standard de qualité</w:t>
            </w:r>
          </w:p>
        </w:tc>
        <w:tc>
          <w:tcPr>
            <w:tcW w:w="5819" w:type="dxa"/>
            <w:gridSpan w:val="2"/>
            <w:noWrap w:val="0"/>
            <w:vAlign w:val="center"/>
          </w:tcPr>
          <w:p w14:paraId="0F8301D6">
            <w:pPr>
              <w:adjustRightInd w:val="0"/>
              <w:snapToGrid w:val="0"/>
              <w:rPr>
                <w:rFonts w:hint="eastAsia" w:ascii="宋体" w:hAnsi="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 xml:space="preserve">(1) </w:t>
            </w:r>
            <w:r>
              <w:rPr>
                <w:rFonts w:hint="eastAsia" w:ascii="宋体" w:hAnsi="宋体"/>
                <w:color w:val="auto"/>
                <w:szCs w:val="21"/>
                <w:highlight w:val="none"/>
              </w:rPr>
              <w:t>代理应当在要求的期限内</w:t>
            </w:r>
            <w:r>
              <w:rPr>
                <w:rFonts w:hint="eastAsia" w:ascii="宋体" w:hAnsi="宋体"/>
                <w:color w:val="auto"/>
                <w:szCs w:val="21"/>
                <w:highlight w:val="none"/>
                <w:lang w:eastAsia="zh-CN"/>
              </w:rPr>
              <w:t>，</w:t>
            </w:r>
            <w:r>
              <w:rPr>
                <w:rFonts w:hint="eastAsia" w:ascii="宋体" w:hAnsi="宋体"/>
                <w:color w:val="auto"/>
                <w:szCs w:val="21"/>
                <w:highlight w:val="none"/>
              </w:rPr>
              <w:t>完成客户铝土矿出</w:t>
            </w:r>
            <w:r>
              <w:rPr>
                <w:rFonts w:hint="eastAsia" w:ascii="宋体" w:hAnsi="宋体"/>
                <w:color w:val="auto"/>
                <w:szCs w:val="21"/>
                <w:highlight w:val="none"/>
                <w:lang w:val="en-US" w:eastAsia="zh-CN"/>
              </w:rPr>
              <w:t>口所</w:t>
            </w:r>
            <w:r>
              <w:rPr>
                <w:rFonts w:hint="eastAsia" w:ascii="宋体" w:hAnsi="宋体"/>
                <w:color w:val="auto"/>
                <w:szCs w:val="21"/>
                <w:highlight w:val="none"/>
              </w:rPr>
              <w:t>需的全部合法手续、</w:t>
            </w:r>
            <w:r>
              <w:rPr>
                <w:rFonts w:hint="eastAsia" w:ascii="宋体" w:hAnsi="宋体"/>
                <w:color w:val="auto"/>
                <w:szCs w:val="21"/>
                <w:highlight w:val="none"/>
                <w:lang w:val="en-US" w:eastAsia="zh-CN"/>
              </w:rPr>
              <w:t>程序</w:t>
            </w:r>
            <w:r>
              <w:rPr>
                <w:rFonts w:hint="eastAsia" w:ascii="宋体" w:hAnsi="宋体"/>
                <w:color w:val="auto"/>
                <w:szCs w:val="21"/>
                <w:highlight w:val="none"/>
              </w:rPr>
              <w:t>和附带工作任务</w:t>
            </w:r>
            <w:r>
              <w:rPr>
                <w:rFonts w:hint="eastAsia" w:ascii="宋体" w:hAnsi="宋体" w:cs="Times New Roman"/>
                <w:color w:val="auto"/>
                <w:kern w:val="2"/>
                <w:sz w:val="21"/>
                <w:szCs w:val="21"/>
                <w:highlight w:val="none"/>
                <w:lang w:val="en-US" w:eastAsia="zh-CN" w:bidi="ar-SA"/>
              </w:rPr>
              <w:t>；</w:t>
            </w:r>
          </w:p>
          <w:p w14:paraId="387943BF">
            <w:pPr>
              <w:adjustRightInd w:val="0"/>
              <w:snapToGrid w:val="0"/>
              <w:rPr>
                <w:rFonts w:hint="eastAsia" w:ascii="宋体" w:hAnsi="宋体"/>
                <w:color w:val="auto"/>
                <w:szCs w:val="21"/>
                <w:highlight w:val="none"/>
                <w:lang w:eastAsia="zh-CN"/>
              </w:rPr>
            </w:pPr>
            <w:r>
              <w:rPr>
                <w:rFonts w:hint="eastAsia" w:ascii="宋体" w:hAnsi="宋体" w:cs="Times New Roman"/>
                <w:color w:val="auto"/>
                <w:kern w:val="2"/>
                <w:sz w:val="21"/>
                <w:szCs w:val="21"/>
                <w:highlight w:val="none"/>
                <w:lang w:val="en-US" w:eastAsia="zh-CN" w:bidi="ar-SA"/>
              </w:rPr>
              <w:t xml:space="preserve">(2) </w:t>
            </w:r>
            <w:r>
              <w:rPr>
                <w:rFonts w:hint="eastAsia" w:ascii="宋体" w:hAnsi="宋体"/>
                <w:color w:val="auto"/>
                <w:szCs w:val="21"/>
                <w:highlight w:val="none"/>
              </w:rPr>
              <w:t>代理保证解决铝土矿出口的装货和</w:t>
            </w:r>
            <w:r>
              <w:rPr>
                <w:rFonts w:hint="eastAsia" w:ascii="宋体" w:hAnsi="宋体"/>
                <w:color w:val="auto"/>
                <w:szCs w:val="21"/>
                <w:highlight w:val="none"/>
                <w:lang w:val="en-US" w:eastAsia="zh-CN"/>
              </w:rPr>
              <w:t>清</w:t>
            </w:r>
            <w:r>
              <w:rPr>
                <w:rFonts w:hint="eastAsia" w:ascii="宋体" w:hAnsi="宋体"/>
                <w:color w:val="auto"/>
                <w:szCs w:val="21"/>
                <w:highlight w:val="none"/>
              </w:rPr>
              <w:t>关期间，与代理相关的所有的行政和</w:t>
            </w:r>
            <w:r>
              <w:rPr>
                <w:rFonts w:hint="eastAsia" w:ascii="宋体" w:hAnsi="宋体"/>
                <w:color w:val="auto"/>
                <w:szCs w:val="21"/>
                <w:highlight w:val="none"/>
                <w:lang w:val="en-US" w:eastAsia="zh-CN"/>
              </w:rPr>
              <w:t>海关、地矿部</w:t>
            </w:r>
            <w:r>
              <w:rPr>
                <w:rFonts w:hint="eastAsia" w:ascii="宋体" w:hAnsi="宋体"/>
                <w:color w:val="auto"/>
                <w:szCs w:val="21"/>
                <w:highlight w:val="none"/>
              </w:rPr>
              <w:t>方面的问题</w:t>
            </w:r>
            <w:r>
              <w:rPr>
                <w:rFonts w:hint="eastAsia" w:ascii="宋体" w:hAnsi="宋体" w:cs="Times New Roman"/>
                <w:color w:val="auto"/>
                <w:kern w:val="2"/>
                <w:sz w:val="21"/>
                <w:szCs w:val="21"/>
                <w:highlight w:val="none"/>
                <w:lang w:val="en-US" w:eastAsia="zh-CN" w:bidi="ar-SA"/>
              </w:rPr>
              <w:t>；</w:t>
            </w:r>
            <w:r>
              <w:rPr>
                <w:rFonts w:hint="eastAsia" w:ascii="宋体" w:hAnsi="宋体"/>
                <w:color w:val="auto"/>
                <w:szCs w:val="21"/>
                <w:highlight w:val="none"/>
                <w:lang w:eastAsia="zh-CN"/>
              </w:rPr>
              <w:t>详见第</w:t>
            </w:r>
            <w:r>
              <w:rPr>
                <w:rFonts w:hint="eastAsia" w:ascii="宋体" w:hAnsi="宋体"/>
                <w:color w:val="auto"/>
                <w:szCs w:val="21"/>
                <w:highlight w:val="none"/>
                <w:lang w:val="en-US" w:eastAsia="zh-CN"/>
              </w:rPr>
              <w:t>二</w:t>
            </w:r>
            <w:r>
              <w:rPr>
                <w:rFonts w:hint="eastAsia" w:ascii="宋体" w:hAnsi="宋体"/>
                <w:color w:val="auto"/>
                <w:szCs w:val="21"/>
                <w:highlight w:val="none"/>
                <w:lang w:eastAsia="zh-CN"/>
              </w:rPr>
              <w:t>章委托人要求</w:t>
            </w:r>
          </w:p>
          <w:p w14:paraId="024259BA">
            <w:pPr>
              <w:adjustRightInd w:val="0"/>
              <w:snapToGrid w:val="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 xml:space="preserve">(1) </w:t>
            </w:r>
            <w:r>
              <w:rPr>
                <w:rFonts w:hint="default"/>
                <w:color w:val="auto"/>
                <w:szCs w:val="21"/>
                <w:highlight w:val="none"/>
              </w:rPr>
              <w:t>L'agent doit accomplir toutes les formalités légales, les procédures et les tâches accessoires requises pour l'exportation de bauxite du client dans les délais requis ;</w:t>
            </w:r>
          </w:p>
          <w:p w14:paraId="4AF4796C">
            <w:pPr>
              <w:adjustRightInd w:val="0"/>
              <w:snapToGrid w:val="0"/>
              <w:jc w:val="left"/>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 xml:space="preserve">(2) </w:t>
            </w:r>
            <w:r>
              <w:rPr>
                <w:rFonts w:hint="default"/>
                <w:color w:val="auto"/>
                <w:szCs w:val="21"/>
                <w:highlight w:val="none"/>
              </w:rPr>
              <w:t xml:space="preserve"> L'agent garantit qu'il résoudra toutes les questions administratives et douanières, ainsi que celles du ministère des terres et des mines, qui lui sont posées lors du chargement et du dédouanement des exportations de bauxite ;</w:t>
            </w:r>
          </w:p>
          <w:p w14:paraId="2138DD59">
            <w:pPr>
              <w:adjustRightInd w:val="0"/>
              <w:snapToGrid w:val="0"/>
              <w:rPr>
                <w:rFonts w:hAnsi="宋体"/>
                <w:color w:val="auto"/>
                <w:highlight w:val="none"/>
              </w:rPr>
            </w:pPr>
            <w:r>
              <w:rPr>
                <w:rFonts w:hint="default" w:ascii="Times New Roman" w:hAnsi="Times New Roman" w:eastAsia="宋体" w:cs="Times New Roman"/>
                <w:color w:val="auto"/>
                <w:szCs w:val="21"/>
                <w:highlight w:val="none"/>
                <w:lang w:eastAsia="zh-CN"/>
              </w:rPr>
              <w:t>Voir le chapitre 2, Exigences principales, pour plus de détails.</w:t>
            </w:r>
          </w:p>
        </w:tc>
        <w:tc>
          <w:tcPr>
            <w:tcW w:w="933" w:type="dxa"/>
            <w:noWrap w:val="0"/>
            <w:vAlign w:val="center"/>
          </w:tcPr>
          <w:p w14:paraId="45B6550B">
            <w:pPr>
              <w:adjustRightInd w:val="0"/>
              <w:snapToGrid w:val="0"/>
              <w:jc w:val="center"/>
              <w:rPr>
                <w:rFonts w:hint="eastAsia" w:ascii="宋体" w:hAnsi="宋体" w:eastAsia="宋体"/>
                <w:color w:val="auto"/>
                <w:szCs w:val="21"/>
                <w:highlight w:val="none"/>
                <w:lang w:val="en-US" w:eastAsia="zh-CN"/>
              </w:rPr>
            </w:pPr>
            <w:r>
              <w:rPr>
                <w:rFonts w:hint="eastAsia" w:hAnsi="宋体"/>
                <w:color w:val="auto"/>
                <w:highlight w:val="none"/>
                <w:lang w:val="en-US" w:eastAsia="zh-CN"/>
              </w:rPr>
              <w:t>1.5</w:t>
            </w:r>
          </w:p>
        </w:tc>
      </w:tr>
      <w:tr w14:paraId="2D591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7065B823">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5856029F">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报价方式Méthode de cotation</w:t>
            </w:r>
          </w:p>
        </w:tc>
        <w:tc>
          <w:tcPr>
            <w:tcW w:w="5819" w:type="dxa"/>
            <w:gridSpan w:val="2"/>
            <w:noWrap w:val="0"/>
            <w:vAlign w:val="center"/>
          </w:tcPr>
          <w:p w14:paraId="27BA91F0">
            <w:pPr>
              <w:adjustRightInd w:val="0"/>
              <w:snapToGrid w:val="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固定综合单价</w:t>
            </w:r>
          </w:p>
          <w:p w14:paraId="2FB2641A">
            <w:pPr>
              <w:adjustRightInd w:val="0"/>
              <w:snapToGrid w:val="0"/>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Prix unitaire consolidé fixe</w:t>
            </w:r>
          </w:p>
        </w:tc>
        <w:tc>
          <w:tcPr>
            <w:tcW w:w="933" w:type="dxa"/>
            <w:noWrap w:val="0"/>
            <w:vAlign w:val="center"/>
          </w:tcPr>
          <w:p w14:paraId="0B6DB553">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1.6</w:t>
            </w:r>
          </w:p>
        </w:tc>
      </w:tr>
      <w:tr w14:paraId="09A26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01" w:type="dxa"/>
            <w:noWrap w:val="0"/>
            <w:vAlign w:val="center"/>
          </w:tcPr>
          <w:p w14:paraId="20848CF0">
            <w:pPr>
              <w:numPr>
                <w:ilvl w:val="0"/>
                <w:numId w:val="2"/>
              </w:numPr>
              <w:adjustRightInd w:val="0"/>
              <w:snapToGrid w:val="0"/>
              <w:ind w:left="0" w:leftChars="0" w:firstLine="170" w:firstLineChars="0"/>
              <w:jc w:val="center"/>
              <w:rPr>
                <w:rFonts w:hint="eastAsia" w:hAnsi="宋体" w:eastAsia="宋体"/>
                <w:color w:val="auto"/>
                <w:highlight w:val="none"/>
                <w:lang w:val="en-US" w:eastAsia="zh-CN"/>
              </w:rPr>
            </w:pPr>
          </w:p>
        </w:tc>
        <w:tc>
          <w:tcPr>
            <w:tcW w:w="1765" w:type="dxa"/>
            <w:noWrap w:val="0"/>
            <w:vAlign w:val="center"/>
          </w:tcPr>
          <w:p w14:paraId="2D173D1E">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付款方式</w:t>
            </w:r>
          </w:p>
          <w:p w14:paraId="79669FA5">
            <w:pPr>
              <w:adjustRightInd w:val="0"/>
              <w:snapToGrid w:val="0"/>
              <w:jc w:val="center"/>
              <w:rPr>
                <w:rFonts w:hint="default" w:hAnsi="宋体"/>
                <w:color w:val="auto"/>
                <w:highlight w:val="none"/>
                <w:lang w:val="en-US" w:eastAsia="zh-CN"/>
              </w:rPr>
            </w:pPr>
            <w:r>
              <w:rPr>
                <w:rFonts w:hint="eastAsia" w:hAnsi="宋体"/>
                <w:color w:val="auto"/>
                <w:highlight w:val="none"/>
                <w:lang w:val="en-US" w:eastAsia="zh-CN"/>
              </w:rPr>
              <w:t>Mode de paiement</w:t>
            </w:r>
          </w:p>
        </w:tc>
        <w:tc>
          <w:tcPr>
            <w:tcW w:w="5819" w:type="dxa"/>
            <w:gridSpan w:val="2"/>
            <w:noWrap w:val="0"/>
            <w:vAlign w:val="center"/>
          </w:tcPr>
          <w:p w14:paraId="6C2858C0">
            <w:pPr>
              <w:adjustRightInd w:val="0"/>
              <w:snapToGrid w:val="0"/>
              <w:rPr>
                <w:rFonts w:hint="eastAsia" w:ascii="宋体" w:hAnsi="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一船一结算，</w:t>
            </w:r>
            <w:r>
              <w:rPr>
                <w:rFonts w:hint="eastAsia" w:ascii="宋体" w:hAnsi="宋体"/>
                <w:color w:val="auto"/>
                <w:szCs w:val="21"/>
                <w:highlight w:val="none"/>
              </w:rPr>
              <w:t>客户在收到代理发送的</w:t>
            </w:r>
            <w:r>
              <w:rPr>
                <w:rFonts w:hint="eastAsia" w:ascii="宋体" w:hAnsi="宋体"/>
                <w:color w:val="auto"/>
                <w:szCs w:val="21"/>
                <w:highlight w:val="none"/>
                <w:lang w:val="en-US" w:eastAsia="zh-CN"/>
              </w:rPr>
              <w:t>该船</w:t>
            </w:r>
            <w:r>
              <w:rPr>
                <w:rFonts w:hint="eastAsia" w:ascii="宋体" w:hAnsi="宋体"/>
                <w:color w:val="auto"/>
                <w:szCs w:val="21"/>
                <w:highlight w:val="none"/>
              </w:rPr>
              <w:t>所有清关文件的盖章原件</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完税证明原件</w:t>
            </w:r>
            <w:r>
              <w:rPr>
                <w:rFonts w:hint="eastAsia" w:ascii="宋体" w:hAnsi="宋体"/>
                <w:color w:val="auto"/>
                <w:szCs w:val="21"/>
                <w:highlight w:val="none"/>
              </w:rPr>
              <w:t>及发票，并确认无误后，在合理期限内支付发票所载款项。</w:t>
            </w:r>
          </w:p>
          <w:p w14:paraId="218C45F7">
            <w:pPr>
              <w:adjustRightInd w:val="0"/>
              <w:snapToGrid w:val="0"/>
              <w:rPr>
                <w:rFonts w:hint="default" w:hAnsi="宋体"/>
                <w:color w:val="auto"/>
                <w:highlight w:val="none"/>
                <w:lang w:val="fr-FR"/>
              </w:rPr>
            </w:pPr>
            <w:r>
              <w:rPr>
                <w:rFonts w:hint="eastAsia"/>
                <w:color w:val="auto"/>
                <w:szCs w:val="21"/>
                <w:highlight w:val="none"/>
              </w:rPr>
              <w:t>Le règlement s'effectue navire par navire. Dès réception des originaux estampillés de tous les documents de dédouanement du navire, de l'original du certificat de dédouanement fiscal et de la facture envoyée par l'agent, et après confirmation de l'exactitude de ces documents, le client doit payer le montant indiqué sur la facture dans un délai raisonnable..</w:t>
            </w:r>
          </w:p>
        </w:tc>
        <w:tc>
          <w:tcPr>
            <w:tcW w:w="933" w:type="dxa"/>
            <w:noWrap w:val="0"/>
            <w:vAlign w:val="center"/>
          </w:tcPr>
          <w:p w14:paraId="176DD421">
            <w:pPr>
              <w:adjustRightInd w:val="0"/>
              <w:snapToGrid w:val="0"/>
              <w:jc w:val="center"/>
              <w:rPr>
                <w:rFonts w:hint="eastAsia" w:ascii="宋体" w:hAnsi="宋体" w:cs="宋体"/>
                <w:bCs/>
                <w:color w:val="auto"/>
                <w:szCs w:val="24"/>
                <w:highlight w:val="none"/>
                <w:lang w:val="en-US" w:eastAsia="zh-CN"/>
              </w:rPr>
            </w:pPr>
            <w:r>
              <w:rPr>
                <w:rFonts w:hint="eastAsia" w:hAnsi="宋体"/>
                <w:color w:val="auto"/>
                <w:highlight w:val="none"/>
                <w:lang w:val="en-US" w:eastAsia="zh-CN"/>
              </w:rPr>
              <w:t>1.7</w:t>
            </w:r>
          </w:p>
        </w:tc>
      </w:tr>
      <w:tr w14:paraId="5AAEC1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6C1CF1B3">
            <w:pPr>
              <w:numPr>
                <w:ilvl w:val="0"/>
                <w:numId w:val="2"/>
              </w:numPr>
              <w:adjustRightInd w:val="0"/>
              <w:snapToGrid w:val="0"/>
              <w:ind w:left="0" w:leftChars="0" w:firstLine="170" w:firstLineChars="0"/>
              <w:jc w:val="center"/>
              <w:rPr>
                <w:rFonts w:hint="default" w:hAnsi="宋体"/>
                <w:color w:val="auto"/>
                <w:highlight w:val="none"/>
                <w:lang w:val="en-US" w:eastAsia="zh-CN"/>
              </w:rPr>
            </w:pPr>
          </w:p>
        </w:tc>
        <w:tc>
          <w:tcPr>
            <w:tcW w:w="1765" w:type="dxa"/>
            <w:noWrap w:val="0"/>
            <w:vAlign w:val="center"/>
          </w:tcPr>
          <w:p w14:paraId="2DC14F6A">
            <w:pPr>
              <w:adjustRightInd w:val="0"/>
              <w:snapToGrid w:val="0"/>
              <w:jc w:val="center"/>
              <w:rPr>
                <w:rFonts w:hint="default" w:hAnsi="宋体"/>
                <w:color w:val="auto"/>
                <w:highlight w:val="none"/>
                <w:lang w:val="en-US" w:eastAsia="zh-CN"/>
              </w:rPr>
            </w:pPr>
            <w:r>
              <w:rPr>
                <w:rFonts w:hint="eastAsia" w:hAnsi="宋体"/>
                <w:color w:val="auto"/>
                <w:highlight w:val="none"/>
                <w:lang w:val="en-US" w:eastAsia="zh-CN"/>
              </w:rPr>
              <w:t>评审办法Méthode d'évaluation</w:t>
            </w:r>
          </w:p>
        </w:tc>
        <w:tc>
          <w:tcPr>
            <w:tcW w:w="5819" w:type="dxa"/>
            <w:gridSpan w:val="2"/>
            <w:noWrap w:val="0"/>
            <w:vAlign w:val="center"/>
          </w:tcPr>
          <w:p w14:paraId="2BA7FAC1">
            <w:pPr>
              <w:adjustRightInd w:val="0"/>
              <w:snapToGrid w:val="0"/>
              <w:rPr>
                <w:rFonts w:hint="eastAsia" w:hAnsi="宋体"/>
                <w:color w:val="auto"/>
                <w:highlight w:val="none"/>
                <w:lang w:val="en-US" w:eastAsia="zh-CN"/>
              </w:rPr>
            </w:pPr>
            <w:r>
              <w:rPr>
                <w:rFonts w:hint="eastAsia" w:hAnsi="宋体"/>
                <w:color w:val="auto"/>
                <w:highlight w:val="none"/>
                <w:lang w:val="en-US" w:eastAsia="zh-CN"/>
              </w:rPr>
              <w:t>经评审的最低价法</w:t>
            </w:r>
          </w:p>
          <w:p w14:paraId="07F4E215">
            <w:pPr>
              <w:adjustRightInd w:val="0"/>
              <w:snapToGrid w:val="0"/>
              <w:rPr>
                <w:rFonts w:hint="default" w:hAnsi="宋体" w:eastAsia="宋体"/>
                <w:color w:val="auto"/>
                <w:highlight w:val="none"/>
                <w:lang w:val="en-US" w:eastAsia="zh-CN"/>
              </w:rPr>
            </w:pPr>
            <w:r>
              <w:rPr>
                <w:rFonts w:hint="eastAsia" w:hAnsi="宋体"/>
                <w:color w:val="auto"/>
                <w:highlight w:val="none"/>
                <w:lang w:val="en-US" w:eastAsia="zh-CN"/>
              </w:rPr>
              <w:t>Méthode du prix le plus bas évalué</w:t>
            </w:r>
          </w:p>
        </w:tc>
        <w:tc>
          <w:tcPr>
            <w:tcW w:w="933" w:type="dxa"/>
            <w:noWrap w:val="0"/>
            <w:vAlign w:val="center"/>
          </w:tcPr>
          <w:p w14:paraId="228A4D1A">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3.5</w:t>
            </w:r>
          </w:p>
        </w:tc>
      </w:tr>
      <w:tr w14:paraId="4D6B89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901" w:type="dxa"/>
            <w:vMerge w:val="restart"/>
            <w:noWrap w:val="0"/>
            <w:vAlign w:val="center"/>
          </w:tcPr>
          <w:p w14:paraId="6748A017">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vMerge w:val="restart"/>
            <w:noWrap w:val="0"/>
            <w:vAlign w:val="center"/>
          </w:tcPr>
          <w:p w14:paraId="7E0E5BD2">
            <w:pPr>
              <w:adjustRightInd w:val="0"/>
              <w:snapToGrid w:val="0"/>
              <w:jc w:val="center"/>
              <w:rPr>
                <w:rFonts w:hint="eastAsia" w:hAnsi="宋体" w:eastAsia="宋体"/>
                <w:color w:val="auto"/>
                <w:highlight w:val="none"/>
                <w:lang w:eastAsia="zh-CN"/>
              </w:rPr>
            </w:pPr>
            <w:r>
              <w:rPr>
                <w:rFonts w:hint="eastAsia" w:hAnsi="宋体"/>
                <w:color w:val="auto"/>
                <w:highlight w:val="none"/>
                <w:lang w:eastAsia="zh-CN"/>
              </w:rPr>
              <w:t>响应人</w:t>
            </w:r>
            <w:r>
              <w:rPr>
                <w:rFonts w:hAnsi="宋体"/>
                <w:color w:val="auto"/>
                <w:highlight w:val="none"/>
              </w:rPr>
              <w:t>资质条件、能力和信誉</w:t>
            </w:r>
            <w:r>
              <w:rPr>
                <w:rFonts w:hint="eastAsia" w:hAnsi="宋体"/>
                <w:color w:val="auto"/>
                <w:highlight w:val="none"/>
              </w:rPr>
              <w:t>Conditions de qualification, capacité et réputation du soumissionnaire</w:t>
            </w:r>
          </w:p>
        </w:tc>
        <w:tc>
          <w:tcPr>
            <w:tcW w:w="1140" w:type="dxa"/>
            <w:noWrap w:val="0"/>
            <w:vAlign w:val="center"/>
          </w:tcPr>
          <w:p w14:paraId="59632B4F">
            <w:pPr>
              <w:adjustRightInd w:val="0"/>
              <w:snapToGrid w:val="0"/>
              <w:jc w:val="center"/>
              <w:rPr>
                <w:rFonts w:hAnsi="宋体"/>
                <w:b/>
                <w:color w:val="auto"/>
                <w:highlight w:val="none"/>
              </w:rPr>
            </w:pPr>
            <w:r>
              <w:rPr>
                <w:rFonts w:hAnsi="宋体"/>
                <w:color w:val="auto"/>
                <w:highlight w:val="none"/>
              </w:rPr>
              <w:t>资质</w:t>
            </w:r>
            <w:r>
              <w:rPr>
                <w:rFonts w:hint="eastAsia" w:hAnsi="宋体"/>
                <w:color w:val="auto"/>
                <w:highlight w:val="none"/>
              </w:rPr>
              <w:t>要求Exigences de qualification</w:t>
            </w:r>
            <w:r>
              <w:rPr>
                <w:rFonts w:hint="eastAsia" w:hAnsi="宋体"/>
                <w:color w:val="auto"/>
                <w:highlight w:val="none"/>
              </w:rPr>
              <w:tab/>
            </w:r>
          </w:p>
        </w:tc>
        <w:tc>
          <w:tcPr>
            <w:tcW w:w="4679" w:type="dxa"/>
            <w:noWrap w:val="0"/>
            <w:vAlign w:val="center"/>
          </w:tcPr>
          <w:p w14:paraId="498DD7C6">
            <w:pPr>
              <w:adjustRightInd w:val="0"/>
              <w:snapToGrid w:val="0"/>
              <w:jc w:val="left"/>
              <w:rPr>
                <w:rFonts w:hint="eastAsia" w:hAnsi="宋体" w:eastAsia="宋体"/>
                <w:color w:val="auto"/>
                <w:highlight w:val="none"/>
                <w:lang w:eastAsia="zh-CN"/>
              </w:rPr>
            </w:pPr>
            <w:r>
              <w:rPr>
                <w:rFonts w:hint="eastAsia" w:hAnsi="宋体"/>
                <w:color w:val="auto"/>
                <w:highlight w:val="none"/>
              </w:rPr>
              <w:t>1.</w:t>
            </w:r>
            <w:r>
              <w:rPr>
                <w:rFonts w:hint="eastAsia" w:hAnsi="宋体"/>
                <w:color w:val="auto"/>
                <w:highlight w:val="none"/>
                <w:lang w:val="en-US" w:eastAsia="zh-CN"/>
              </w:rPr>
              <w:t>响应人应</w:t>
            </w:r>
            <w:r>
              <w:rPr>
                <w:rFonts w:hint="eastAsia" w:ascii="Times New Roman" w:hAnsi="宋体" w:eastAsia="宋体" w:cs="Times New Roman"/>
                <w:color w:val="auto"/>
                <w:sz w:val="21"/>
                <w:szCs w:val="20"/>
                <w:highlight w:val="none"/>
                <w:lang w:val="en-US" w:eastAsia="zh-CN"/>
              </w:rPr>
              <w:t>取得</w:t>
            </w:r>
            <w:r>
              <w:rPr>
                <w:rFonts w:hint="eastAsia" w:ascii="Times New Roman" w:hAnsi="宋体" w:eastAsia="宋体" w:cs="Times New Roman"/>
                <w:color w:val="auto"/>
                <w:sz w:val="21"/>
                <w:szCs w:val="20"/>
                <w:highlight w:val="none"/>
              </w:rPr>
              <w:t>几内亚海关行政部门批复</w:t>
            </w:r>
            <w:r>
              <w:rPr>
                <w:rFonts w:hint="eastAsia" w:ascii="Times New Roman" w:hAnsi="宋体" w:eastAsia="宋体" w:cs="Times New Roman"/>
                <w:color w:val="auto"/>
                <w:sz w:val="21"/>
                <w:szCs w:val="20"/>
                <w:highlight w:val="none"/>
                <w:lang w:val="en-US" w:eastAsia="zh-CN"/>
              </w:rPr>
              <w:t>海关代理资格许可</w:t>
            </w:r>
            <w:r>
              <w:rPr>
                <w:rFonts w:hint="eastAsia" w:hAnsi="宋体"/>
                <w:color w:val="auto"/>
                <w:highlight w:val="none"/>
                <w:lang w:eastAsia="zh-CN"/>
              </w:rPr>
              <w:t>，</w:t>
            </w:r>
            <w:r>
              <w:rPr>
                <w:rFonts w:hint="eastAsia" w:hAnsi="宋体"/>
                <w:color w:val="auto"/>
                <w:highlight w:val="none"/>
                <w:lang w:val="en-US" w:eastAsia="zh-CN"/>
              </w:rPr>
              <w:t>并</w:t>
            </w:r>
            <w:r>
              <w:rPr>
                <w:rFonts w:hint="eastAsia" w:hAnsi="宋体"/>
                <w:color w:val="auto"/>
                <w:highlight w:val="none"/>
              </w:rPr>
              <w:t>具有独立订立合同的资格</w:t>
            </w:r>
            <w:r>
              <w:rPr>
                <w:rFonts w:hint="eastAsia" w:hAnsi="宋体"/>
                <w:color w:val="auto"/>
                <w:highlight w:val="none"/>
                <w:lang w:eastAsia="zh-CN"/>
              </w:rPr>
              <w:t>。</w:t>
            </w:r>
          </w:p>
          <w:p w14:paraId="0F82F87C">
            <w:pPr>
              <w:adjustRightInd w:val="0"/>
              <w:snapToGrid w:val="0"/>
              <w:jc w:val="left"/>
              <w:rPr>
                <w:rFonts w:hint="eastAsia" w:ascii="宋体" w:hAnsi="宋体"/>
                <w:color w:val="auto"/>
                <w:szCs w:val="21"/>
                <w:highlight w:val="none"/>
                <w:lang w:val="en-US" w:eastAsia="zh-CN"/>
              </w:rPr>
            </w:pPr>
            <w:r>
              <w:rPr>
                <w:rFonts w:hint="eastAsia"/>
                <w:color w:val="auto"/>
                <w:highlight w:val="none"/>
                <w:lang w:val="en-US" w:eastAsia="zh-CN"/>
              </w:rPr>
              <w:t>2.</w:t>
            </w:r>
            <w:r>
              <w:rPr>
                <w:rFonts w:hint="eastAsia" w:ascii="宋体" w:hAnsi="宋体"/>
                <w:color w:val="auto"/>
                <w:szCs w:val="21"/>
                <w:highlight w:val="none"/>
                <w:lang w:val="en-US" w:eastAsia="zh-CN"/>
              </w:rPr>
              <w:t>营业执照经营范围包含了货物出口服务等类似范围。</w:t>
            </w:r>
          </w:p>
          <w:p w14:paraId="2A08C5D9">
            <w:pPr>
              <w:adjustRightInd w:val="0"/>
              <w:snapToGrid w:val="0"/>
              <w:jc w:val="left"/>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3.提供有效NIF号和TVA增值税税号.</w:t>
            </w:r>
          </w:p>
          <w:p w14:paraId="393914D8">
            <w:pPr>
              <w:pStyle w:val="21"/>
              <w:adjustRightInd/>
              <w:rPr>
                <w:rFonts w:hint="eastAsia" w:hAnsi="宋体"/>
                <w:highlight w:val="none"/>
              </w:rPr>
            </w:pPr>
            <w:r>
              <w:rPr>
                <w:rFonts w:hint="eastAsia" w:hAnsi="宋体"/>
                <w:highlight w:val="none"/>
                <w:lang w:val="en-US" w:eastAsia="zh-CN"/>
              </w:rPr>
              <w:t>1.</w:t>
            </w:r>
            <w:r>
              <w:rPr>
                <w:rFonts w:hint="eastAsia" w:hAnsi="宋体"/>
                <w:highlight w:val="none"/>
              </w:rPr>
              <w:t>L'entité concernée doit avoir obtenu de l'autorisation du service douanier guinéen pour exercer les fonctions d'agence douanière et être en mesure de conclure des contrats de manière indépendante.. ;</w:t>
            </w:r>
          </w:p>
          <w:p w14:paraId="1AD30D3B">
            <w:pPr>
              <w:pStyle w:val="21"/>
              <w:rPr>
                <w:rFonts w:hint="eastAsia" w:hAnsi="宋体"/>
                <w:highlight w:val="none"/>
              </w:rPr>
            </w:pPr>
            <w:r>
              <w:rPr>
                <w:rFonts w:hint="eastAsia" w:hAnsi="宋体"/>
                <w:highlight w:val="none"/>
                <w:lang w:val="en-US" w:eastAsia="zh-CN"/>
              </w:rPr>
              <w:t>2.</w:t>
            </w:r>
            <w:r>
              <w:rPr>
                <w:rFonts w:hint="eastAsia" w:hAnsi="宋体"/>
                <w:highlight w:val="none"/>
              </w:rPr>
              <w:t>L'objet social de l'entreprise couvre notamment l'exportation de marchandises et d'autres activités similaires..</w:t>
            </w:r>
          </w:p>
          <w:p w14:paraId="43B36526">
            <w:pPr>
              <w:pStyle w:val="21"/>
              <w:rPr>
                <w:rFonts w:hint="default" w:hAnsi="宋体"/>
                <w:highlight w:val="none"/>
                <w:lang w:val="fr-FR" w:eastAsia="zh-CN"/>
              </w:rPr>
            </w:pPr>
            <w:r>
              <w:rPr>
                <w:rFonts w:hint="default" w:hAnsi="宋体"/>
                <w:highlight w:val="none"/>
                <w:lang w:val="fr-FR" w:eastAsia="zh-CN"/>
              </w:rPr>
              <w:t>3. Proposer un numéro NIF valide ainsi qu'un numéro de TVA (impôt sur la valeur ajoutée).</w:t>
            </w:r>
          </w:p>
        </w:tc>
        <w:tc>
          <w:tcPr>
            <w:tcW w:w="933" w:type="dxa"/>
            <w:vMerge w:val="restart"/>
            <w:noWrap w:val="0"/>
            <w:vAlign w:val="center"/>
          </w:tcPr>
          <w:p w14:paraId="020D1E12">
            <w:pPr>
              <w:adjustRightInd w:val="0"/>
              <w:snapToGrid w:val="0"/>
              <w:jc w:val="center"/>
              <w:rPr>
                <w:rFonts w:hAnsi="宋体"/>
                <w:color w:val="auto"/>
                <w:highlight w:val="none"/>
              </w:rPr>
            </w:pPr>
          </w:p>
          <w:p w14:paraId="72D84A79">
            <w:pPr>
              <w:adjustRightInd w:val="0"/>
              <w:snapToGrid w:val="0"/>
              <w:jc w:val="center"/>
              <w:rPr>
                <w:rFonts w:hAnsi="宋体"/>
                <w:b/>
                <w:color w:val="auto"/>
                <w:highlight w:val="none"/>
              </w:rPr>
            </w:pPr>
            <w:r>
              <w:rPr>
                <w:rFonts w:hAnsi="宋体"/>
                <w:color w:val="auto"/>
                <w:highlight w:val="none"/>
              </w:rPr>
              <w:t>1.</w:t>
            </w:r>
            <w:r>
              <w:rPr>
                <w:rFonts w:hint="eastAsia" w:hAnsi="宋体"/>
                <w:color w:val="auto"/>
                <w:highlight w:val="none"/>
                <w:lang w:val="en-US" w:eastAsia="zh-CN"/>
              </w:rPr>
              <w:t>8</w:t>
            </w:r>
          </w:p>
        </w:tc>
      </w:tr>
      <w:tr w14:paraId="62795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901" w:type="dxa"/>
            <w:vMerge w:val="continue"/>
            <w:noWrap w:val="0"/>
            <w:vAlign w:val="center"/>
          </w:tcPr>
          <w:p w14:paraId="6A2CCF85">
            <w:pPr>
              <w:adjustRightInd w:val="0"/>
              <w:snapToGrid w:val="0"/>
              <w:ind w:firstLineChars="0"/>
              <w:jc w:val="center"/>
              <w:rPr>
                <w:color w:val="auto"/>
                <w:highlight w:val="none"/>
              </w:rPr>
            </w:pPr>
          </w:p>
        </w:tc>
        <w:tc>
          <w:tcPr>
            <w:tcW w:w="1765" w:type="dxa"/>
            <w:vMerge w:val="continue"/>
            <w:noWrap w:val="0"/>
            <w:vAlign w:val="center"/>
          </w:tcPr>
          <w:p w14:paraId="2F53A975">
            <w:pPr>
              <w:adjustRightInd w:val="0"/>
              <w:snapToGrid w:val="0"/>
              <w:jc w:val="left"/>
              <w:rPr>
                <w:color w:val="auto"/>
                <w:highlight w:val="none"/>
              </w:rPr>
            </w:pPr>
          </w:p>
        </w:tc>
        <w:tc>
          <w:tcPr>
            <w:tcW w:w="1140" w:type="dxa"/>
            <w:noWrap w:val="0"/>
            <w:vAlign w:val="center"/>
          </w:tcPr>
          <w:p w14:paraId="63FCCBE8">
            <w:pPr>
              <w:adjustRightInd w:val="0"/>
              <w:snapToGrid w:val="0"/>
              <w:jc w:val="center"/>
              <w:rPr>
                <w:color w:val="auto"/>
                <w:highlight w:val="none"/>
              </w:rPr>
            </w:pPr>
            <w:r>
              <w:rPr>
                <w:rFonts w:hAnsi="宋体"/>
                <w:color w:val="auto"/>
                <w:highlight w:val="none"/>
              </w:rPr>
              <w:t>业绩要求</w:t>
            </w:r>
            <w:r>
              <w:rPr>
                <w:rFonts w:hint="eastAsia" w:hAnsi="宋体"/>
                <w:color w:val="auto"/>
                <w:highlight w:val="none"/>
              </w:rPr>
              <w:t>Exigences de performance</w:t>
            </w:r>
          </w:p>
        </w:tc>
        <w:tc>
          <w:tcPr>
            <w:tcW w:w="4679" w:type="dxa"/>
            <w:noWrap w:val="0"/>
            <w:vAlign w:val="center"/>
          </w:tcPr>
          <w:p w14:paraId="1C7A9C3B">
            <w:pPr>
              <w:numPr>
                <w:ilvl w:val="0"/>
                <w:numId w:val="0"/>
              </w:numPr>
              <w:adjustRightInd w:val="0"/>
              <w:snapToGrid w:val="0"/>
              <w:jc w:val="left"/>
              <w:rPr>
                <w:rFonts w:hint="eastAsia" w:ascii="宋体" w:hAnsi="宋体"/>
                <w:color w:val="auto"/>
                <w:highlight w:val="none"/>
                <w:lang w:eastAsia="zh-CN"/>
              </w:rPr>
            </w:pPr>
            <w:r>
              <w:rPr>
                <w:rFonts w:hint="eastAsia" w:ascii="宋体" w:hAnsi="宋体" w:eastAsia="宋体" w:cs="宋体"/>
                <w:color w:val="auto"/>
                <w:kern w:val="2"/>
                <w:sz w:val="21"/>
                <w:szCs w:val="21"/>
                <w:highlight w:val="none"/>
                <w:lang w:val="en-US" w:eastAsia="zh-CN" w:bidi="ar-SA"/>
              </w:rPr>
              <w:t>响应人近3年内至少具有1个矿石出口代理服务</w:t>
            </w:r>
            <w:r>
              <w:rPr>
                <w:rFonts w:hint="eastAsia" w:ascii="宋体" w:hAnsi="宋体" w:cs="宋体"/>
                <w:color w:val="auto"/>
                <w:kern w:val="2"/>
                <w:sz w:val="21"/>
                <w:szCs w:val="21"/>
                <w:highlight w:val="none"/>
                <w:lang w:val="en-US" w:eastAsia="zh-CN" w:bidi="ar-SA"/>
              </w:rPr>
              <w:t>类</w:t>
            </w:r>
            <w:r>
              <w:rPr>
                <w:rFonts w:hint="eastAsia" w:ascii="宋体" w:hAnsi="宋体" w:eastAsia="宋体" w:cs="宋体"/>
                <w:color w:val="auto"/>
                <w:kern w:val="2"/>
                <w:sz w:val="21"/>
                <w:szCs w:val="21"/>
                <w:highlight w:val="none"/>
                <w:lang w:val="en-US" w:eastAsia="zh-CN" w:bidi="ar-SA"/>
              </w:rPr>
              <w:t>业绩；（提供符合本招标要求的业绩合同扫描件，包括合同封面、合同范围页、签字页等）</w:t>
            </w:r>
            <w:r>
              <w:rPr>
                <w:rFonts w:hint="eastAsia" w:ascii="宋体" w:hAnsi="宋体"/>
                <w:color w:val="auto"/>
                <w:szCs w:val="21"/>
                <w:highlight w:val="none"/>
                <w:u w:val="none"/>
              </w:rPr>
              <w:t>。</w:t>
            </w:r>
          </w:p>
          <w:p w14:paraId="6DFC0F4A">
            <w:pPr>
              <w:pStyle w:val="20"/>
              <w:jc w:val="both"/>
              <w:rPr>
                <w:color w:val="auto"/>
                <w:highlight w:val="none"/>
              </w:rPr>
            </w:pPr>
            <w:r>
              <w:rPr>
                <w:rFonts w:hint="eastAsia" w:hAnsi="宋体" w:cs="Times New Roman"/>
                <w:highlight w:val="none"/>
                <w:lang w:val="en-US" w:eastAsia="zh-CN"/>
              </w:rPr>
              <w:t>Le candidat doit avoir au moins une expérience professionnelle dans le domaine des services d'agence pour l'exportation de minerais au cours des trois dernières années ; il doit fournir une copie numérique du contrat d'expérience correspondant aux exigences de cette appel d'offres, incluant notamment la couverture du contrat, la page décrivant son champ d'application et la page de signatures.</w:t>
            </w:r>
          </w:p>
        </w:tc>
        <w:tc>
          <w:tcPr>
            <w:tcW w:w="933" w:type="dxa"/>
            <w:vMerge w:val="continue"/>
            <w:noWrap w:val="0"/>
            <w:vAlign w:val="center"/>
          </w:tcPr>
          <w:p w14:paraId="052D053E">
            <w:pPr>
              <w:adjustRightInd w:val="0"/>
              <w:snapToGrid w:val="0"/>
              <w:jc w:val="center"/>
              <w:rPr>
                <w:rFonts w:hAnsi="宋体"/>
                <w:b/>
                <w:color w:val="auto"/>
                <w:highlight w:val="none"/>
              </w:rPr>
            </w:pPr>
          </w:p>
        </w:tc>
      </w:tr>
      <w:tr w14:paraId="645E11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901" w:type="dxa"/>
            <w:vMerge w:val="continue"/>
            <w:noWrap w:val="0"/>
            <w:vAlign w:val="center"/>
          </w:tcPr>
          <w:p w14:paraId="1ACD43F9">
            <w:pPr>
              <w:adjustRightInd w:val="0"/>
              <w:snapToGrid w:val="0"/>
              <w:ind w:firstLineChars="0"/>
              <w:jc w:val="center"/>
              <w:rPr>
                <w:color w:val="auto"/>
                <w:highlight w:val="none"/>
              </w:rPr>
            </w:pPr>
          </w:p>
        </w:tc>
        <w:tc>
          <w:tcPr>
            <w:tcW w:w="1765" w:type="dxa"/>
            <w:vMerge w:val="continue"/>
            <w:noWrap w:val="0"/>
            <w:vAlign w:val="center"/>
          </w:tcPr>
          <w:p w14:paraId="63DEA324">
            <w:pPr>
              <w:adjustRightInd w:val="0"/>
              <w:snapToGrid w:val="0"/>
              <w:jc w:val="left"/>
              <w:rPr>
                <w:color w:val="auto"/>
                <w:highlight w:val="none"/>
              </w:rPr>
            </w:pPr>
          </w:p>
        </w:tc>
        <w:tc>
          <w:tcPr>
            <w:tcW w:w="1140" w:type="dxa"/>
            <w:noWrap w:val="0"/>
            <w:vAlign w:val="center"/>
          </w:tcPr>
          <w:p w14:paraId="0D351072">
            <w:pPr>
              <w:adjustRightInd w:val="0"/>
              <w:snapToGrid w:val="0"/>
              <w:jc w:val="center"/>
              <w:rPr>
                <w:rFonts w:hAnsi="宋体"/>
                <w:color w:val="auto"/>
                <w:highlight w:val="none"/>
              </w:rPr>
            </w:pPr>
            <w:r>
              <w:rPr>
                <w:rFonts w:hAnsi="宋体"/>
                <w:color w:val="auto"/>
                <w:highlight w:val="none"/>
              </w:rPr>
              <w:t>信誉要求</w:t>
            </w:r>
          </w:p>
          <w:p w14:paraId="747800BD">
            <w:pPr>
              <w:pStyle w:val="20"/>
              <w:rPr>
                <w:color w:val="auto"/>
                <w:sz w:val="21"/>
                <w:szCs w:val="22"/>
                <w:highlight w:val="none"/>
              </w:rPr>
            </w:pPr>
            <w:r>
              <w:rPr>
                <w:rFonts w:hint="eastAsia"/>
                <w:color w:val="auto"/>
                <w:sz w:val="21"/>
                <w:szCs w:val="22"/>
                <w:highlight w:val="none"/>
              </w:rPr>
              <w:t>Exigences en matière de réputation</w:t>
            </w:r>
          </w:p>
          <w:p w14:paraId="4F48B5EE">
            <w:pPr>
              <w:adjustRightInd w:val="0"/>
              <w:snapToGrid w:val="0"/>
              <w:jc w:val="center"/>
              <w:rPr>
                <w:color w:val="auto"/>
                <w:highlight w:val="none"/>
              </w:rPr>
            </w:pPr>
          </w:p>
        </w:tc>
        <w:tc>
          <w:tcPr>
            <w:tcW w:w="4679" w:type="dxa"/>
            <w:noWrap w:val="0"/>
            <w:vAlign w:val="center"/>
          </w:tcPr>
          <w:p w14:paraId="7001810B">
            <w:pPr>
              <w:numPr>
                <w:ilvl w:val="0"/>
                <w:numId w:val="3"/>
              </w:numPr>
              <w:adjustRightInd w:val="0"/>
              <w:snapToGrid w:val="0"/>
              <w:rPr>
                <w:rFonts w:hint="eastAsia" w:hAnsi="宋体"/>
                <w:color w:val="auto"/>
                <w:highlight w:val="none"/>
              </w:rPr>
            </w:pPr>
            <w:r>
              <w:rPr>
                <w:rFonts w:hint="eastAsia" w:ascii="宋体" w:hAnsi="宋体"/>
                <w:color w:val="auto"/>
                <w:szCs w:val="21"/>
                <w:highlight w:val="none"/>
              </w:rPr>
              <w:t>近36个月内不存在骗取中标、严重违约及因自身的责任而使任何合同被解除的情形</w:t>
            </w:r>
            <w:r>
              <w:rPr>
                <w:rFonts w:hint="eastAsia" w:hAnsi="宋体"/>
                <w:color w:val="auto"/>
                <w:highlight w:val="none"/>
              </w:rPr>
              <w:t xml:space="preserve">。 </w:t>
            </w:r>
          </w:p>
          <w:p w14:paraId="4DA620F8">
            <w:pPr>
              <w:numPr>
                <w:ilvl w:val="0"/>
                <w:numId w:val="0"/>
              </w:numPr>
              <w:adjustRightInd w:val="0"/>
              <w:snapToGrid w:val="0"/>
              <w:rPr>
                <w:rFonts w:hint="eastAsia" w:eastAsia="宋体"/>
                <w:color w:val="auto"/>
                <w:highlight w:val="none"/>
                <w:lang w:val="en-US" w:eastAsia="zh-CN"/>
              </w:rPr>
            </w:pPr>
            <w:r>
              <w:rPr>
                <w:rFonts w:hint="default" w:hAnsi="宋体"/>
                <w:color w:val="auto"/>
                <w:highlight w:val="none"/>
                <w:lang w:val="fr-FR"/>
              </w:rPr>
              <w:t xml:space="preserve">Il </w:t>
            </w:r>
            <w:r>
              <w:rPr>
                <w:rFonts w:hint="eastAsia" w:hAnsi="宋体"/>
                <w:color w:val="auto"/>
                <w:highlight w:val="none"/>
              </w:rPr>
              <w:t>n'y a pas eu, au cours des 36 derniers mois, de cas de fraude pour remporter l'appel d'offres, de rupture grave de contrat ou d'annulation de contrat de sa propre responsabilité.</w:t>
            </w:r>
          </w:p>
        </w:tc>
        <w:tc>
          <w:tcPr>
            <w:tcW w:w="933" w:type="dxa"/>
            <w:vMerge w:val="continue"/>
            <w:noWrap w:val="0"/>
            <w:vAlign w:val="center"/>
          </w:tcPr>
          <w:p w14:paraId="273C02C8">
            <w:pPr>
              <w:adjustRightInd w:val="0"/>
              <w:snapToGrid w:val="0"/>
              <w:jc w:val="center"/>
              <w:rPr>
                <w:rFonts w:hint="eastAsia" w:ascii="Times New Roman"/>
                <w:color w:val="auto"/>
                <w:kern w:val="2"/>
                <w:sz w:val="21"/>
                <w:szCs w:val="20"/>
                <w:highlight w:val="none"/>
                <w:lang w:val="en-US" w:eastAsia="zh-CN" w:bidi="ar-SA"/>
              </w:rPr>
            </w:pPr>
          </w:p>
        </w:tc>
      </w:tr>
      <w:tr w14:paraId="48D8C7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01" w:type="dxa"/>
            <w:vMerge w:val="continue"/>
            <w:noWrap w:val="0"/>
            <w:vAlign w:val="center"/>
          </w:tcPr>
          <w:p w14:paraId="45370DD6">
            <w:pPr>
              <w:adjustRightInd w:val="0"/>
              <w:snapToGrid w:val="0"/>
              <w:ind w:firstLineChars="0"/>
              <w:jc w:val="center"/>
              <w:rPr>
                <w:color w:val="auto"/>
                <w:highlight w:val="none"/>
              </w:rPr>
            </w:pPr>
          </w:p>
        </w:tc>
        <w:tc>
          <w:tcPr>
            <w:tcW w:w="1765" w:type="dxa"/>
            <w:vMerge w:val="continue"/>
            <w:noWrap w:val="0"/>
            <w:vAlign w:val="center"/>
          </w:tcPr>
          <w:p w14:paraId="0466B5F8">
            <w:pPr>
              <w:adjustRightInd w:val="0"/>
              <w:snapToGrid w:val="0"/>
              <w:jc w:val="left"/>
              <w:rPr>
                <w:color w:val="auto"/>
                <w:highlight w:val="none"/>
              </w:rPr>
            </w:pPr>
          </w:p>
        </w:tc>
        <w:tc>
          <w:tcPr>
            <w:tcW w:w="1140" w:type="dxa"/>
            <w:noWrap w:val="0"/>
            <w:vAlign w:val="center"/>
          </w:tcPr>
          <w:p w14:paraId="51BF43BC">
            <w:pPr>
              <w:adjustRightInd w:val="0"/>
              <w:snapToGrid w:val="0"/>
              <w:jc w:val="center"/>
              <w:rPr>
                <w:color w:val="auto"/>
                <w:highlight w:val="none"/>
              </w:rPr>
            </w:pPr>
            <w:r>
              <w:rPr>
                <w:rFonts w:ascii="Times New Roman" w:hAnsi="宋体" w:eastAsia="宋体" w:cs="Times New Roman"/>
                <w:color w:val="auto"/>
                <w:highlight w:val="none"/>
              </w:rPr>
              <w:t>其他要求</w:t>
            </w:r>
            <w:r>
              <w:rPr>
                <w:rFonts w:hint="eastAsia" w:ascii="Times New Roman" w:hAnsi="宋体" w:eastAsia="宋体" w:cs="Times New Roman"/>
                <w:color w:val="auto"/>
                <w:highlight w:val="none"/>
              </w:rPr>
              <w:t>Autres exigences</w:t>
            </w:r>
          </w:p>
        </w:tc>
        <w:tc>
          <w:tcPr>
            <w:tcW w:w="4679" w:type="dxa"/>
            <w:noWrap w:val="0"/>
            <w:vAlign w:val="center"/>
          </w:tcPr>
          <w:p w14:paraId="2C4A65DB">
            <w:pPr>
              <w:numPr>
                <w:ilvl w:val="0"/>
                <w:numId w:val="0"/>
              </w:numPr>
              <w:adjustRightInd w:val="0"/>
              <w:snapToGrid w:val="0"/>
              <w:jc w:val="left"/>
              <w:rPr>
                <w:rFonts w:hint="eastAsia" w:eastAsia="宋体"/>
                <w:color w:val="auto"/>
                <w:highlight w:val="none"/>
                <w:lang w:val="en-US" w:eastAsia="zh-CN"/>
              </w:rPr>
            </w:pPr>
            <w:r>
              <w:rPr>
                <w:rFonts w:hint="eastAsia" w:ascii="宋体" w:hAnsi="宋体"/>
                <w:color w:val="auto"/>
                <w:szCs w:val="21"/>
                <w:highlight w:val="none"/>
                <w:lang w:val="en-US" w:eastAsia="zh-CN"/>
              </w:rPr>
              <w:t>/</w:t>
            </w:r>
          </w:p>
        </w:tc>
        <w:tc>
          <w:tcPr>
            <w:tcW w:w="933" w:type="dxa"/>
            <w:vMerge w:val="continue"/>
            <w:noWrap w:val="0"/>
            <w:vAlign w:val="center"/>
          </w:tcPr>
          <w:p w14:paraId="49A87287">
            <w:pPr>
              <w:adjustRightInd w:val="0"/>
              <w:snapToGrid w:val="0"/>
              <w:jc w:val="center"/>
              <w:rPr>
                <w:color w:val="auto"/>
                <w:highlight w:val="none"/>
              </w:rPr>
            </w:pPr>
          </w:p>
        </w:tc>
      </w:tr>
      <w:tr w14:paraId="24B7B2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01" w:type="dxa"/>
            <w:noWrap w:val="0"/>
            <w:vAlign w:val="center"/>
          </w:tcPr>
          <w:p w14:paraId="4E86B19D">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075DD4B4">
            <w:pPr>
              <w:keepNext w:val="0"/>
              <w:keepLines w:val="0"/>
              <w:pageBreakBefore w:val="0"/>
              <w:widowControl w:val="0"/>
              <w:kinsoku/>
              <w:wordWrap/>
              <w:overflowPunct/>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color w:val="auto"/>
                <w:szCs w:val="21"/>
                <w:highlight w:val="none"/>
              </w:rPr>
            </w:pPr>
            <w:r>
              <w:rPr>
                <w:rFonts w:ascii="宋体" w:hAnsi="宋体"/>
                <w:color w:val="auto"/>
                <w:szCs w:val="21"/>
                <w:highlight w:val="none"/>
              </w:rPr>
              <w:t>是否接受联合体</w:t>
            </w:r>
            <w:r>
              <w:rPr>
                <w:rFonts w:hint="eastAsia" w:ascii="宋体" w:hAnsi="宋体"/>
                <w:color w:val="auto"/>
                <w:szCs w:val="21"/>
                <w:highlight w:val="none"/>
              </w:rPr>
              <w:t>报价</w:t>
            </w:r>
          </w:p>
          <w:p w14:paraId="0E2F3D7B">
            <w:pPr>
              <w:keepNext w:val="0"/>
              <w:keepLines w:val="0"/>
              <w:pageBreakBefore w:val="0"/>
              <w:widowControl w:val="0"/>
              <w:kinsoku/>
              <w:wordWrap/>
              <w:overflowPunct/>
              <w:autoSpaceDE/>
              <w:autoSpaceDN/>
              <w:bidi w:val="0"/>
              <w:adjustRightInd w:val="0"/>
              <w:snapToGrid w:val="0"/>
              <w:spacing w:line="240" w:lineRule="auto"/>
              <w:ind w:left="0" w:leftChars="0" w:right="0" w:rightChars="0" w:firstLine="0" w:firstLineChars="0"/>
              <w:jc w:val="center"/>
              <w:textAlignment w:val="auto"/>
              <w:outlineLvl w:val="9"/>
              <w:rPr>
                <w:rFonts w:hint="eastAsia" w:hAnsi="宋体"/>
                <w:color w:val="auto"/>
                <w:highlight w:val="none"/>
                <w:lang w:eastAsia="zh-CN"/>
              </w:rPr>
            </w:pPr>
            <w:r>
              <w:rPr>
                <w:rFonts w:hint="default" w:ascii="Times New Roman" w:hAnsi="Times New Roman" w:cs="Times New Roman"/>
                <w:color w:val="auto"/>
                <w:szCs w:val="21"/>
                <w:highlight w:val="none"/>
              </w:rPr>
              <w:t>Acceptation ou non de l'offre du consortium</w:t>
            </w:r>
          </w:p>
        </w:tc>
        <w:tc>
          <w:tcPr>
            <w:tcW w:w="5819" w:type="dxa"/>
            <w:gridSpan w:val="2"/>
            <w:noWrap w:val="0"/>
            <w:vAlign w:val="center"/>
          </w:tcPr>
          <w:p w14:paraId="0D5530D0">
            <w:pPr>
              <w:pStyle w:val="11"/>
              <w:keepNext w:val="0"/>
              <w:keepLines w:val="0"/>
              <w:pageBreakBefore w:val="0"/>
              <w:widowControl w:val="0"/>
              <w:kinsoku/>
              <w:wordWrap/>
              <w:overflowPunct/>
              <w:topLinePunct/>
              <w:autoSpaceDE/>
              <w:autoSpaceDN/>
              <w:bidi w:val="0"/>
              <w:adjustRightInd w:val="0"/>
              <w:snapToGrid w:val="0"/>
              <w:spacing w:after="0" w:afterLines="0" w:line="240" w:lineRule="auto"/>
              <w:ind w:left="0" w:leftChars="0" w:right="0" w:rightChars="0" w:firstLine="0" w:firstLineChars="0"/>
              <w:jc w:val="both"/>
              <w:textAlignment w:val="auto"/>
              <w:outlineLvl w:val="9"/>
              <w:rPr>
                <w:rFonts w:ascii="宋体" w:hAnsi="宋体"/>
                <w:color w:val="auto"/>
                <w:kern w:val="2"/>
                <w:sz w:val="21"/>
                <w:szCs w:val="21"/>
                <w:highlight w:val="none"/>
                <w:lang w:val="en-US" w:eastAsia="zh-CN" w:bidi="ar-SA"/>
              </w:rPr>
            </w:pPr>
            <w:r>
              <w:rPr>
                <w:rFonts w:ascii="宋体" w:hAnsi="宋体"/>
                <w:color w:val="auto"/>
                <w:kern w:val="2"/>
                <w:sz w:val="21"/>
                <w:szCs w:val="21"/>
                <w:highlight w:val="none"/>
                <w:lang w:val="en-US" w:eastAsia="zh-CN" w:bidi="ar-SA"/>
              </w:rPr>
              <w:sym w:font="Wingdings 2" w:char="0052"/>
            </w:r>
            <w:r>
              <w:rPr>
                <w:rFonts w:ascii="宋体" w:hAnsi="宋体"/>
                <w:color w:val="auto"/>
                <w:kern w:val="2"/>
                <w:sz w:val="21"/>
                <w:szCs w:val="21"/>
                <w:highlight w:val="none"/>
                <w:lang w:val="en-US" w:eastAsia="zh-CN" w:bidi="ar-SA"/>
              </w:rPr>
              <w:t>不接受</w:t>
            </w:r>
            <w:r>
              <w:rPr>
                <w:rFonts w:hint="eastAsia" w:ascii="宋体" w:hAnsi="宋体"/>
                <w:color w:val="auto"/>
                <w:kern w:val="2"/>
                <w:sz w:val="21"/>
                <w:szCs w:val="21"/>
                <w:highlight w:val="none"/>
                <w:lang w:val="en-US" w:eastAsia="zh-CN" w:bidi="ar-SA"/>
              </w:rPr>
              <w:t xml:space="preserve"> N</w:t>
            </w:r>
            <w:r>
              <w:rPr>
                <w:rFonts w:hint="default" w:ascii="Times New Roman" w:hAnsi="Times New Roman" w:cs="Times New Roman"/>
                <w:color w:val="auto"/>
                <w:kern w:val="2"/>
                <w:sz w:val="21"/>
                <w:szCs w:val="21"/>
                <w:highlight w:val="none"/>
                <w:lang w:val="en-US" w:eastAsia="zh-CN" w:bidi="ar-SA"/>
              </w:rPr>
              <w:t xml:space="preserve">on acceptée </w:t>
            </w:r>
          </w:p>
          <w:p w14:paraId="7B74450F">
            <w:pPr>
              <w:keepNext w:val="0"/>
              <w:keepLines w:val="0"/>
              <w:pageBreakBefore w:val="0"/>
              <w:widowControl w:val="0"/>
              <w:kinsoku/>
              <w:wordWrap/>
              <w:overflowPunct/>
              <w:autoSpaceDE/>
              <w:autoSpaceDN/>
              <w:bidi w:val="0"/>
              <w:adjustRightInd w:val="0"/>
              <w:snapToGrid w:val="0"/>
              <w:spacing w:line="240" w:lineRule="auto"/>
              <w:ind w:left="0" w:leftChars="0" w:right="0" w:rightChars="0" w:firstLine="0" w:firstLineChars="0"/>
              <w:jc w:val="both"/>
              <w:textAlignment w:val="auto"/>
              <w:outlineLvl w:val="9"/>
              <w:rPr>
                <w:rFonts w:ascii="宋体" w:hAnsi="宋体"/>
                <w:color w:val="auto"/>
                <w:szCs w:val="21"/>
                <w:highlight w:val="none"/>
              </w:rPr>
            </w:pPr>
            <w:r>
              <w:rPr>
                <w:rFonts w:ascii="宋体" w:hAnsi="宋体"/>
                <w:color w:val="auto"/>
                <w:szCs w:val="21"/>
                <w:highlight w:val="none"/>
              </w:rPr>
              <w:t>□接受，应满足下列要求：</w:t>
            </w:r>
          </w:p>
          <w:p w14:paraId="74F2DDBF">
            <w:pPr>
              <w:keepNext w:val="0"/>
              <w:keepLines w:val="0"/>
              <w:pageBreakBefore w:val="0"/>
              <w:widowControl w:val="0"/>
              <w:kinsoku/>
              <w:wordWrap/>
              <w:overflowPunct/>
              <w:autoSpaceDE/>
              <w:autoSpaceDN/>
              <w:bidi w:val="0"/>
              <w:adjustRightInd w:val="0"/>
              <w:snapToGrid w:val="0"/>
              <w:spacing w:line="240" w:lineRule="auto"/>
              <w:ind w:left="0" w:leftChars="0" w:right="0" w:rightChars="0" w:firstLine="0" w:firstLineChars="0"/>
              <w:jc w:val="both"/>
              <w:textAlignment w:val="auto"/>
              <w:outlineLvl w:val="9"/>
              <w:rPr>
                <w:rFonts w:hint="eastAsia" w:hAnsi="宋体"/>
                <w:color w:val="auto"/>
                <w:highlight w:val="none"/>
              </w:rPr>
            </w:pPr>
            <w:r>
              <w:rPr>
                <w:rFonts w:hint="default" w:ascii="Times New Roman" w:hAnsi="Times New Roman" w:cs="Times New Roman"/>
                <w:color w:val="auto"/>
                <w:szCs w:val="21"/>
                <w:highlight w:val="none"/>
              </w:rPr>
              <w:t>Accepté, les exigences suivantes doivent être respectées :</w:t>
            </w:r>
          </w:p>
        </w:tc>
        <w:tc>
          <w:tcPr>
            <w:tcW w:w="933" w:type="dxa"/>
            <w:noWrap w:val="0"/>
            <w:vAlign w:val="center"/>
          </w:tcPr>
          <w:p w14:paraId="3EE4A2C8">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1.9</w:t>
            </w:r>
          </w:p>
        </w:tc>
      </w:tr>
      <w:tr w14:paraId="730D05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01" w:type="dxa"/>
            <w:noWrap w:val="0"/>
            <w:vAlign w:val="center"/>
          </w:tcPr>
          <w:p w14:paraId="1D2E972B">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1A042ADB">
            <w:pPr>
              <w:keepNext w:val="0"/>
              <w:keepLines w:val="0"/>
              <w:pageBreakBefore w:val="0"/>
              <w:widowControl w:val="0"/>
              <w:kinsoku/>
              <w:wordWrap/>
              <w:overflowPunct/>
              <w:autoSpaceDE/>
              <w:autoSpaceDN/>
              <w:bidi w:val="0"/>
              <w:adjustRightInd w:val="0"/>
              <w:snapToGrid w:val="0"/>
              <w:spacing w:line="240" w:lineRule="auto"/>
              <w:ind w:left="0" w:leftChars="0" w:right="0" w:rightChars="0"/>
              <w:jc w:val="center"/>
              <w:textAlignment w:val="auto"/>
              <w:outlineLvl w:val="9"/>
              <w:rPr>
                <w:rFonts w:ascii="宋体" w:hAnsi="宋体"/>
                <w:color w:val="auto"/>
                <w:szCs w:val="21"/>
                <w:highlight w:val="none"/>
              </w:rPr>
            </w:pPr>
            <w:r>
              <w:rPr>
                <w:rFonts w:ascii="宋体" w:hAnsi="宋体" w:eastAsia="宋体"/>
                <w:color w:val="auto"/>
                <w:szCs w:val="21"/>
                <w:highlight w:val="none"/>
              </w:rPr>
              <w:t>踏勘现场</w:t>
            </w:r>
            <w:r>
              <w:rPr>
                <w:rFonts w:hint="eastAsia" w:ascii="Times New Roman" w:hAnsi="Times New Roman" w:cs="Times New Roman"/>
                <w:color w:val="auto"/>
                <w:szCs w:val="21"/>
                <w:highlight w:val="none"/>
              </w:rPr>
              <w:t>Enquête sur place</w:t>
            </w:r>
            <w:r>
              <w:rPr>
                <w:rFonts w:hint="eastAsia" w:ascii="宋体" w:hAnsi="宋体" w:eastAsia="宋体"/>
                <w:color w:val="auto"/>
                <w:szCs w:val="21"/>
                <w:highlight w:val="none"/>
              </w:rPr>
              <w:tab/>
            </w:r>
          </w:p>
        </w:tc>
        <w:tc>
          <w:tcPr>
            <w:tcW w:w="5819" w:type="dxa"/>
            <w:gridSpan w:val="2"/>
            <w:noWrap w:val="0"/>
            <w:vAlign w:val="center"/>
          </w:tcPr>
          <w:p w14:paraId="4C0A2E38">
            <w:pPr>
              <w:pStyle w:val="11"/>
              <w:keepNext w:val="0"/>
              <w:keepLines w:val="0"/>
              <w:pageBreakBefore w:val="0"/>
              <w:widowControl w:val="0"/>
              <w:kinsoku/>
              <w:wordWrap/>
              <w:overflowPunct/>
              <w:topLinePunct/>
              <w:autoSpaceDE/>
              <w:autoSpaceDN/>
              <w:bidi w:val="0"/>
              <w:spacing w:after="0" w:afterLines="0" w:line="240" w:lineRule="auto"/>
              <w:ind w:left="0" w:leftChars="0" w:right="0" w:rightChars="0"/>
              <w:textAlignment w:val="auto"/>
              <w:outlineLvl w:val="9"/>
              <w:rPr>
                <w:rFonts w:hint="default" w:ascii="Times New Roman" w:hAnsi="Times New Roman" w:eastAsia="宋体" w:cs="Times New Roman"/>
                <w:color w:val="auto"/>
                <w:sz w:val="21"/>
                <w:szCs w:val="21"/>
                <w:highlight w:val="none"/>
              </w:rPr>
            </w:pPr>
            <w:r>
              <w:rPr>
                <w:rFonts w:ascii="宋体" w:hAnsi="宋体"/>
                <w:color w:val="auto"/>
                <w:kern w:val="2"/>
                <w:sz w:val="21"/>
                <w:szCs w:val="21"/>
                <w:highlight w:val="none"/>
                <w:lang w:val="en-US" w:eastAsia="zh-CN" w:bidi="ar-SA"/>
              </w:rPr>
              <w:sym w:font="Wingdings 2" w:char="0052"/>
            </w:r>
            <w:r>
              <w:rPr>
                <w:rFonts w:hint="eastAsia" w:ascii="宋体" w:hAnsi="宋体" w:eastAsia="宋体"/>
                <w:color w:val="auto"/>
                <w:sz w:val="21"/>
                <w:szCs w:val="21"/>
                <w:highlight w:val="none"/>
              </w:rPr>
              <w:t>不组织</w:t>
            </w:r>
            <w:r>
              <w:rPr>
                <w:rFonts w:hint="default" w:ascii="Times New Roman" w:hAnsi="Times New Roman" w:eastAsia="宋体" w:cs="Times New Roman"/>
                <w:color w:val="auto"/>
                <w:sz w:val="21"/>
                <w:szCs w:val="21"/>
                <w:highlight w:val="none"/>
              </w:rPr>
              <w:t>Non organisée</w:t>
            </w:r>
          </w:p>
          <w:p w14:paraId="3FB4E837">
            <w:pPr>
              <w:pStyle w:val="11"/>
              <w:keepNext w:val="0"/>
              <w:keepLines w:val="0"/>
              <w:pageBreakBefore w:val="0"/>
              <w:widowControl w:val="0"/>
              <w:kinsoku/>
              <w:wordWrap/>
              <w:overflowPunct/>
              <w:topLinePunct/>
              <w:autoSpaceDE/>
              <w:autoSpaceDN/>
              <w:bidi w:val="0"/>
              <w:spacing w:after="0" w:afterLines="0" w:line="240" w:lineRule="auto"/>
              <w:ind w:left="0" w:leftChars="0" w:right="0" w:rightChars="0"/>
              <w:textAlignment w:val="auto"/>
              <w:outlineLvl w:val="9"/>
              <w:rPr>
                <w:rFonts w:hint="default" w:ascii="Times New Roman" w:hAnsi="Times New Roman" w:eastAsia="宋体" w:cs="Times New Roman"/>
                <w:color w:val="auto"/>
                <w:sz w:val="21"/>
                <w:szCs w:val="21"/>
                <w:highlight w:val="none"/>
              </w:rPr>
            </w:pPr>
            <w:r>
              <w:rPr>
                <w:rFonts w:hint="eastAsia" w:ascii="宋体" w:hAnsi="宋体" w:eastAsia="宋体"/>
                <w:color w:val="auto"/>
                <w:sz w:val="21"/>
                <w:szCs w:val="21"/>
                <w:highlight w:val="none"/>
              </w:rPr>
              <w:t>□组织，踏勘时间</w:t>
            </w:r>
            <w:r>
              <w:rPr>
                <w:rFonts w:hint="default" w:ascii="Times New Roman" w:hAnsi="Times New Roman" w:eastAsia="宋体" w:cs="Times New Roman"/>
                <w:color w:val="auto"/>
                <w:sz w:val="21"/>
                <w:szCs w:val="21"/>
                <w:highlight w:val="none"/>
              </w:rPr>
              <w:t>Organisé,Moment de</w:t>
            </w:r>
            <w:r>
              <w:rPr>
                <w:rFonts w:hint="default" w:ascii="Times New Roman" w:hAnsi="Times New Roman" w:cs="Times New Roman"/>
                <w:color w:val="auto"/>
                <w:sz w:val="21"/>
                <w:szCs w:val="21"/>
                <w:highlight w:val="none"/>
                <w:lang w:val="fr-FR"/>
              </w:rPr>
              <w:t xml:space="preserve"> l’Enquête sur place</w:t>
            </w:r>
            <w:r>
              <w:rPr>
                <w:rFonts w:hint="default" w:ascii="Times New Roman" w:hAnsi="Times New Roman" w:eastAsia="宋体" w:cs="Times New Roman"/>
                <w:color w:val="auto"/>
                <w:sz w:val="21"/>
                <w:szCs w:val="21"/>
                <w:highlight w:val="none"/>
              </w:rPr>
              <w:t>：</w:t>
            </w:r>
          </w:p>
          <w:p w14:paraId="7423D888">
            <w:pPr>
              <w:keepNext w:val="0"/>
              <w:keepLines w:val="0"/>
              <w:pageBreakBefore w:val="0"/>
              <w:widowControl w:val="0"/>
              <w:kinsoku/>
              <w:wordWrap/>
              <w:overflowPunct/>
              <w:autoSpaceDE/>
              <w:autoSpaceDN/>
              <w:bidi w:val="0"/>
              <w:spacing w:line="240" w:lineRule="auto"/>
              <w:ind w:left="0" w:leftChars="0" w:right="0" w:rightChars="0" w:firstLine="840" w:firstLineChars="400"/>
              <w:textAlignment w:val="auto"/>
              <w:outlineLvl w:val="9"/>
              <w:rPr>
                <w:rFonts w:ascii="宋体" w:hAnsi="宋体"/>
                <w:color w:val="auto"/>
                <w:szCs w:val="21"/>
                <w:highlight w:val="none"/>
              </w:rPr>
            </w:pPr>
            <w:r>
              <w:rPr>
                <w:rFonts w:hint="eastAsia" w:ascii="宋体" w:hAnsi="宋体" w:eastAsia="宋体"/>
                <w:color w:val="auto"/>
                <w:szCs w:val="21"/>
                <w:highlight w:val="none"/>
              </w:rPr>
              <w:t>踏勘集中地点</w:t>
            </w:r>
            <w:r>
              <w:rPr>
                <w:rFonts w:hint="default" w:ascii="Times New Roman" w:hAnsi="Times New Roman" w:eastAsia="宋体" w:cs="Times New Roman"/>
                <w:color w:val="auto"/>
                <w:szCs w:val="21"/>
                <w:highlight w:val="none"/>
              </w:rPr>
              <w:t>Lieu centralisé de</w:t>
            </w:r>
            <w:r>
              <w:rPr>
                <w:rFonts w:hint="default" w:ascii="Times New Roman" w:hAnsi="Times New Roman" w:cs="Times New Roman"/>
                <w:color w:val="auto"/>
                <w:szCs w:val="21"/>
                <w:highlight w:val="none"/>
                <w:lang w:val="fr-FR"/>
              </w:rPr>
              <w:t xml:space="preserve"> </w:t>
            </w:r>
            <w:r>
              <w:rPr>
                <w:rFonts w:hint="default" w:ascii="Times New Roman" w:hAnsi="Times New Roman" w:cs="Times New Roman"/>
                <w:color w:val="auto"/>
                <w:sz w:val="21"/>
                <w:szCs w:val="21"/>
                <w:highlight w:val="none"/>
                <w:lang w:val="fr-FR"/>
              </w:rPr>
              <w:t>l’Enquête</w:t>
            </w:r>
            <w:r>
              <w:rPr>
                <w:rFonts w:hint="eastAsia" w:ascii="宋体" w:hAnsi="宋体" w:eastAsia="宋体"/>
                <w:color w:val="auto"/>
                <w:szCs w:val="21"/>
                <w:highlight w:val="none"/>
              </w:rPr>
              <w:t>：</w:t>
            </w:r>
          </w:p>
        </w:tc>
        <w:tc>
          <w:tcPr>
            <w:tcW w:w="933" w:type="dxa"/>
            <w:noWrap w:val="0"/>
            <w:vAlign w:val="center"/>
          </w:tcPr>
          <w:p w14:paraId="0BA2B7A4">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1.10</w:t>
            </w:r>
          </w:p>
        </w:tc>
      </w:tr>
      <w:tr w14:paraId="45665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01" w:type="dxa"/>
            <w:noWrap w:val="0"/>
            <w:vAlign w:val="center"/>
          </w:tcPr>
          <w:p w14:paraId="3B1E2C39">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5115486B">
            <w:pPr>
              <w:pStyle w:val="20"/>
              <w:adjustRightInd w:val="0"/>
              <w:snapToGrid w:val="0"/>
              <w:jc w:val="center"/>
              <w:rPr>
                <w:sz w:val="21"/>
                <w:highlight w:val="none"/>
                <w:lang w:val="fr-FR"/>
              </w:rPr>
            </w:pPr>
            <w:r>
              <w:rPr>
                <w:rFonts w:hint="default" w:ascii="Times New Roman" w:hAnsi="Times New Roman"/>
                <w:sz w:val="21"/>
                <w:highlight w:val="none"/>
                <w:lang w:val="fr-FR"/>
              </w:rPr>
              <w:t>响应人</w:t>
            </w:r>
            <w:r>
              <w:rPr>
                <w:rFonts w:ascii="Times New Roman" w:hAnsi="Times New Roman"/>
                <w:sz w:val="21"/>
                <w:highlight w:val="none"/>
                <w:lang w:val="fr-FR"/>
              </w:rPr>
              <w:t>提出问题的截止时间</w:t>
            </w:r>
          </w:p>
          <w:p w14:paraId="3C19CF13">
            <w:pPr>
              <w:pStyle w:val="20"/>
              <w:adjustRightInd w:val="0"/>
              <w:snapToGrid w:val="0"/>
              <w:jc w:val="center"/>
              <w:rPr>
                <w:rFonts w:hAnsi="宋体"/>
                <w:color w:val="auto"/>
                <w:highlight w:val="none"/>
              </w:rPr>
            </w:pPr>
            <w:r>
              <w:rPr>
                <w:rFonts w:hint="default"/>
                <w:sz w:val="21"/>
                <w:highlight w:val="none"/>
                <w:lang w:val="fr-FR"/>
              </w:rPr>
              <w:t>Date limite de soumission des questions par les soumissionnaires</w:t>
            </w:r>
          </w:p>
        </w:tc>
        <w:tc>
          <w:tcPr>
            <w:tcW w:w="5819" w:type="dxa"/>
            <w:gridSpan w:val="2"/>
            <w:noWrap w:val="0"/>
            <w:vAlign w:val="center"/>
          </w:tcPr>
          <w:p w14:paraId="3537D232">
            <w:pPr>
              <w:pStyle w:val="20"/>
              <w:adjustRightInd w:val="0"/>
              <w:snapToGrid w:val="0"/>
              <w:rPr>
                <w:rFonts w:hint="default" w:eastAsia="宋体"/>
                <w:sz w:val="21"/>
                <w:highlight w:val="none"/>
                <w:lang w:val="en-US" w:eastAsia="zh-CN"/>
              </w:rPr>
            </w:pPr>
            <w:r>
              <w:rPr>
                <w:rFonts w:hint="default" w:hAnsi="Times New Roman"/>
                <w:sz w:val="21"/>
                <w:highlight w:val="none"/>
                <w:lang w:val="fr-FR"/>
              </w:rPr>
              <w:t>报价截止日期24小时以前，</w:t>
            </w:r>
            <w:r>
              <w:rPr>
                <w:rFonts w:hAnsi="Times New Roman"/>
                <w:sz w:val="21"/>
                <w:highlight w:val="none"/>
                <w:lang w:val="fr-FR"/>
              </w:rPr>
              <w:t>将需澄清问题电子版（可编辑）发</w:t>
            </w:r>
            <w:r>
              <w:rPr>
                <w:rFonts w:hint="default" w:hAnsi="Times New Roman"/>
                <w:sz w:val="21"/>
                <w:highlight w:val="none"/>
                <w:lang w:val="fr-FR"/>
              </w:rPr>
              <w:t>至</w:t>
            </w:r>
            <w:r>
              <w:rPr>
                <w:rFonts w:hint="eastAsia"/>
                <w:sz w:val="21"/>
                <w:highlight w:val="none"/>
                <w:lang w:val="fr-FR"/>
              </w:rPr>
              <w:t>zbcg@spicld.com</w:t>
            </w:r>
            <w:r>
              <w:rPr>
                <w:sz w:val="21"/>
                <w:highlight w:val="none"/>
                <w:lang w:val="fr-FR"/>
              </w:rPr>
              <w:t>。</w:t>
            </w:r>
            <w:r>
              <w:rPr>
                <w:rFonts w:hint="eastAsia"/>
                <w:sz w:val="21"/>
                <w:highlight w:val="none"/>
                <w:lang w:val="en-US" w:eastAsia="zh-CN"/>
              </w:rPr>
              <w:t>并电话告知622771838，否则视为无澄清问题</w:t>
            </w:r>
          </w:p>
          <w:p w14:paraId="026C22CB">
            <w:pPr>
              <w:pStyle w:val="20"/>
              <w:jc w:val="left"/>
              <w:rPr>
                <w:rFonts w:hAnsi="宋体"/>
                <w:color w:val="auto"/>
                <w:highlight w:val="none"/>
              </w:rPr>
            </w:pPr>
            <w:r>
              <w:rPr>
                <w:rFonts w:hint="eastAsia" w:ascii="Arial" w:hAnsi="Arial" w:eastAsia="宋体" w:cs="Arial"/>
                <w:i w:val="0"/>
                <w:iCs w:val="0"/>
                <w:caps w:val="0"/>
                <w:color w:val="111111"/>
                <w:spacing w:val="0"/>
                <w:sz w:val="21"/>
                <w:szCs w:val="21"/>
                <w:highlight w:val="none"/>
                <w:shd w:val="clear" w:color="auto" w:fill="F7F7F7"/>
              </w:rPr>
              <w:t>Pour les offres soumises avant la date limite de soumission, veuillez envoyer une version électronique des questions à clarifier (modifiable) à l'adresse zbcg@spicld.com, ainsi que vous en informer par téléphone au numéro 622771838 ; dans le cas contraire, ces questions seront considérées comme non clarifiées.</w:t>
            </w:r>
          </w:p>
        </w:tc>
        <w:tc>
          <w:tcPr>
            <w:tcW w:w="933" w:type="dxa"/>
            <w:noWrap w:val="0"/>
            <w:vAlign w:val="center"/>
          </w:tcPr>
          <w:p w14:paraId="33149F53">
            <w:pPr>
              <w:adjustRightInd w:val="0"/>
              <w:snapToGrid w:val="0"/>
              <w:jc w:val="center"/>
              <w:rPr>
                <w:rFonts w:hint="eastAsia" w:hAnsi="宋体"/>
                <w:color w:val="auto"/>
                <w:highlight w:val="none"/>
              </w:rPr>
            </w:pPr>
            <w:r>
              <w:rPr>
                <w:rFonts w:hint="eastAsia" w:hAnsi="宋体"/>
                <w:color w:val="auto"/>
                <w:highlight w:val="none"/>
                <w:lang w:val="en-US" w:eastAsia="zh-CN"/>
              </w:rPr>
              <w:t>/</w:t>
            </w:r>
          </w:p>
        </w:tc>
      </w:tr>
      <w:tr w14:paraId="70DEF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01" w:type="dxa"/>
            <w:noWrap w:val="0"/>
            <w:vAlign w:val="center"/>
          </w:tcPr>
          <w:p w14:paraId="571F09DA">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1334754C">
            <w:pPr>
              <w:pStyle w:val="20"/>
              <w:adjustRightInd w:val="0"/>
              <w:snapToGrid w:val="0"/>
              <w:jc w:val="center"/>
              <w:rPr>
                <w:sz w:val="21"/>
                <w:highlight w:val="none"/>
                <w:lang w:val="fr-FR"/>
              </w:rPr>
            </w:pPr>
            <w:r>
              <w:rPr>
                <w:rFonts w:hint="default"/>
                <w:sz w:val="21"/>
                <w:highlight w:val="none"/>
                <w:lang w:val="fr-FR"/>
              </w:rPr>
              <w:t>采购人</w:t>
            </w:r>
            <w:r>
              <w:rPr>
                <w:sz w:val="21"/>
                <w:highlight w:val="none"/>
                <w:lang w:val="fr-FR"/>
              </w:rPr>
              <w:t>书面澄清</w:t>
            </w:r>
          </w:p>
          <w:p w14:paraId="52930BC2">
            <w:pPr>
              <w:pStyle w:val="20"/>
              <w:adjustRightInd w:val="0"/>
              <w:snapToGrid w:val="0"/>
              <w:jc w:val="center"/>
              <w:rPr>
                <w:rFonts w:hAnsi="宋体"/>
                <w:color w:val="auto"/>
                <w:highlight w:val="none"/>
              </w:rPr>
            </w:pPr>
            <w:r>
              <w:rPr>
                <w:sz w:val="21"/>
                <w:highlight w:val="none"/>
                <w:lang w:val="fr-FR"/>
              </w:rPr>
              <w:t>Clarification écrite de l’acheteur</w:t>
            </w:r>
          </w:p>
        </w:tc>
        <w:tc>
          <w:tcPr>
            <w:tcW w:w="5819" w:type="dxa"/>
            <w:gridSpan w:val="2"/>
            <w:noWrap w:val="0"/>
            <w:vAlign w:val="center"/>
          </w:tcPr>
          <w:p w14:paraId="6D205B22">
            <w:pPr>
              <w:pStyle w:val="20"/>
              <w:adjustRightInd w:val="0"/>
              <w:snapToGrid w:val="0"/>
              <w:rPr>
                <w:rFonts w:hAnsi="Times New Roman"/>
                <w:sz w:val="21"/>
                <w:highlight w:val="none"/>
                <w:lang w:val="fr-FR"/>
              </w:rPr>
            </w:pPr>
            <w:r>
              <w:rPr>
                <w:rFonts w:hint="default" w:hAnsi="Times New Roman"/>
                <w:sz w:val="21"/>
                <w:highlight w:val="none"/>
                <w:lang w:val="fr-FR"/>
              </w:rPr>
              <w:t>采购人对要求澄清问题的合理部分予以答复，并将电子版澄清答复文件</w:t>
            </w:r>
            <w:r>
              <w:rPr>
                <w:rFonts w:hint="eastAsia"/>
                <w:sz w:val="21"/>
                <w:highlight w:val="none"/>
                <w:lang w:val="en-US" w:eastAsia="zh-CN"/>
              </w:rPr>
              <w:t>回复至澄清问题提出单位邮箱</w:t>
            </w:r>
            <w:r>
              <w:rPr>
                <w:sz w:val="21"/>
                <w:highlight w:val="none"/>
                <w:lang w:val="fr-FR"/>
              </w:rPr>
              <w:t>。</w:t>
            </w:r>
            <w:r>
              <w:rPr>
                <w:rFonts w:hint="default" w:hAnsi="Times New Roman"/>
                <w:sz w:val="21"/>
                <w:highlight w:val="none"/>
                <w:lang w:val="fr-FR"/>
              </w:rPr>
              <w:t>采购人书面要求响应人澄清的问题，响应人应在收到澄清文件按规定时间回复。</w:t>
            </w:r>
          </w:p>
          <w:p w14:paraId="5A39926E">
            <w:pPr>
              <w:pStyle w:val="20"/>
              <w:jc w:val="left"/>
              <w:rPr>
                <w:rFonts w:hint="default" w:hAnsi="宋体" w:eastAsia="宋体"/>
                <w:color w:val="auto"/>
                <w:highlight w:val="none"/>
                <w:lang w:val="fr-FR" w:eastAsia="zh-CN"/>
              </w:rPr>
            </w:pPr>
            <w:r>
              <w:rPr>
                <w:rFonts w:ascii="Arial" w:hAnsi="Arial" w:eastAsia="宋体" w:cs="Arial"/>
                <w:i w:val="0"/>
                <w:iCs w:val="0"/>
                <w:caps w:val="0"/>
                <w:color w:val="111111"/>
                <w:spacing w:val="0"/>
                <w:sz w:val="21"/>
                <w:szCs w:val="21"/>
                <w:highlight w:val="none"/>
                <w:shd w:val="clear" w:color="auto" w:fill="F7F7F7"/>
              </w:rPr>
              <w:t xml:space="preserve">L'acheteur répond aux questions de clarification raisonnables et télécharge la version électronique de la réponse de clarification sur </w:t>
            </w:r>
            <w:r>
              <w:rPr>
                <w:rFonts w:hint="eastAsia" w:ascii="Arial" w:hAnsi="Arial" w:eastAsia="宋体" w:cs="Arial"/>
                <w:i w:val="0"/>
                <w:iCs w:val="0"/>
                <w:caps w:val="0"/>
                <w:color w:val="111111"/>
                <w:spacing w:val="0"/>
                <w:sz w:val="21"/>
                <w:szCs w:val="21"/>
                <w:highlight w:val="none"/>
                <w:shd w:val="clear" w:color="auto" w:fill="F7F7F7"/>
              </w:rPr>
              <w:t>zbcg@spicld.com</w:t>
            </w:r>
            <w:r>
              <w:rPr>
                <w:rFonts w:ascii="Arial" w:hAnsi="Arial" w:eastAsia="宋体" w:cs="Arial"/>
                <w:i w:val="0"/>
                <w:iCs w:val="0"/>
                <w:caps w:val="0"/>
                <w:color w:val="111111"/>
                <w:spacing w:val="0"/>
                <w:sz w:val="21"/>
                <w:szCs w:val="21"/>
                <w:highlight w:val="none"/>
                <w:shd w:val="clear" w:color="auto" w:fill="F7F7F7"/>
              </w:rPr>
              <w:t>. Si l'acheteur demande par écrit au répondant de clarifier certaines questions, le répondant doit répondre dans le délai prescrit après avoir reçu le document de clarification.</w:t>
            </w:r>
          </w:p>
        </w:tc>
        <w:tc>
          <w:tcPr>
            <w:tcW w:w="933" w:type="dxa"/>
            <w:noWrap w:val="0"/>
            <w:vAlign w:val="center"/>
          </w:tcPr>
          <w:p w14:paraId="3B29C89F">
            <w:pPr>
              <w:adjustRightInd w:val="0"/>
              <w:snapToGrid w:val="0"/>
              <w:jc w:val="center"/>
              <w:rPr>
                <w:rFonts w:hint="eastAsia" w:hAnsi="宋体"/>
                <w:color w:val="auto"/>
                <w:highlight w:val="none"/>
              </w:rPr>
            </w:pPr>
            <w:r>
              <w:rPr>
                <w:rFonts w:hint="eastAsia" w:hAnsi="宋体"/>
                <w:color w:val="auto"/>
                <w:highlight w:val="none"/>
                <w:lang w:val="en-US" w:eastAsia="zh-CN"/>
              </w:rPr>
              <w:t>/</w:t>
            </w:r>
          </w:p>
        </w:tc>
      </w:tr>
      <w:tr w14:paraId="4D309C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7A5E54BC">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42442F20">
            <w:pPr>
              <w:adjustRightInd w:val="0"/>
              <w:snapToGrid w:val="0"/>
              <w:jc w:val="center"/>
              <w:rPr>
                <w:rFonts w:ascii="宋体" w:hAnsi="宋体" w:eastAsia="宋体"/>
                <w:color w:val="auto"/>
                <w:szCs w:val="21"/>
                <w:highlight w:val="none"/>
              </w:rPr>
            </w:pPr>
            <w:r>
              <w:rPr>
                <w:rFonts w:ascii="宋体" w:hAnsi="宋体" w:eastAsia="宋体"/>
                <w:color w:val="auto"/>
                <w:szCs w:val="21"/>
                <w:highlight w:val="none"/>
              </w:rPr>
              <w:t>实质性要求和条件</w:t>
            </w:r>
          </w:p>
          <w:p w14:paraId="20F75CD2">
            <w:pPr>
              <w:adjustRightInd w:val="0"/>
              <w:snapToGrid w:val="0"/>
              <w:jc w:val="center"/>
              <w:rPr>
                <w:rFonts w:hAnsi="宋体"/>
                <w:color w:val="auto"/>
                <w:highlight w:val="none"/>
              </w:rPr>
            </w:pPr>
            <w:r>
              <w:rPr>
                <w:rFonts w:hint="eastAsia" w:ascii="Times New Roman" w:hAnsi="宋体" w:cs="Times New Roman"/>
                <w:color w:val="auto"/>
                <w:highlight w:val="none"/>
              </w:rPr>
              <w:t>Exigences et conditions de base</w:t>
            </w:r>
          </w:p>
        </w:tc>
        <w:tc>
          <w:tcPr>
            <w:tcW w:w="5819" w:type="dxa"/>
            <w:gridSpan w:val="2"/>
            <w:noWrap w:val="0"/>
            <w:vAlign w:val="center"/>
          </w:tcPr>
          <w:p w14:paraId="20B84976">
            <w:pPr>
              <w:adjustRightInd w:val="0"/>
              <w:snapToGrid w:val="0"/>
              <w:rPr>
                <w:rFonts w:hint="eastAsia" w:ascii="宋体" w:hAnsi="宋体" w:eastAsia="宋体"/>
                <w:b/>
                <w:color w:val="auto"/>
                <w:szCs w:val="21"/>
                <w:highlight w:val="none"/>
              </w:rPr>
            </w:pPr>
            <w:r>
              <w:rPr>
                <w:rFonts w:hint="eastAsia" w:ascii="宋体" w:hAnsi="宋体" w:eastAsia="宋体"/>
                <w:color w:val="auto"/>
                <w:szCs w:val="21"/>
                <w:highlight w:val="none"/>
              </w:rPr>
              <w:t>详见</w:t>
            </w:r>
            <w:r>
              <w:rPr>
                <w:rFonts w:hint="eastAsia" w:ascii="宋体" w:hAnsi="宋体" w:eastAsia="宋体"/>
                <w:color w:val="auto"/>
                <w:szCs w:val="21"/>
                <w:highlight w:val="none"/>
                <w:lang w:val="en-US" w:eastAsia="zh-CN"/>
              </w:rPr>
              <w:t>采购文件</w:t>
            </w:r>
            <w:r>
              <w:rPr>
                <w:rFonts w:hint="eastAsia" w:ascii="宋体" w:hAnsi="宋体" w:eastAsia="宋体"/>
                <w:color w:val="auto"/>
                <w:szCs w:val="21"/>
                <w:highlight w:val="none"/>
              </w:rPr>
              <w:t>中“*”条款，不响应的将否决</w:t>
            </w:r>
            <w:r>
              <w:rPr>
                <w:rFonts w:hint="eastAsia" w:ascii="宋体" w:hAnsi="宋体" w:eastAsia="宋体"/>
                <w:color w:val="auto"/>
                <w:szCs w:val="21"/>
                <w:highlight w:val="none"/>
                <w:lang w:val="en-US" w:eastAsia="zh-CN"/>
              </w:rPr>
              <w:t>报价</w:t>
            </w:r>
            <w:r>
              <w:rPr>
                <w:rFonts w:hint="eastAsia" w:ascii="宋体" w:hAnsi="宋体" w:eastAsia="宋体"/>
                <w:color w:val="auto"/>
                <w:szCs w:val="21"/>
                <w:highlight w:val="none"/>
              </w:rPr>
              <w:t>。</w:t>
            </w:r>
          </w:p>
          <w:p w14:paraId="5D2616D1">
            <w:pPr>
              <w:adjustRightInd w:val="0"/>
              <w:snapToGrid w:val="0"/>
              <w:rPr>
                <w:rFonts w:ascii="宋体" w:hAnsi="宋体"/>
                <w:color w:val="auto"/>
                <w:sz w:val="21"/>
                <w:szCs w:val="21"/>
                <w:highlight w:val="none"/>
              </w:rPr>
            </w:pPr>
            <w:r>
              <w:rPr>
                <w:rFonts w:hint="default" w:ascii="Times New Roman" w:hAnsi="Times New Roman" w:eastAsia="宋体" w:cs="Times New Roman"/>
                <w:b w:val="0"/>
                <w:bCs/>
                <w:color w:val="auto"/>
                <w:szCs w:val="21"/>
                <w:highlight w:val="none"/>
              </w:rPr>
              <w:t xml:space="preserve">Se référer à la clause "*" des documents de passation de marchés pour plus de détails, et les offres seront rejetées si elles ne sont pas conformes. </w:t>
            </w:r>
          </w:p>
        </w:tc>
        <w:tc>
          <w:tcPr>
            <w:tcW w:w="933" w:type="dxa"/>
            <w:noWrap w:val="0"/>
            <w:vAlign w:val="center"/>
          </w:tcPr>
          <w:p w14:paraId="0C7D8229">
            <w:pPr>
              <w:adjustRightInd w:val="0"/>
              <w:snapToGrid w:val="0"/>
              <w:jc w:val="center"/>
              <w:rPr>
                <w:rFonts w:hint="eastAsia" w:ascii="宋体" w:hAnsi="宋体" w:eastAsia="宋体"/>
                <w:color w:val="auto"/>
                <w:szCs w:val="21"/>
                <w:highlight w:val="none"/>
              </w:rPr>
            </w:pPr>
            <w:r>
              <w:rPr>
                <w:rFonts w:hint="eastAsia" w:hAnsi="宋体"/>
                <w:color w:val="auto"/>
                <w:highlight w:val="none"/>
                <w:lang w:val="en-US" w:eastAsia="zh-CN"/>
              </w:rPr>
              <w:t>/</w:t>
            </w:r>
          </w:p>
        </w:tc>
      </w:tr>
      <w:tr w14:paraId="0927F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2AEC6703">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2C932B3C">
            <w:pPr>
              <w:adjustRightInd w:val="0"/>
              <w:snapToGrid w:val="0"/>
              <w:jc w:val="center"/>
              <w:rPr>
                <w:rFonts w:hAnsi="宋体"/>
                <w:color w:val="auto"/>
                <w:highlight w:val="none"/>
              </w:rPr>
            </w:pPr>
            <w:r>
              <w:rPr>
                <w:rFonts w:hint="eastAsia" w:hAnsi="宋体"/>
                <w:color w:val="auto"/>
                <w:highlight w:val="none"/>
                <w:lang w:val="en-US" w:eastAsia="zh-CN"/>
              </w:rPr>
              <w:t>报价</w:t>
            </w:r>
            <w:r>
              <w:rPr>
                <w:rFonts w:hAnsi="宋体"/>
                <w:color w:val="auto"/>
                <w:highlight w:val="none"/>
              </w:rPr>
              <w:t>有效期</w:t>
            </w:r>
            <w:r>
              <w:rPr>
                <w:rFonts w:hint="eastAsia" w:hAnsi="宋体"/>
                <w:color w:val="auto"/>
                <w:highlight w:val="none"/>
              </w:rPr>
              <w:t>Durée de validité de la soumission</w:t>
            </w:r>
          </w:p>
        </w:tc>
        <w:tc>
          <w:tcPr>
            <w:tcW w:w="5819" w:type="dxa"/>
            <w:gridSpan w:val="2"/>
            <w:noWrap w:val="0"/>
            <w:vAlign w:val="center"/>
          </w:tcPr>
          <w:p w14:paraId="5987F910">
            <w:pPr>
              <w:adjustRightInd w:val="0"/>
              <w:snapToGrid w:val="0"/>
              <w:rPr>
                <w:rFonts w:hAnsi="宋体"/>
                <w:color w:val="auto"/>
                <w:highlight w:val="none"/>
              </w:rPr>
            </w:pPr>
            <w:r>
              <w:rPr>
                <w:rFonts w:hAnsi="宋体"/>
                <w:color w:val="auto"/>
                <w:highlight w:val="none"/>
              </w:rPr>
              <w:t>自规定的</w:t>
            </w:r>
            <w:r>
              <w:rPr>
                <w:rFonts w:hint="eastAsia" w:hAnsi="宋体"/>
                <w:color w:val="auto"/>
                <w:highlight w:val="none"/>
                <w:lang w:val="en-US" w:eastAsia="zh-CN"/>
              </w:rPr>
              <w:t>报价</w:t>
            </w:r>
            <w:r>
              <w:rPr>
                <w:rFonts w:hAnsi="宋体"/>
                <w:color w:val="auto"/>
                <w:highlight w:val="none"/>
              </w:rPr>
              <w:t>截止日期后</w:t>
            </w:r>
            <w:r>
              <w:rPr>
                <w:rFonts w:hint="eastAsia" w:hAnsi="宋体"/>
                <w:color w:val="auto"/>
                <w:highlight w:val="none"/>
                <w:lang w:val="en-US" w:eastAsia="zh-CN"/>
              </w:rPr>
              <w:t>90</w:t>
            </w:r>
            <w:r>
              <w:rPr>
                <w:rFonts w:hAnsi="宋体"/>
                <w:color w:val="auto"/>
                <w:highlight w:val="none"/>
              </w:rPr>
              <w:t>天</w:t>
            </w:r>
          </w:p>
          <w:p w14:paraId="24C14C47">
            <w:pPr>
              <w:adjustRightInd w:val="0"/>
              <w:snapToGrid w:val="0"/>
              <w:rPr>
                <w:rFonts w:hint="eastAsia" w:hAnsi="宋体" w:eastAsia="宋体"/>
                <w:color w:val="auto"/>
                <w:highlight w:val="none"/>
                <w:lang w:eastAsia="zh-CN"/>
              </w:rPr>
            </w:pPr>
            <w:r>
              <w:rPr>
                <w:rFonts w:hint="eastAsia" w:hAnsi="宋体"/>
                <w:color w:val="auto"/>
                <w:highlight w:val="none"/>
              </w:rPr>
              <w:t>90 jours à compter de la date limite de soumission spécifiée</w:t>
            </w:r>
          </w:p>
        </w:tc>
        <w:tc>
          <w:tcPr>
            <w:tcW w:w="933" w:type="dxa"/>
            <w:noWrap w:val="0"/>
            <w:vAlign w:val="center"/>
          </w:tcPr>
          <w:p w14:paraId="7BD1D2D4">
            <w:pPr>
              <w:adjustRightInd w:val="0"/>
              <w:snapToGrid w:val="0"/>
              <w:jc w:val="center"/>
              <w:rPr>
                <w:rFonts w:hAnsi="宋体"/>
                <w:color w:val="auto"/>
                <w:highlight w:val="none"/>
              </w:rPr>
            </w:pPr>
            <w:r>
              <w:rPr>
                <w:rFonts w:hint="eastAsia" w:hAnsi="宋体"/>
                <w:color w:val="auto"/>
                <w:highlight w:val="none"/>
                <w:lang w:val="en-US" w:eastAsia="zh-CN"/>
              </w:rPr>
              <w:t>/</w:t>
            </w:r>
          </w:p>
        </w:tc>
      </w:tr>
      <w:tr w14:paraId="79348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03971027">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72CDF908">
            <w:pPr>
              <w:adjustRightInd w:val="0"/>
              <w:snapToGrid w:val="0"/>
              <w:jc w:val="center"/>
              <w:rPr>
                <w:rFonts w:hAnsi="宋体"/>
                <w:color w:val="auto"/>
                <w:highlight w:val="none"/>
              </w:rPr>
            </w:pPr>
            <w:r>
              <w:rPr>
                <w:rFonts w:hAnsi="宋体"/>
                <w:color w:val="auto"/>
                <w:highlight w:val="none"/>
              </w:rPr>
              <w:t>签字或盖章要求</w:t>
            </w:r>
            <w:r>
              <w:rPr>
                <w:rFonts w:hint="eastAsia" w:hAnsi="宋体"/>
                <w:color w:val="auto"/>
                <w:highlight w:val="none"/>
              </w:rPr>
              <w:t>Exigences en matière de signature ou de sceau</w:t>
            </w:r>
          </w:p>
        </w:tc>
        <w:tc>
          <w:tcPr>
            <w:tcW w:w="5819" w:type="dxa"/>
            <w:gridSpan w:val="2"/>
            <w:noWrap w:val="0"/>
            <w:vAlign w:val="center"/>
          </w:tcPr>
          <w:p w14:paraId="2A7C6524">
            <w:pPr>
              <w:adjustRightInd w:val="0"/>
              <w:snapToGrid w:val="0"/>
              <w:rPr>
                <w:rFonts w:hint="eastAsia" w:ascii="宋体" w:hAnsi="宋体"/>
                <w:color w:val="auto"/>
                <w:szCs w:val="21"/>
                <w:highlight w:val="none"/>
              </w:rPr>
            </w:pPr>
            <w:r>
              <w:rPr>
                <w:rFonts w:hint="eastAsia" w:ascii="宋体" w:hAnsi="宋体"/>
                <w:color w:val="auto"/>
                <w:szCs w:val="21"/>
                <w:highlight w:val="none"/>
              </w:rPr>
              <w:t>按照本采购文件的相关要求和规定在封面、表格、证明材料、其他材料等相关位置加盖单位章、法定代表人或其委托代理人签字或盖章。</w:t>
            </w:r>
          </w:p>
          <w:p w14:paraId="0E39D111">
            <w:pPr>
              <w:adjustRightInd w:val="0"/>
              <w:snapToGrid w:val="0"/>
              <w:rPr>
                <w:rFonts w:hAnsi="宋体"/>
                <w:color w:val="auto"/>
                <w:highlight w:val="none"/>
              </w:rPr>
            </w:pPr>
            <w:r>
              <w:rPr>
                <w:rFonts w:hint="eastAsia" w:ascii="Times New Roman" w:hAnsi="Times New Roman" w:eastAsia="宋体" w:cs="Times New Roman"/>
                <w:b w:val="0"/>
                <w:bCs/>
                <w:color w:val="auto"/>
                <w:szCs w:val="21"/>
                <w:highlight w:val="none"/>
              </w:rPr>
              <w:t>Apposer le cachet de la société, la signature ou le cachet du représentant légal ou de son agent délégué sur la couverture, les formulaires, les documents justificatifs, les autres documents et les autres emplacements pertinents conformément aux exigences et dispositions pertinentes du présent document de passation de marché.</w:t>
            </w:r>
          </w:p>
        </w:tc>
        <w:tc>
          <w:tcPr>
            <w:tcW w:w="933" w:type="dxa"/>
            <w:noWrap w:val="0"/>
            <w:vAlign w:val="center"/>
          </w:tcPr>
          <w:p w14:paraId="46A775ED">
            <w:pPr>
              <w:adjustRightInd w:val="0"/>
              <w:snapToGrid w:val="0"/>
              <w:jc w:val="center"/>
              <w:rPr>
                <w:rFonts w:hAnsi="宋体"/>
                <w:color w:val="auto"/>
                <w:highlight w:val="none"/>
              </w:rPr>
            </w:pPr>
            <w:r>
              <w:rPr>
                <w:rFonts w:hint="eastAsia" w:hAnsi="宋体"/>
                <w:color w:val="auto"/>
                <w:highlight w:val="none"/>
                <w:lang w:val="en-US" w:eastAsia="zh-CN"/>
              </w:rPr>
              <w:t>/</w:t>
            </w:r>
          </w:p>
        </w:tc>
      </w:tr>
      <w:tr w14:paraId="60EED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06146A81">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32AA507D">
            <w:pPr>
              <w:adjustRightInd w:val="0"/>
              <w:snapToGrid w:val="0"/>
              <w:jc w:val="center"/>
              <w:rPr>
                <w:rFonts w:hAnsi="宋体"/>
                <w:color w:val="auto"/>
                <w:highlight w:val="none"/>
              </w:rPr>
            </w:pPr>
            <w:r>
              <w:rPr>
                <w:rFonts w:hAnsi="宋体"/>
                <w:color w:val="auto"/>
                <w:highlight w:val="none"/>
              </w:rPr>
              <w:t>最高限价</w:t>
            </w:r>
          </w:p>
          <w:p w14:paraId="0C8276B5">
            <w:pPr>
              <w:adjustRightInd w:val="0"/>
              <w:snapToGrid w:val="0"/>
              <w:jc w:val="center"/>
              <w:rPr>
                <w:rFonts w:hAnsi="宋体"/>
                <w:color w:val="auto"/>
                <w:highlight w:val="none"/>
              </w:rPr>
            </w:pPr>
            <w:r>
              <w:rPr>
                <w:rFonts w:hint="eastAsia" w:hAnsi="宋体"/>
                <w:color w:val="auto"/>
                <w:highlight w:val="none"/>
              </w:rPr>
              <w:t>Prix maximum</w:t>
            </w:r>
          </w:p>
        </w:tc>
        <w:tc>
          <w:tcPr>
            <w:tcW w:w="5819" w:type="dxa"/>
            <w:gridSpan w:val="2"/>
            <w:noWrap w:val="0"/>
            <w:vAlign w:val="center"/>
          </w:tcPr>
          <w:p w14:paraId="39E814E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imes New Roman" w:hAnsi="Times New Roman" w:eastAsia="宋体" w:cs="Times New Roman"/>
                <w:b w:val="0"/>
                <w:bCs/>
                <w:color w:val="auto"/>
                <w:szCs w:val="21"/>
                <w:highlight w:val="none"/>
              </w:rPr>
            </w:pPr>
            <w:r>
              <w:rPr>
                <w:rFonts w:ascii="宋体" w:hAnsi="宋体"/>
                <w:color w:val="auto"/>
                <w:kern w:val="2"/>
                <w:sz w:val="21"/>
                <w:szCs w:val="21"/>
                <w:highlight w:val="none"/>
                <w:lang w:val="en-US" w:eastAsia="zh-CN" w:bidi="ar-SA"/>
              </w:rPr>
              <w:sym w:font="Wingdings 2" w:char="0052"/>
            </w:r>
            <w:r>
              <w:rPr>
                <w:rFonts w:hint="eastAsia" w:ascii="宋体" w:hAnsi="宋体"/>
                <w:color w:val="auto"/>
                <w:szCs w:val="21"/>
                <w:highlight w:val="none"/>
              </w:rPr>
              <w:t>不设置</w:t>
            </w:r>
            <w:r>
              <w:rPr>
                <w:rFonts w:hint="eastAsia" w:ascii="Times New Roman" w:hAnsi="Times New Roman" w:eastAsia="宋体" w:cs="Times New Roman"/>
                <w:b w:val="0"/>
                <w:bCs/>
                <w:color w:val="auto"/>
                <w:szCs w:val="21"/>
                <w:highlight w:val="none"/>
              </w:rPr>
              <w:t>Pas fixé</w:t>
            </w:r>
          </w:p>
          <w:p w14:paraId="2A61400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Ansi="宋体"/>
                <w:color w:val="auto"/>
                <w:highlight w:val="none"/>
              </w:rPr>
            </w:pPr>
            <w:r>
              <w:rPr>
                <w:rFonts w:hint="eastAsia" w:ascii="宋体" w:hAnsi="宋体"/>
                <w:color w:val="auto"/>
                <w:szCs w:val="21"/>
                <w:highlight w:val="none"/>
              </w:rPr>
              <w:t>□设置</w:t>
            </w:r>
            <w:r>
              <w:rPr>
                <w:rFonts w:hint="eastAsia" w:ascii="宋体" w:hAnsi="宋体"/>
                <w:color w:val="auto"/>
                <w:szCs w:val="21"/>
                <w:highlight w:val="none"/>
                <w:lang w:eastAsia="zh-CN"/>
              </w:rPr>
              <w:t>，</w:t>
            </w:r>
            <w:r>
              <w:rPr>
                <w:rFonts w:hint="eastAsia" w:ascii="宋体" w:hAnsi="宋体"/>
                <w:color w:val="auto"/>
                <w:szCs w:val="21"/>
                <w:highlight w:val="none"/>
              </w:rPr>
              <w:t>最高限价</w:t>
            </w:r>
            <w:r>
              <w:rPr>
                <w:rFonts w:hint="eastAsia" w:ascii="Times New Roman" w:hAnsi="Times New Roman" w:eastAsia="宋体" w:cs="Times New Roman"/>
                <w:b w:val="0"/>
                <w:bCs/>
                <w:color w:val="auto"/>
                <w:szCs w:val="21"/>
                <w:highlight w:val="none"/>
              </w:rPr>
              <w:t>Fixé, prix maximu</w:t>
            </w:r>
            <w:r>
              <w:rPr>
                <w:rFonts w:hint="default" w:ascii="Times New Roman" w:hAnsi="Times New Roman" w:eastAsia="宋体" w:cs="Times New Roman"/>
                <w:b w:val="0"/>
                <w:bCs/>
                <w:color w:val="auto"/>
                <w:szCs w:val="21"/>
                <w:highlight w:val="none"/>
                <w:lang w:val="fr-FR"/>
              </w:rPr>
              <w:t xml:space="preserve"> </w:t>
            </w:r>
            <w:r>
              <w:rPr>
                <w:rFonts w:hint="eastAsia" w:ascii="宋体" w:hAnsi="宋体"/>
                <w:color w:val="auto"/>
                <w:szCs w:val="21"/>
                <w:highlight w:val="none"/>
              </w:rPr>
              <w:t>：</w:t>
            </w:r>
          </w:p>
        </w:tc>
        <w:tc>
          <w:tcPr>
            <w:tcW w:w="933" w:type="dxa"/>
            <w:noWrap w:val="0"/>
            <w:vAlign w:val="center"/>
          </w:tcPr>
          <w:p w14:paraId="7767096D">
            <w:pPr>
              <w:adjustRightInd w:val="0"/>
              <w:snapToGrid w:val="0"/>
              <w:jc w:val="center"/>
              <w:outlineLvl w:val="9"/>
              <w:rPr>
                <w:rFonts w:hAnsi="宋体"/>
                <w:color w:val="auto"/>
                <w:highlight w:val="none"/>
              </w:rPr>
            </w:pPr>
            <w:r>
              <w:rPr>
                <w:rFonts w:hint="eastAsia" w:hAnsi="宋体"/>
                <w:color w:val="auto"/>
                <w:highlight w:val="none"/>
                <w:lang w:val="en-US" w:eastAsia="zh-CN"/>
              </w:rPr>
              <w:t>/</w:t>
            </w:r>
          </w:p>
        </w:tc>
      </w:tr>
      <w:tr w14:paraId="5C3A0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1BD3BFE1">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567E81A7">
            <w:pPr>
              <w:pStyle w:val="20"/>
              <w:adjustRightInd w:val="0"/>
              <w:snapToGrid w:val="0"/>
              <w:jc w:val="center"/>
              <w:rPr>
                <w:sz w:val="21"/>
                <w:highlight w:val="none"/>
                <w:lang w:val="fr-FR"/>
              </w:rPr>
            </w:pPr>
            <w:r>
              <w:rPr>
                <w:rFonts w:hint="default" w:ascii="Times New Roman" w:hAnsi="Times New Roman"/>
                <w:sz w:val="21"/>
                <w:highlight w:val="none"/>
                <w:lang w:val="fr-FR"/>
              </w:rPr>
              <w:t>报价</w:t>
            </w:r>
            <w:r>
              <w:rPr>
                <w:rFonts w:ascii="Times New Roman" w:hAnsi="Times New Roman"/>
                <w:sz w:val="21"/>
                <w:highlight w:val="none"/>
                <w:lang w:val="fr-FR"/>
              </w:rPr>
              <w:t>截止时间</w:t>
            </w:r>
          </w:p>
          <w:p w14:paraId="03FE2618">
            <w:pPr>
              <w:pStyle w:val="20"/>
              <w:adjustRightInd w:val="0"/>
              <w:snapToGrid w:val="0"/>
              <w:jc w:val="center"/>
              <w:rPr>
                <w:color w:val="FF0000"/>
                <w:highlight w:val="none"/>
              </w:rPr>
            </w:pPr>
            <w:r>
              <w:rPr>
                <w:rFonts w:hint="default"/>
                <w:sz w:val="21"/>
                <w:highlight w:val="none"/>
                <w:lang w:val="fr-FR"/>
              </w:rPr>
              <w:t>Date limite de soumission</w:t>
            </w:r>
          </w:p>
        </w:tc>
        <w:tc>
          <w:tcPr>
            <w:tcW w:w="5819" w:type="dxa"/>
            <w:gridSpan w:val="2"/>
            <w:noWrap w:val="0"/>
            <w:vAlign w:val="center"/>
          </w:tcPr>
          <w:p w14:paraId="149FF541">
            <w:pPr>
              <w:pStyle w:val="20"/>
              <w:adjustRightInd w:val="0"/>
              <w:snapToGrid w:val="0"/>
              <w:rPr>
                <w:rFonts w:ascii="Times New Roman" w:hAnsi="Times New Roman" w:cs="Times New Roman"/>
                <w:sz w:val="21"/>
                <w:highlight w:val="none"/>
                <w:lang w:val="fr-FR"/>
              </w:rPr>
            </w:pPr>
            <w:r>
              <w:rPr>
                <w:rFonts w:hint="default" w:hAnsi="Times New Roman"/>
                <w:sz w:val="21"/>
                <w:highlight w:val="none"/>
                <w:lang w:val="fr-FR"/>
              </w:rPr>
              <w:t>以</w:t>
            </w:r>
            <w:r>
              <w:rPr>
                <w:rFonts w:hint="default" w:ascii="Times New Roman" w:hAnsi="Times New Roman" w:cs="Times New Roman"/>
                <w:sz w:val="21"/>
                <w:highlight w:val="none"/>
                <w:lang w:val="fr-FR"/>
              </w:rPr>
              <w:t>平台公告为准。</w:t>
            </w:r>
          </w:p>
          <w:p w14:paraId="69B97EF7">
            <w:pPr>
              <w:pStyle w:val="20"/>
              <w:rPr>
                <w:rFonts w:hint="default"/>
                <w:b/>
                <w:bCs/>
                <w:color w:val="FF0000"/>
                <w:highlight w:val="none"/>
                <w:lang w:val="en-US" w:eastAsia="zh-CN"/>
              </w:rPr>
            </w:pPr>
            <w:r>
              <w:rPr>
                <w:sz w:val="21"/>
                <w:highlight w:val="none"/>
                <w:lang w:val="fr-FR"/>
              </w:rPr>
              <w:t>Sous réserve des annonces publiées sur la plateforme.</w:t>
            </w:r>
          </w:p>
        </w:tc>
        <w:tc>
          <w:tcPr>
            <w:tcW w:w="933" w:type="dxa"/>
            <w:noWrap w:val="0"/>
            <w:vAlign w:val="center"/>
          </w:tcPr>
          <w:p w14:paraId="541B51B2">
            <w:pPr>
              <w:adjustRightInd w:val="0"/>
              <w:snapToGrid w:val="0"/>
              <w:jc w:val="center"/>
              <w:rPr>
                <w:rFonts w:hint="eastAsia" w:hAnsi="宋体"/>
                <w:color w:val="auto"/>
                <w:highlight w:val="none"/>
                <w:u w:val="none"/>
                <w:lang w:val="en-US" w:eastAsia="zh-CN"/>
              </w:rPr>
            </w:pPr>
            <w:r>
              <w:rPr>
                <w:rFonts w:hint="eastAsia" w:hAnsi="宋体"/>
                <w:color w:val="auto"/>
                <w:highlight w:val="none"/>
                <w:lang w:val="en-US" w:eastAsia="zh-CN"/>
              </w:rPr>
              <w:t>/</w:t>
            </w:r>
          </w:p>
        </w:tc>
      </w:tr>
      <w:tr w14:paraId="2EB3E8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4F72FD45">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7DEFAB4D">
            <w:pPr>
              <w:pStyle w:val="20"/>
              <w:adjustRightInd w:val="0"/>
              <w:snapToGrid w:val="0"/>
              <w:jc w:val="center"/>
              <w:rPr>
                <w:rFonts w:hAnsi="Times New Roman"/>
                <w:sz w:val="21"/>
                <w:highlight w:val="none"/>
                <w:lang w:val="fr-FR"/>
              </w:rPr>
            </w:pPr>
            <w:r>
              <w:rPr>
                <w:rFonts w:hAnsi="Times New Roman"/>
                <w:sz w:val="21"/>
                <w:highlight w:val="none"/>
                <w:lang w:val="fr-FR"/>
              </w:rPr>
              <w:t>递交</w:t>
            </w:r>
            <w:r>
              <w:rPr>
                <w:rFonts w:hint="default" w:hAnsi="Times New Roman"/>
                <w:sz w:val="21"/>
                <w:highlight w:val="none"/>
                <w:lang w:val="fr-FR"/>
              </w:rPr>
              <w:t>响应</w:t>
            </w:r>
            <w:r>
              <w:rPr>
                <w:rFonts w:hAnsi="Times New Roman"/>
                <w:sz w:val="21"/>
                <w:highlight w:val="none"/>
                <w:lang w:val="fr-FR"/>
              </w:rPr>
              <w:t>文件地点</w:t>
            </w:r>
          </w:p>
          <w:p w14:paraId="12489E27">
            <w:pPr>
              <w:pStyle w:val="20"/>
              <w:jc w:val="center"/>
              <w:rPr>
                <w:rFonts w:hAnsi="宋体"/>
                <w:color w:val="auto"/>
                <w:highlight w:val="none"/>
              </w:rPr>
            </w:pPr>
            <w:r>
              <w:rPr>
                <w:sz w:val="21"/>
                <w:highlight w:val="none"/>
                <w:lang w:val="fr-FR"/>
              </w:rPr>
              <w:t>Lieu de soumission des documents de participation</w:t>
            </w:r>
          </w:p>
        </w:tc>
        <w:tc>
          <w:tcPr>
            <w:tcW w:w="5819" w:type="dxa"/>
            <w:gridSpan w:val="2"/>
            <w:noWrap w:val="0"/>
            <w:vAlign w:val="center"/>
          </w:tcPr>
          <w:p w14:paraId="688966ED">
            <w:pPr>
              <w:pStyle w:val="20"/>
              <w:rPr>
                <w:rFonts w:hint="default"/>
                <w:color w:val="auto"/>
                <w:highlight w:val="none"/>
                <w:lang w:val="en-US"/>
              </w:rPr>
            </w:pPr>
            <w:r>
              <w:rPr>
                <w:rFonts w:hint="eastAsia"/>
                <w:sz w:val="21"/>
                <w:highlight w:val="none"/>
                <w:lang w:val="fr-FR"/>
              </w:rPr>
              <w:t>zbcg@spicld.com</w:t>
            </w:r>
          </w:p>
        </w:tc>
        <w:tc>
          <w:tcPr>
            <w:tcW w:w="933" w:type="dxa"/>
            <w:noWrap w:val="0"/>
            <w:vAlign w:val="center"/>
          </w:tcPr>
          <w:p w14:paraId="199F8E35">
            <w:pPr>
              <w:adjustRightInd w:val="0"/>
              <w:snapToGrid w:val="0"/>
              <w:jc w:val="center"/>
              <w:rPr>
                <w:rFonts w:hint="eastAsia" w:hAnsi="宋体"/>
                <w:color w:val="auto"/>
                <w:highlight w:val="none"/>
              </w:rPr>
            </w:pPr>
            <w:r>
              <w:rPr>
                <w:rFonts w:hint="eastAsia" w:hAnsi="宋体"/>
                <w:color w:val="auto"/>
                <w:highlight w:val="none"/>
                <w:lang w:val="en-US" w:eastAsia="zh-CN"/>
              </w:rPr>
              <w:t>/</w:t>
            </w:r>
          </w:p>
        </w:tc>
      </w:tr>
      <w:tr w14:paraId="32D25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009881FC">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1EA455E2">
            <w:pPr>
              <w:pStyle w:val="20"/>
              <w:adjustRightInd w:val="0"/>
              <w:snapToGrid w:val="0"/>
              <w:jc w:val="center"/>
              <w:rPr>
                <w:rFonts w:hAnsi="Times New Roman"/>
                <w:sz w:val="21"/>
                <w:highlight w:val="none"/>
                <w:lang w:val="fr-FR"/>
              </w:rPr>
            </w:pPr>
            <w:r>
              <w:rPr>
                <w:rFonts w:hint="default" w:hAnsi="Times New Roman"/>
                <w:sz w:val="21"/>
                <w:highlight w:val="none"/>
                <w:lang w:val="fr-FR"/>
              </w:rPr>
              <w:t>成交候选人公告媒介</w:t>
            </w:r>
          </w:p>
          <w:p w14:paraId="0BF2C805">
            <w:pPr>
              <w:pStyle w:val="20"/>
              <w:jc w:val="center"/>
              <w:rPr>
                <w:rFonts w:hAnsi="宋体"/>
                <w:color w:val="auto"/>
                <w:highlight w:val="none"/>
              </w:rPr>
            </w:pPr>
            <w:r>
              <w:rPr>
                <w:rFonts w:hint="default"/>
                <w:sz w:val="21"/>
                <w:highlight w:val="none"/>
                <w:lang w:val="fr-FR"/>
              </w:rPr>
              <w:t>Moyen d</w:t>
            </w:r>
            <w:r>
              <w:rPr>
                <w:sz w:val="21"/>
                <w:highlight w:val="none"/>
                <w:lang w:val="fr-FR"/>
              </w:rPr>
              <w:t>’</w:t>
            </w:r>
            <w:r>
              <w:rPr>
                <w:rFonts w:hint="default"/>
                <w:sz w:val="21"/>
                <w:highlight w:val="none"/>
                <w:lang w:val="fr-FR"/>
              </w:rPr>
              <w:t>annonce des candidats retenus</w:t>
            </w:r>
          </w:p>
        </w:tc>
        <w:tc>
          <w:tcPr>
            <w:tcW w:w="5819" w:type="dxa"/>
            <w:gridSpan w:val="2"/>
            <w:noWrap w:val="0"/>
            <w:vAlign w:val="center"/>
          </w:tcPr>
          <w:p w14:paraId="12BAC1E4">
            <w:pPr>
              <w:pStyle w:val="20"/>
              <w:adjustRightInd w:val="0"/>
              <w:snapToGrid w:val="0"/>
              <w:rPr>
                <w:rFonts w:hint="eastAsia" w:eastAsia="宋体"/>
                <w:color w:val="auto"/>
                <w:highlight w:val="none"/>
                <w:lang w:val="fr-FR" w:eastAsia="zh-CN"/>
              </w:rPr>
            </w:pPr>
            <w:r>
              <w:rPr>
                <w:rFonts w:hint="eastAsia"/>
                <w:sz w:val="21"/>
                <w:highlight w:val="none"/>
                <w:lang w:val="en-US" w:eastAsia="zh-CN"/>
              </w:rPr>
              <w:t>/</w:t>
            </w:r>
          </w:p>
        </w:tc>
        <w:tc>
          <w:tcPr>
            <w:tcW w:w="933" w:type="dxa"/>
            <w:noWrap w:val="0"/>
            <w:vAlign w:val="center"/>
          </w:tcPr>
          <w:p w14:paraId="64593853">
            <w:pPr>
              <w:adjustRightInd w:val="0"/>
              <w:snapToGrid w:val="0"/>
              <w:jc w:val="center"/>
              <w:rPr>
                <w:rFonts w:hint="eastAsia" w:ascii="宋体" w:hAnsi="宋体" w:cs="宋体"/>
                <w:color w:val="auto"/>
                <w:highlight w:val="none"/>
                <w:lang w:val="en-US" w:eastAsia="zh-CN"/>
              </w:rPr>
            </w:pPr>
            <w:r>
              <w:rPr>
                <w:rFonts w:hint="eastAsia" w:hAnsi="宋体"/>
                <w:color w:val="auto"/>
                <w:highlight w:val="none"/>
                <w:lang w:val="en-US" w:eastAsia="zh-CN"/>
              </w:rPr>
              <w:t>/</w:t>
            </w:r>
          </w:p>
        </w:tc>
      </w:tr>
      <w:tr w14:paraId="7562B9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137D7E98">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0E2B9A67">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响应文件开启</w:t>
            </w:r>
          </w:p>
          <w:p w14:paraId="78821704">
            <w:pPr>
              <w:pStyle w:val="20"/>
              <w:jc w:val="center"/>
              <w:rPr>
                <w:rFonts w:hint="eastAsia"/>
                <w:color w:val="auto"/>
                <w:highlight w:val="none"/>
                <w:lang w:eastAsia="zh-CN"/>
              </w:rPr>
            </w:pPr>
            <w:r>
              <w:rPr>
                <w:rFonts w:hint="eastAsia" w:ascii="Times New Roman" w:hAnsi="宋体" w:eastAsia="宋体" w:cs="Times New Roman"/>
                <w:color w:val="auto"/>
                <w:kern w:val="2"/>
                <w:sz w:val="21"/>
                <w:highlight w:val="none"/>
                <w:lang w:val="en-US" w:eastAsia="zh-CN" w:bidi="ar-SA"/>
              </w:rPr>
              <w:t>Ouverture des documents de participation</w:t>
            </w:r>
          </w:p>
        </w:tc>
        <w:tc>
          <w:tcPr>
            <w:tcW w:w="5819" w:type="dxa"/>
            <w:gridSpan w:val="2"/>
            <w:noWrap w:val="0"/>
            <w:vAlign w:val="center"/>
          </w:tcPr>
          <w:p w14:paraId="19F73B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hAnsi="宋体"/>
                <w:color w:val="auto"/>
                <w:highlight w:val="none"/>
                <w:lang w:val="en-US" w:eastAsia="zh-CN"/>
              </w:rPr>
            </w:pPr>
            <w:r>
              <w:rPr>
                <w:rFonts w:ascii="宋体" w:hAnsi="宋体"/>
                <w:color w:val="auto"/>
                <w:kern w:val="2"/>
                <w:sz w:val="21"/>
                <w:szCs w:val="21"/>
                <w:highlight w:val="none"/>
                <w:lang w:val="en-US" w:eastAsia="zh-CN" w:bidi="ar-SA"/>
              </w:rPr>
              <w:sym w:font="Wingdings 2" w:char="0052"/>
            </w:r>
            <w:r>
              <w:rPr>
                <w:rFonts w:hint="eastAsia" w:ascii="宋体" w:hAnsi="宋体"/>
                <w:color w:val="auto"/>
                <w:spacing w:val="-1"/>
                <w:sz w:val="21"/>
                <w:szCs w:val="21"/>
                <w:highlight w:val="none"/>
                <w:lang w:val="en-US" w:eastAsia="zh-CN"/>
              </w:rPr>
              <w:t>公开谈判，</w:t>
            </w:r>
            <w:r>
              <w:rPr>
                <w:rFonts w:hint="eastAsia" w:hAnsi="宋体"/>
                <w:color w:val="auto"/>
                <w:highlight w:val="none"/>
                <w:lang w:val="en-US" w:eastAsia="zh-CN"/>
              </w:rPr>
              <w:t>在规定截止时间</w:t>
            </w:r>
            <w:r>
              <w:rPr>
                <w:rFonts w:hint="eastAsia" w:hAnsi="宋体"/>
                <w:color w:val="auto"/>
                <w:highlight w:val="none"/>
              </w:rPr>
              <w:t>若应答人为两个时，评审小组可继续按照原程序进行</w:t>
            </w:r>
            <w:r>
              <w:rPr>
                <w:rFonts w:hint="eastAsia" w:hAnsi="宋体"/>
                <w:color w:val="auto"/>
                <w:highlight w:val="none"/>
                <w:lang w:val="en-US" w:eastAsia="zh-CN"/>
              </w:rPr>
              <w:t>竞争性谈判</w:t>
            </w:r>
            <w:r>
              <w:rPr>
                <w:rFonts w:hint="eastAsia" w:hAnsi="宋体"/>
                <w:color w:val="auto"/>
                <w:highlight w:val="none"/>
              </w:rPr>
              <w:t>，若应答人为一个时，可转为直接采购</w:t>
            </w:r>
            <w:r>
              <w:rPr>
                <w:rFonts w:hint="eastAsia" w:hAnsi="宋体"/>
                <w:color w:val="auto"/>
                <w:highlight w:val="none"/>
                <w:lang w:eastAsia="zh-CN"/>
              </w:rPr>
              <w:t>；</w:t>
            </w:r>
            <w:r>
              <w:rPr>
                <w:rFonts w:hint="eastAsia" w:hAnsi="宋体"/>
                <w:color w:val="auto"/>
                <w:highlight w:val="none"/>
                <w:lang w:val="en-US" w:eastAsia="zh-CN"/>
              </w:rPr>
              <w:t>或终止后重新采购。</w:t>
            </w:r>
          </w:p>
          <w:p w14:paraId="3EAB0D6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hAnsi="宋体"/>
                <w:color w:val="auto"/>
                <w:highlight w:val="none"/>
                <w:lang w:val="fr-FR" w:eastAsia="zh-CN"/>
              </w:rPr>
            </w:pPr>
            <w:r>
              <w:rPr>
                <w:rFonts w:hint="default" w:hAnsi="宋体"/>
                <w:color w:val="auto"/>
                <w:highlight w:val="none"/>
                <w:lang w:val="fr-FR" w:eastAsia="zh-CN"/>
              </w:rPr>
              <w:t>N</w:t>
            </w:r>
            <w:r>
              <w:rPr>
                <w:rFonts w:hint="default" w:ascii="Times New Roman" w:hAnsi="Times New Roman" w:cs="Times New Roman"/>
                <w:color w:val="auto"/>
                <w:highlight w:val="none"/>
              </w:rPr>
              <w:t>égociations ouvertes à la concurrence</w:t>
            </w:r>
            <w:r>
              <w:rPr>
                <w:rFonts w:hint="default" w:cs="Times New Roman"/>
                <w:color w:val="auto"/>
                <w:highlight w:val="none"/>
                <w:lang w:val="fr-FR"/>
              </w:rPr>
              <w:t xml:space="preserve">, Le groupe d'évaluation peut poursuivre les négociations concurrentielles dans le cadre de la procédure initiale s'il y a deux participants à la date limite spécifiée, ou passer à une procédure de passation directe s'il n'y a qu'un seul participant, ou encore mettre fin à la passation de marché et la recommencer. </w:t>
            </w:r>
          </w:p>
          <w:p w14:paraId="271D50F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hAnsi="宋体"/>
                <w:color w:val="auto"/>
                <w:highlight w:val="none"/>
                <w:lang w:val="en-US" w:eastAsia="zh-CN"/>
              </w:rPr>
            </w:pPr>
            <w:r>
              <w:rPr>
                <w:rFonts w:hint="eastAsia" w:ascii="宋体" w:hAnsi="宋体"/>
                <w:color w:val="auto"/>
                <w:szCs w:val="21"/>
                <w:highlight w:val="none"/>
              </w:rPr>
              <w:t>□</w:t>
            </w:r>
            <w:r>
              <w:rPr>
                <w:rFonts w:hint="eastAsia" w:ascii="宋体" w:hAnsi="宋体"/>
                <w:color w:val="auto"/>
                <w:spacing w:val="-1"/>
                <w:sz w:val="21"/>
                <w:szCs w:val="21"/>
                <w:highlight w:val="none"/>
                <w:lang w:val="en-US" w:eastAsia="zh-CN"/>
              </w:rPr>
              <w:t>邀请谈判，</w:t>
            </w:r>
            <w:r>
              <w:rPr>
                <w:rFonts w:hint="eastAsia" w:hAnsi="宋体"/>
                <w:color w:val="auto"/>
                <w:highlight w:val="none"/>
                <w:lang w:val="en-US" w:eastAsia="zh-CN"/>
              </w:rPr>
              <w:t>在规定截止时间</w:t>
            </w:r>
            <w:r>
              <w:rPr>
                <w:rFonts w:hint="eastAsia" w:hAnsi="宋体"/>
                <w:color w:val="auto"/>
                <w:highlight w:val="none"/>
              </w:rPr>
              <w:t>若</w:t>
            </w:r>
            <w:r>
              <w:rPr>
                <w:rFonts w:hint="eastAsia" w:hAnsi="宋体"/>
                <w:color w:val="auto"/>
                <w:highlight w:val="none"/>
                <w:lang w:val="en-US" w:eastAsia="zh-CN"/>
              </w:rPr>
              <w:t>应答人为两个或一个时，终止本次谈判活动。</w:t>
            </w:r>
          </w:p>
          <w:p w14:paraId="754D37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hAnsi="宋体"/>
                <w:color w:val="auto"/>
                <w:highlight w:val="none"/>
                <w:lang w:val="fr-FR" w:eastAsia="zh-CN"/>
              </w:rPr>
            </w:pPr>
            <w:r>
              <w:rPr>
                <w:rFonts w:hint="eastAsia" w:hAnsi="宋体"/>
                <w:color w:val="auto"/>
                <w:highlight w:val="none"/>
                <w:lang w:val="en-US" w:eastAsia="zh-CN"/>
              </w:rPr>
              <w:t>Invitation</w:t>
            </w:r>
            <w:r>
              <w:rPr>
                <w:rFonts w:hint="default" w:hAnsi="宋体"/>
                <w:color w:val="auto"/>
                <w:highlight w:val="none"/>
                <w:lang w:val="fr-FR" w:eastAsia="zh-CN"/>
              </w:rPr>
              <w:t xml:space="preserve"> de n</w:t>
            </w:r>
            <w:r>
              <w:rPr>
                <w:rFonts w:hint="default" w:ascii="Times New Roman" w:hAnsi="Times New Roman" w:cs="Times New Roman"/>
                <w:color w:val="auto"/>
                <w:highlight w:val="none"/>
              </w:rPr>
              <w:t>égociations ouvertes à la concurrence</w:t>
            </w:r>
            <w:r>
              <w:rPr>
                <w:rFonts w:hint="default" w:ascii="Times New Roman" w:hAnsi="Times New Roman" w:cs="Times New Roman"/>
                <w:color w:val="auto"/>
                <w:highlight w:val="none"/>
                <w:lang w:val="fr-FR"/>
              </w:rPr>
              <w:t>,Cette activité de négociation prendra fin s'il y a deux ou un seul participant à la date limite spécifiée.</w:t>
            </w:r>
          </w:p>
        </w:tc>
        <w:tc>
          <w:tcPr>
            <w:tcW w:w="933" w:type="dxa"/>
            <w:noWrap w:val="0"/>
            <w:vAlign w:val="center"/>
          </w:tcPr>
          <w:p w14:paraId="02CE211B">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w:t>
            </w:r>
          </w:p>
        </w:tc>
      </w:tr>
      <w:tr w14:paraId="7C26FC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36B3380D">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7497DB1E">
            <w:pPr>
              <w:adjustRightInd w:val="0"/>
              <w:snapToGrid w:val="0"/>
              <w:jc w:val="center"/>
              <w:rPr>
                <w:rFonts w:hint="eastAsia" w:hAnsi="宋体"/>
                <w:b w:val="0"/>
                <w:bCs w:val="0"/>
                <w:color w:val="auto"/>
                <w:highlight w:val="none"/>
                <w:lang w:val="en-US" w:eastAsia="zh-CN"/>
              </w:rPr>
            </w:pPr>
            <w:r>
              <w:rPr>
                <w:rFonts w:hint="eastAsia" w:hAnsi="宋体"/>
                <w:b w:val="0"/>
                <w:bCs w:val="0"/>
                <w:color w:val="auto"/>
                <w:highlight w:val="none"/>
                <w:lang w:val="en-US" w:eastAsia="zh-CN"/>
              </w:rPr>
              <w:t>成交服务费</w:t>
            </w:r>
          </w:p>
          <w:p w14:paraId="6F86D2EC">
            <w:pPr>
              <w:pStyle w:val="20"/>
              <w:jc w:val="center"/>
              <w:rPr>
                <w:rFonts w:hint="eastAsia"/>
                <w:color w:val="auto"/>
                <w:highlight w:val="none"/>
                <w:lang w:eastAsia="zh-CN"/>
              </w:rPr>
            </w:pPr>
            <w:r>
              <w:rPr>
                <w:rFonts w:hint="eastAsia" w:ascii="Times New Roman" w:hAnsi="宋体" w:eastAsia="宋体" w:cs="Times New Roman"/>
                <w:color w:val="auto"/>
                <w:kern w:val="2"/>
                <w:sz w:val="21"/>
                <w:highlight w:val="none"/>
                <w:lang w:val="en-US" w:eastAsia="zh-CN" w:bidi="ar-SA"/>
              </w:rPr>
              <w:t>Frais de service de transaction</w:t>
            </w:r>
          </w:p>
        </w:tc>
        <w:tc>
          <w:tcPr>
            <w:tcW w:w="5819" w:type="dxa"/>
            <w:gridSpan w:val="2"/>
            <w:noWrap w:val="0"/>
            <w:vAlign w:val="center"/>
          </w:tcPr>
          <w:p w14:paraId="1D78298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hAnsi="宋体" w:cs="Times New Roman"/>
                <w:b w:val="0"/>
                <w:bCs w:val="0"/>
                <w:color w:val="auto"/>
                <w:sz w:val="21"/>
                <w:highlight w:val="none"/>
                <w:lang w:val="fr-FR" w:eastAsia="zh-CN"/>
              </w:rPr>
            </w:pPr>
            <w:r>
              <w:rPr>
                <w:rFonts w:hint="eastAsia" w:hAnsi="宋体" w:cs="Times New Roman"/>
                <w:b w:val="0"/>
                <w:bCs w:val="0"/>
                <w:color w:val="auto"/>
                <w:sz w:val="21"/>
                <w:highlight w:val="none"/>
                <w:lang w:val="en-US" w:eastAsia="zh-CN"/>
              </w:rPr>
              <w:t>无</w:t>
            </w:r>
          </w:p>
          <w:p w14:paraId="193245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hAnsi="宋体" w:eastAsia="宋体"/>
                <w:color w:val="auto"/>
                <w:highlight w:val="none"/>
                <w:lang w:val="fr-FR" w:eastAsia="zh-CN"/>
              </w:rPr>
            </w:pPr>
            <w:r>
              <w:rPr>
                <w:rFonts w:hint="default" w:hAnsi="宋体" w:cs="Times New Roman"/>
                <w:b w:val="0"/>
                <w:bCs w:val="0"/>
                <w:color w:val="auto"/>
                <w:sz w:val="21"/>
                <w:highlight w:val="none"/>
                <w:lang w:val="fr-FR" w:eastAsia="zh-CN"/>
              </w:rPr>
              <w:t>Aucun</w:t>
            </w:r>
          </w:p>
        </w:tc>
        <w:tc>
          <w:tcPr>
            <w:tcW w:w="933" w:type="dxa"/>
            <w:noWrap w:val="0"/>
            <w:vAlign w:val="center"/>
          </w:tcPr>
          <w:p w14:paraId="44AF4DE7">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w:t>
            </w:r>
          </w:p>
        </w:tc>
      </w:tr>
      <w:tr w14:paraId="33004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4DC08388">
            <w:pPr>
              <w:numPr>
                <w:ilvl w:val="0"/>
                <w:numId w:val="2"/>
              </w:numPr>
              <w:adjustRightInd w:val="0"/>
              <w:snapToGrid w:val="0"/>
              <w:ind w:left="0" w:leftChars="0" w:firstLine="170" w:firstLineChars="0"/>
              <w:jc w:val="center"/>
              <w:outlineLvl w:val="9"/>
              <w:rPr>
                <w:rFonts w:hint="default" w:hAnsi="宋体" w:eastAsia="宋体"/>
                <w:color w:val="auto"/>
                <w:highlight w:val="none"/>
                <w:lang w:val="en-US" w:eastAsia="zh-CN"/>
              </w:rPr>
            </w:pPr>
          </w:p>
        </w:tc>
        <w:tc>
          <w:tcPr>
            <w:tcW w:w="1765" w:type="dxa"/>
            <w:noWrap w:val="0"/>
            <w:vAlign w:val="center"/>
          </w:tcPr>
          <w:p w14:paraId="03B94DA5">
            <w:pPr>
              <w:keepNext w:val="0"/>
              <w:keepLines w:val="0"/>
              <w:pageBreakBefore w:val="0"/>
              <w:widowControl w:val="0"/>
              <w:kinsoku/>
              <w:wordWrap/>
              <w:overflowPunct/>
              <w:autoSpaceDE/>
              <w:autoSpaceDN/>
              <w:bidi w:val="0"/>
              <w:spacing w:line="240" w:lineRule="auto"/>
              <w:ind w:left="0" w:leftChars="0" w:right="0" w:rightChars="0"/>
              <w:jc w:val="center"/>
              <w:textAlignment w:val="auto"/>
              <w:outlineLvl w:val="9"/>
              <w:rPr>
                <w:rFonts w:hint="eastAsia" w:ascii="宋体" w:hAnsi="宋体" w:cs="等线"/>
                <w:color w:val="auto"/>
                <w:highlight w:val="none"/>
              </w:rPr>
            </w:pPr>
            <w:r>
              <w:rPr>
                <w:rFonts w:hint="eastAsia" w:ascii="宋体" w:hAnsi="宋体" w:cs="等线"/>
                <w:color w:val="auto"/>
                <w:highlight w:val="none"/>
              </w:rPr>
              <w:t>其他内容</w:t>
            </w:r>
          </w:p>
          <w:p w14:paraId="2FC860D0">
            <w:pPr>
              <w:keepNext w:val="0"/>
              <w:keepLines w:val="0"/>
              <w:pageBreakBefore w:val="0"/>
              <w:widowControl w:val="0"/>
              <w:kinsoku/>
              <w:wordWrap/>
              <w:overflowPunct/>
              <w:autoSpaceDE/>
              <w:autoSpaceDN/>
              <w:bidi w:val="0"/>
              <w:spacing w:line="240" w:lineRule="auto"/>
              <w:ind w:left="0" w:leftChars="0" w:right="0" w:rightChars="0"/>
              <w:jc w:val="center"/>
              <w:textAlignment w:val="auto"/>
              <w:outlineLvl w:val="9"/>
              <w:rPr>
                <w:b/>
                <w:color w:val="auto"/>
                <w:highlight w:val="none"/>
              </w:rPr>
            </w:pPr>
            <w:r>
              <w:rPr>
                <w:rFonts w:hint="eastAsia" w:ascii="Times New Roman" w:hAnsi="宋体" w:eastAsia="宋体" w:cs="Times New Roman"/>
                <w:color w:val="auto"/>
                <w:kern w:val="2"/>
                <w:sz w:val="21"/>
                <w:highlight w:val="none"/>
                <w:lang w:val="en-US" w:eastAsia="zh-CN" w:bidi="ar-SA"/>
              </w:rPr>
              <w:t>Autres contenus</w:t>
            </w:r>
          </w:p>
        </w:tc>
        <w:tc>
          <w:tcPr>
            <w:tcW w:w="5819" w:type="dxa"/>
            <w:gridSpan w:val="2"/>
            <w:noWrap w:val="0"/>
            <w:vAlign w:val="center"/>
          </w:tcPr>
          <w:p w14:paraId="03F2B8B7">
            <w:pPr>
              <w:keepNext w:val="0"/>
              <w:keepLines w:val="0"/>
              <w:pageBreakBefore w:val="0"/>
              <w:widowControl w:val="0"/>
              <w:numPr>
                <w:ilvl w:val="0"/>
                <w:numId w:val="4"/>
              </w:numPr>
              <w:kinsoku/>
              <w:wordWrap/>
              <w:overflowPunct/>
              <w:autoSpaceDE/>
              <w:autoSpaceDN/>
              <w:bidi w:val="0"/>
              <w:adjustRightInd w:val="0"/>
              <w:snapToGrid w:val="0"/>
              <w:spacing w:line="240" w:lineRule="auto"/>
              <w:ind w:left="0" w:leftChars="0" w:right="0" w:rightChars="0"/>
              <w:textAlignment w:val="auto"/>
              <w:outlineLvl w:val="9"/>
              <w:rPr>
                <w:rFonts w:hint="eastAsia" w:hAnsi="宋体"/>
                <w:color w:val="auto"/>
                <w:highlight w:val="none"/>
                <w:lang w:val="en-US" w:eastAsia="zh-CN"/>
              </w:rPr>
            </w:pPr>
            <w:r>
              <w:rPr>
                <w:rFonts w:hint="eastAsia" w:hAnsi="宋体"/>
                <w:color w:val="auto"/>
                <w:highlight w:val="none"/>
                <w:lang w:val="en-US" w:eastAsia="zh-CN"/>
              </w:rPr>
              <w:t>响应</w:t>
            </w:r>
            <w:r>
              <w:rPr>
                <w:rFonts w:hint="eastAsia" w:hAnsi="宋体"/>
                <w:color w:val="auto"/>
                <w:highlight w:val="none"/>
              </w:rPr>
              <w:t>文件按技术</w:t>
            </w:r>
            <w:r>
              <w:rPr>
                <w:rFonts w:hint="eastAsia" w:hAnsi="宋体"/>
                <w:color w:val="auto"/>
                <w:highlight w:val="none"/>
                <w:lang w:eastAsia="zh-CN"/>
              </w:rPr>
              <w:t>、</w:t>
            </w:r>
            <w:r>
              <w:rPr>
                <w:rFonts w:hint="eastAsia" w:hAnsi="宋体"/>
                <w:color w:val="auto"/>
                <w:highlight w:val="none"/>
                <w:lang w:val="en-US" w:eastAsia="zh-CN"/>
              </w:rPr>
              <w:t>商务</w:t>
            </w:r>
            <w:r>
              <w:rPr>
                <w:rFonts w:hint="eastAsia" w:hAnsi="宋体"/>
                <w:color w:val="auto"/>
                <w:highlight w:val="none"/>
              </w:rPr>
              <w:t>部分（也称</w:t>
            </w:r>
            <w:r>
              <w:rPr>
                <w:rFonts w:hint="eastAsia" w:hAnsi="宋体"/>
                <w:color w:val="auto"/>
                <w:highlight w:val="none"/>
                <w:lang w:val="en-US" w:eastAsia="zh-CN"/>
              </w:rPr>
              <w:t>文件</w:t>
            </w:r>
            <w:r>
              <w:rPr>
                <w:rFonts w:hint="eastAsia" w:hAnsi="宋体"/>
                <w:color w:val="auto"/>
                <w:highlight w:val="none"/>
              </w:rPr>
              <w:t>A）</w:t>
            </w:r>
            <w:r>
              <w:rPr>
                <w:rFonts w:hint="eastAsia" w:hAnsi="宋体"/>
                <w:color w:val="auto"/>
                <w:highlight w:val="none"/>
                <w:lang w:val="en-US" w:eastAsia="zh-CN"/>
              </w:rPr>
              <w:t>和</w:t>
            </w:r>
            <w:r>
              <w:rPr>
                <w:rFonts w:hint="eastAsia" w:hAnsi="宋体"/>
                <w:color w:val="auto"/>
                <w:highlight w:val="none"/>
              </w:rPr>
              <w:t>价格部分（也称</w:t>
            </w:r>
            <w:r>
              <w:rPr>
                <w:rFonts w:hint="eastAsia" w:hAnsi="宋体"/>
                <w:color w:val="auto"/>
                <w:highlight w:val="none"/>
                <w:lang w:val="en-US" w:eastAsia="zh-CN"/>
              </w:rPr>
              <w:t>文件</w:t>
            </w:r>
            <w:r>
              <w:rPr>
                <w:rFonts w:hint="eastAsia" w:hAnsi="宋体"/>
                <w:color w:val="auto"/>
                <w:highlight w:val="none"/>
              </w:rPr>
              <w:t>B）</w:t>
            </w:r>
            <w:r>
              <w:rPr>
                <w:rFonts w:hint="eastAsia" w:hAnsi="宋体"/>
                <w:color w:val="auto"/>
                <w:highlight w:val="none"/>
                <w:lang w:val="en-US" w:eastAsia="zh-CN"/>
              </w:rPr>
              <w:t>须</w:t>
            </w:r>
            <w:r>
              <w:rPr>
                <w:rFonts w:hint="eastAsia" w:hAnsi="宋体"/>
                <w:color w:val="auto"/>
                <w:highlight w:val="none"/>
              </w:rPr>
              <w:t>分</w:t>
            </w:r>
            <w:r>
              <w:rPr>
                <w:rFonts w:hint="eastAsia" w:hAnsi="宋体"/>
                <w:color w:val="auto"/>
                <w:highlight w:val="none"/>
                <w:lang w:val="en-US" w:eastAsia="zh-CN"/>
              </w:rPr>
              <w:t>开编制，单独上传，详细要求见第四章响应文件格式。</w:t>
            </w:r>
          </w:p>
          <w:p w14:paraId="28652CDB">
            <w:pPr>
              <w:keepNext w:val="0"/>
              <w:keepLines w:val="0"/>
              <w:pageBreakBefore w:val="0"/>
              <w:widowControl w:val="0"/>
              <w:numPr>
                <w:ilvl w:val="0"/>
                <w:numId w:val="0"/>
              </w:numPr>
              <w:kinsoku/>
              <w:wordWrap/>
              <w:overflowPunct/>
              <w:autoSpaceDE/>
              <w:autoSpaceDN/>
              <w:bidi w:val="0"/>
              <w:adjustRightInd w:val="0"/>
              <w:snapToGrid w:val="0"/>
              <w:spacing w:line="240" w:lineRule="auto"/>
              <w:ind w:right="0" w:rightChars="0"/>
              <w:textAlignment w:val="auto"/>
              <w:outlineLvl w:val="9"/>
              <w:rPr>
                <w:rFonts w:hint="eastAsia" w:hAnsi="宋体"/>
                <w:color w:val="auto"/>
                <w:highlight w:val="none"/>
                <w:lang w:val="en-US" w:eastAsia="zh-CN"/>
              </w:rPr>
            </w:pPr>
            <w:r>
              <w:rPr>
                <w:rFonts w:hint="default" w:hAnsi="宋体"/>
                <w:color w:val="auto"/>
                <w:highlight w:val="none"/>
                <w:lang w:val="fr-FR" w:eastAsia="zh-CN"/>
              </w:rPr>
              <w:t>D</w:t>
            </w:r>
            <w:r>
              <w:rPr>
                <w:rFonts w:hint="eastAsia" w:hAnsi="宋体"/>
                <w:color w:val="auto"/>
                <w:highlight w:val="none"/>
                <w:lang w:val="en-US" w:eastAsia="zh-CN"/>
              </w:rPr>
              <w:t>ocument de réponse concernant la partie technique et commerciale (également appelée document A) et la partie relative au prix (également appelée document B) doivent être préparés séparément et téléchargés séparément ; voir le chapitre IV pour les exigences détaillées concernant le format des documents de réponse.</w:t>
            </w:r>
          </w:p>
          <w:p w14:paraId="0AB42ED8">
            <w:pPr>
              <w:keepNext w:val="0"/>
              <w:keepLines w:val="0"/>
              <w:pageBreakBefore w:val="0"/>
              <w:widowControl w:val="0"/>
              <w:numPr>
                <w:ilvl w:val="0"/>
                <w:numId w:val="4"/>
              </w:numPr>
              <w:kinsoku/>
              <w:wordWrap/>
              <w:overflowPunct/>
              <w:autoSpaceDE/>
              <w:autoSpaceDN/>
              <w:bidi w:val="0"/>
              <w:adjustRightInd w:val="0"/>
              <w:snapToGrid w:val="0"/>
              <w:spacing w:line="240" w:lineRule="auto"/>
              <w:ind w:left="0" w:leftChars="0" w:right="0" w:rightChars="0" w:firstLine="0" w:firstLineChars="0"/>
              <w:textAlignment w:val="auto"/>
              <w:outlineLvl w:val="9"/>
              <w:rPr>
                <w:rFonts w:hint="eastAsia" w:hAnsi="宋体"/>
                <w:b w:val="0"/>
                <w:bCs w:val="0"/>
                <w:color w:val="auto"/>
                <w:highlight w:val="none"/>
                <w:lang w:eastAsia="zh-CN"/>
              </w:rPr>
            </w:pPr>
            <w:r>
              <w:rPr>
                <w:rFonts w:hint="eastAsia" w:hAnsi="宋体"/>
                <w:b w:val="0"/>
                <w:bCs w:val="0"/>
                <w:color w:val="auto"/>
                <w:highlight w:val="none"/>
                <w:lang w:val="en-US" w:eastAsia="zh-CN"/>
              </w:rPr>
              <w:t>响应</w:t>
            </w:r>
            <w:r>
              <w:rPr>
                <w:rFonts w:hint="eastAsia" w:hAnsi="宋体"/>
                <w:b w:val="0"/>
                <w:bCs w:val="0"/>
                <w:color w:val="auto"/>
                <w:highlight w:val="none"/>
              </w:rPr>
              <w:t>文件为PDF文件</w:t>
            </w:r>
            <w:r>
              <w:rPr>
                <w:rFonts w:hint="eastAsia" w:hAnsi="宋体"/>
                <w:b w:val="0"/>
                <w:bCs w:val="0"/>
                <w:color w:val="auto"/>
                <w:highlight w:val="none"/>
                <w:lang w:eastAsia="zh-CN"/>
              </w:rPr>
              <w:t>，当采购</w:t>
            </w:r>
            <w:r>
              <w:rPr>
                <w:rFonts w:hint="eastAsia" w:hAnsi="宋体"/>
                <w:b w:val="0"/>
                <w:bCs w:val="0"/>
                <w:color w:val="auto"/>
                <w:highlight w:val="none"/>
                <w:lang w:val="en-US" w:eastAsia="zh-CN"/>
              </w:rPr>
              <w:t>系统</w:t>
            </w:r>
            <w:r>
              <w:rPr>
                <w:rFonts w:hint="eastAsia" w:hAnsi="宋体"/>
                <w:b w:val="0"/>
                <w:bCs w:val="0"/>
                <w:color w:val="auto"/>
                <w:highlight w:val="none"/>
                <w:lang w:eastAsia="zh-CN"/>
              </w:rPr>
              <w:t>报价与</w:t>
            </w:r>
            <w:r>
              <w:rPr>
                <w:rFonts w:hint="eastAsia" w:hAnsi="宋体"/>
                <w:b w:val="0"/>
                <w:bCs w:val="0"/>
                <w:color w:val="auto"/>
                <w:highlight w:val="none"/>
                <w:lang w:val="en-US" w:eastAsia="zh-CN"/>
              </w:rPr>
              <w:t>响应文件B</w:t>
            </w:r>
            <w:r>
              <w:rPr>
                <w:rFonts w:hint="eastAsia" w:hAnsi="宋体"/>
                <w:b w:val="0"/>
                <w:bCs w:val="0"/>
                <w:color w:val="auto"/>
                <w:highlight w:val="none"/>
                <w:lang w:eastAsia="zh-CN"/>
              </w:rPr>
              <w:t>中报价汇总表总金额之间有差异时，以PDF文件为准；所有报价价格表须同时提供Word或Excel格式文件。</w:t>
            </w:r>
          </w:p>
          <w:p w14:paraId="3F22A9D1">
            <w:pPr>
              <w:keepNext w:val="0"/>
              <w:keepLines w:val="0"/>
              <w:pageBreakBefore w:val="0"/>
              <w:widowControl w:val="0"/>
              <w:numPr>
                <w:ilvl w:val="0"/>
                <w:numId w:val="0"/>
              </w:numPr>
              <w:kinsoku/>
              <w:wordWrap/>
              <w:overflowPunct/>
              <w:autoSpaceDE/>
              <w:autoSpaceDN/>
              <w:bidi w:val="0"/>
              <w:adjustRightInd w:val="0"/>
              <w:snapToGrid w:val="0"/>
              <w:spacing w:line="240" w:lineRule="auto"/>
              <w:ind w:leftChars="0" w:right="0" w:rightChars="0"/>
              <w:textAlignment w:val="auto"/>
              <w:outlineLvl w:val="9"/>
              <w:rPr>
                <w:rFonts w:hint="eastAsia" w:hAnsi="宋体"/>
                <w:b w:val="0"/>
                <w:bCs w:val="0"/>
                <w:color w:val="auto"/>
                <w:highlight w:val="none"/>
                <w:lang w:eastAsia="zh-CN"/>
              </w:rPr>
            </w:pPr>
            <w:r>
              <w:rPr>
                <w:rFonts w:hint="eastAsia" w:hAnsi="宋体"/>
                <w:b w:val="0"/>
                <w:bCs w:val="0"/>
                <w:color w:val="auto"/>
                <w:highlight w:val="none"/>
                <w:lang w:eastAsia="zh-CN"/>
              </w:rPr>
              <w:t>Document de réponse pour le fichier PDF, lorsque l'offre du système de passation de marchés et le document de réponse B dans le tableau récapitulatif du montant total de la différence entre le fichier PDF prévaudront ; tous les devis doivent être fournis en même temps que la liste des prix au format Word ou Excel.</w:t>
            </w:r>
          </w:p>
          <w:p w14:paraId="40B4ACE8">
            <w:pPr>
              <w:keepNext w:val="0"/>
              <w:keepLines w:val="0"/>
              <w:pageBreakBefore w:val="0"/>
              <w:widowControl w:val="0"/>
              <w:numPr>
                <w:ilvl w:val="0"/>
                <w:numId w:val="4"/>
              </w:numPr>
              <w:kinsoku/>
              <w:wordWrap/>
              <w:overflowPunct/>
              <w:autoSpaceDE/>
              <w:autoSpaceDN/>
              <w:bidi w:val="0"/>
              <w:adjustRightInd w:val="0"/>
              <w:snapToGrid w:val="0"/>
              <w:spacing w:line="240" w:lineRule="auto"/>
              <w:ind w:left="0" w:leftChars="0" w:right="0" w:rightChars="0" w:firstLine="0" w:firstLineChars="0"/>
              <w:textAlignment w:val="auto"/>
              <w:outlineLvl w:val="9"/>
              <w:rPr>
                <w:rFonts w:hint="eastAsia" w:hAnsi="宋体"/>
                <w:color w:val="auto"/>
                <w:highlight w:val="none"/>
                <w:lang w:val="en-US" w:eastAsia="zh-CN"/>
              </w:rPr>
            </w:pPr>
            <w:r>
              <w:rPr>
                <w:rFonts w:hint="eastAsia" w:hAnsi="宋体"/>
                <w:color w:val="auto"/>
                <w:highlight w:val="none"/>
                <w:lang w:val="en-US" w:eastAsia="zh-CN"/>
              </w:rPr>
              <w:t>响应文件命名统一采用如“公司名称+××项目响应文件A”、“公司名称+××项目响应文件B”方式。</w:t>
            </w:r>
          </w:p>
          <w:p w14:paraId="4388D16C">
            <w:pPr>
              <w:keepNext w:val="0"/>
              <w:keepLines w:val="0"/>
              <w:pageBreakBefore w:val="0"/>
              <w:widowControl w:val="0"/>
              <w:numPr>
                <w:ilvl w:val="0"/>
                <w:numId w:val="0"/>
              </w:numPr>
              <w:kinsoku/>
              <w:wordWrap/>
              <w:overflowPunct/>
              <w:autoSpaceDE/>
              <w:autoSpaceDN/>
              <w:bidi w:val="0"/>
              <w:adjustRightInd w:val="0"/>
              <w:snapToGrid w:val="0"/>
              <w:spacing w:line="240" w:lineRule="auto"/>
              <w:ind w:leftChars="0" w:right="0" w:rightChars="0"/>
              <w:textAlignment w:val="auto"/>
              <w:outlineLvl w:val="9"/>
              <w:rPr>
                <w:rFonts w:hint="eastAsia" w:hAnsi="宋体"/>
                <w:color w:val="auto"/>
                <w:highlight w:val="none"/>
                <w:lang w:val="en-US" w:eastAsia="zh-CN"/>
              </w:rPr>
            </w:pPr>
            <w:r>
              <w:rPr>
                <w:rFonts w:hint="default" w:hAnsi="宋体"/>
                <w:color w:val="auto"/>
                <w:highlight w:val="none"/>
                <w:lang w:val="fr-FR" w:eastAsia="zh-CN"/>
              </w:rPr>
              <w:t>N</w:t>
            </w:r>
            <w:r>
              <w:rPr>
                <w:rFonts w:hint="eastAsia" w:hAnsi="宋体"/>
                <w:color w:val="auto"/>
                <w:highlight w:val="none"/>
                <w:lang w:val="en-US" w:eastAsia="zh-CN"/>
              </w:rPr>
              <w:t>om des documents de réponse doit être le même, par exemple "</w:t>
            </w:r>
            <w:r>
              <w:rPr>
                <w:rFonts w:hint="default" w:hAnsi="宋体"/>
                <w:color w:val="auto"/>
                <w:highlight w:val="none"/>
                <w:lang w:val="fr-FR" w:eastAsia="zh-CN"/>
              </w:rPr>
              <w:t>N</w:t>
            </w:r>
            <w:r>
              <w:rPr>
                <w:rFonts w:hint="eastAsia" w:hAnsi="宋体"/>
                <w:color w:val="auto"/>
                <w:highlight w:val="none"/>
                <w:lang w:val="en-US" w:eastAsia="zh-CN"/>
              </w:rPr>
              <w:t>om de l'entreprise + xxx document de réponse du projet A", "</w:t>
            </w:r>
            <w:r>
              <w:rPr>
                <w:rFonts w:hint="default" w:hAnsi="宋体"/>
                <w:color w:val="auto"/>
                <w:highlight w:val="none"/>
                <w:lang w:val="fr-FR" w:eastAsia="zh-CN"/>
              </w:rPr>
              <w:t>N</w:t>
            </w:r>
            <w:r>
              <w:rPr>
                <w:rFonts w:hint="eastAsia" w:hAnsi="宋体"/>
                <w:color w:val="auto"/>
                <w:highlight w:val="none"/>
                <w:lang w:val="en-US" w:eastAsia="zh-CN"/>
              </w:rPr>
              <w:t>om de l'entreprise + xxx document de réponse du projet B".</w:t>
            </w:r>
          </w:p>
          <w:p w14:paraId="2B5B5AEA">
            <w:pPr>
              <w:keepNext w:val="0"/>
              <w:keepLines w:val="0"/>
              <w:pageBreakBefore w:val="0"/>
              <w:widowControl w:val="0"/>
              <w:numPr>
                <w:ilvl w:val="0"/>
                <w:numId w:val="4"/>
              </w:numPr>
              <w:kinsoku/>
              <w:wordWrap/>
              <w:overflowPunct/>
              <w:autoSpaceDE/>
              <w:autoSpaceDN/>
              <w:bidi w:val="0"/>
              <w:spacing w:line="240" w:lineRule="auto"/>
              <w:ind w:left="0" w:leftChars="0" w:right="0" w:rightChars="0" w:firstLine="0" w:firstLineChars="0"/>
              <w:textAlignment w:val="auto"/>
              <w:outlineLvl w:val="9"/>
              <w:rPr>
                <w:rFonts w:hint="eastAsia"/>
                <w:color w:val="auto"/>
                <w:highlight w:val="none"/>
              </w:rPr>
            </w:pPr>
            <w:r>
              <w:rPr>
                <w:rFonts w:hint="default" w:ascii="Arial" w:hAnsi="Arial" w:eastAsia="Arial" w:cs="Arial"/>
                <w:snapToGrid w:val="0"/>
                <w:color w:val="000000"/>
                <w:kern w:val="0"/>
                <w:sz w:val="21"/>
                <w:szCs w:val="21"/>
                <w:lang w:val="fr-FR" w:eastAsia="zh-CN" w:bidi="ar-SA"/>
              </w:rPr>
              <w:t>异议及投诉受理邮箱</w:t>
            </w:r>
            <w:r>
              <w:rPr>
                <w:rFonts w:hint="eastAsia" w:ascii="Times New Roman" w:hAnsi="Times New Roman" w:eastAsia="宋体" w:cs="Times New Roman"/>
                <w:b w:val="0"/>
                <w:color w:val="auto"/>
                <w:kern w:val="2"/>
                <w:sz w:val="21"/>
                <w:highlight w:val="none"/>
                <w:lang w:val="en-US" w:eastAsia="zh-CN" w:bidi="ar-SA"/>
              </w:rPr>
              <w:t xml:space="preserve">：  </w:t>
            </w:r>
            <w:r>
              <w:rPr>
                <w:rFonts w:hint="eastAsia" w:ascii="Arial" w:hAnsi="Arial" w:eastAsia="Arial" w:cs="Arial"/>
                <w:snapToGrid w:val="0"/>
                <w:color w:val="000000"/>
                <w:kern w:val="0"/>
                <w:sz w:val="21"/>
                <w:szCs w:val="21"/>
                <w:lang w:val="en-US" w:eastAsia="zh-CN" w:bidi="ar-SA"/>
              </w:rPr>
              <w:t>falvshiwu@spic.com.cn</w:t>
            </w:r>
          </w:p>
          <w:p w14:paraId="37F7B589">
            <w:pPr>
              <w:keepNext w:val="0"/>
              <w:keepLines w:val="0"/>
              <w:pageBreakBefore w:val="0"/>
              <w:widowControl w:val="0"/>
              <w:numPr>
                <w:ilvl w:val="0"/>
                <w:numId w:val="0"/>
              </w:numPr>
              <w:kinsoku/>
              <w:wordWrap/>
              <w:overflowPunct/>
              <w:autoSpaceDE/>
              <w:autoSpaceDN/>
              <w:bidi w:val="0"/>
              <w:spacing w:line="240" w:lineRule="auto"/>
              <w:ind w:leftChars="0" w:right="0" w:rightChars="0"/>
              <w:textAlignment w:val="auto"/>
              <w:outlineLvl w:val="9"/>
              <w:rPr>
                <w:rFonts w:hint="default" w:eastAsia="宋体"/>
                <w:color w:val="auto"/>
                <w:highlight w:val="none"/>
                <w:lang w:val="fr-FR" w:eastAsia="zh-CN"/>
              </w:rPr>
            </w:pPr>
            <w:r>
              <w:rPr>
                <w:rFonts w:hint="eastAsia"/>
                <w:color w:val="auto"/>
                <w:highlight w:val="none"/>
              </w:rPr>
              <w:t>Adresse e-mail pour les objections et les plaintes : falvshiwu@spic.com.cn</w:t>
            </w:r>
          </w:p>
        </w:tc>
        <w:tc>
          <w:tcPr>
            <w:tcW w:w="933" w:type="dxa"/>
            <w:noWrap w:val="0"/>
            <w:vAlign w:val="center"/>
          </w:tcPr>
          <w:p w14:paraId="58E23B7E">
            <w:pPr>
              <w:adjustRightInd w:val="0"/>
              <w:snapToGrid w:val="0"/>
              <w:jc w:val="center"/>
              <w:rPr>
                <w:rFonts w:hint="eastAsia" w:ascii="Times New Roman" w:hAnsi="Times New Roman" w:eastAsia="宋体" w:cs="Times New Roman"/>
                <w:b w:val="0"/>
                <w:color w:val="auto"/>
                <w:kern w:val="2"/>
                <w:sz w:val="21"/>
                <w:highlight w:val="none"/>
                <w:lang w:val="en-US" w:eastAsia="zh-CN" w:bidi="ar-SA"/>
              </w:rPr>
            </w:pPr>
            <w:r>
              <w:rPr>
                <w:rFonts w:hint="eastAsia" w:hAnsi="宋体"/>
                <w:color w:val="auto"/>
                <w:highlight w:val="none"/>
                <w:lang w:val="en-US" w:eastAsia="zh-CN"/>
              </w:rPr>
              <w:t>/</w:t>
            </w:r>
          </w:p>
        </w:tc>
      </w:tr>
    </w:tbl>
    <w:p w14:paraId="241CE24A">
      <w:pPr>
        <w:pStyle w:val="3"/>
        <w:adjustRightInd w:val="0"/>
        <w:snapToGrid w:val="0"/>
        <w:spacing w:before="0" w:after="0" w:line="360" w:lineRule="auto"/>
        <w:jc w:val="left"/>
        <w:outlineLvl w:val="1"/>
        <w:rPr>
          <w:rFonts w:hint="eastAsia" w:ascii="宋体" w:hAnsi="宋体" w:eastAsia="宋体" w:cs="宋体"/>
          <w:color w:val="auto"/>
          <w:sz w:val="21"/>
          <w:szCs w:val="21"/>
          <w:highlight w:val="none"/>
        </w:rPr>
      </w:pPr>
      <w:r>
        <w:rPr>
          <w:color w:val="auto"/>
          <w:highlight w:val="none"/>
        </w:rPr>
        <w:br w:type="page"/>
      </w:r>
      <w:bookmarkStart w:id="13" w:name="_Toc21661"/>
      <w:bookmarkStart w:id="14" w:name="_Toc27228"/>
      <w:bookmarkStart w:id="15" w:name="_Toc23549"/>
      <w:bookmarkStart w:id="16" w:name="_Toc19910"/>
      <w:bookmarkStart w:id="17" w:name="_Toc13426"/>
      <w:bookmarkStart w:id="18" w:name="_Toc6561310"/>
      <w:r>
        <w:rPr>
          <w:rFonts w:hint="eastAsia" w:ascii="宋体" w:hAnsi="宋体" w:cs="宋体"/>
          <w:b/>
          <w:color w:val="auto"/>
          <w:kern w:val="0"/>
          <w:sz w:val="21"/>
          <w:szCs w:val="21"/>
          <w:highlight w:val="none"/>
          <w:lang w:val="en-US" w:eastAsia="zh-CN" w:bidi="ar-SA"/>
        </w:rPr>
        <w:t>1.总则</w:t>
      </w:r>
      <w:bookmarkEnd w:id="13"/>
      <w:bookmarkEnd w:id="14"/>
      <w:bookmarkEnd w:id="15"/>
      <w:bookmarkEnd w:id="16"/>
      <w:bookmarkEnd w:id="17"/>
      <w:bookmarkEnd w:id="18"/>
    </w:p>
    <w:p w14:paraId="5DCA41B2">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1.1 定义</w:t>
      </w:r>
    </w:p>
    <w:p w14:paraId="2155074C">
      <w:pPr>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b w:val="0"/>
          <w:color w:val="auto"/>
          <w:kern w:val="2"/>
          <w:sz w:val="21"/>
          <w:szCs w:val="21"/>
          <w:highlight w:val="none"/>
          <w:lang w:val="en-US" w:eastAsia="zh-CN" w:bidi="ar-SA"/>
        </w:rPr>
      </w:pPr>
      <w:bookmarkStart w:id="19" w:name="_Toc278290271"/>
      <w:bookmarkStart w:id="20" w:name="_Toc265891610"/>
      <w:bookmarkStart w:id="21" w:name="_Toc265891404"/>
      <w:bookmarkStart w:id="22" w:name="_Toc265890343"/>
      <w:bookmarkStart w:id="23" w:name="_Toc265889985"/>
      <w:bookmarkStart w:id="24" w:name="_Toc265890870"/>
      <w:r>
        <w:rPr>
          <w:rFonts w:hint="eastAsia" w:ascii="宋体" w:hAnsi="宋体" w:eastAsia="宋体" w:cs="宋体"/>
          <w:b w:val="0"/>
          <w:color w:val="auto"/>
          <w:kern w:val="2"/>
          <w:sz w:val="21"/>
          <w:szCs w:val="21"/>
          <w:highlight w:val="none"/>
          <w:lang w:val="en-US" w:eastAsia="zh-CN" w:bidi="ar-SA"/>
        </w:rPr>
        <w:t>1.1.1采购人：</w:t>
      </w:r>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7D3F2B15">
      <w:pPr>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b w:val="0"/>
          <w:color w:val="auto"/>
          <w:kern w:val="2"/>
          <w:sz w:val="21"/>
          <w:szCs w:val="21"/>
          <w:highlight w:val="none"/>
          <w:lang w:val="en-US" w:eastAsia="zh-CN" w:bidi="ar-SA"/>
        </w:rPr>
        <w:t>1.1.2项目单位：</w:t>
      </w:r>
      <w:bookmarkEnd w:id="19"/>
      <w:bookmarkEnd w:id="20"/>
      <w:bookmarkEnd w:id="21"/>
      <w:bookmarkEnd w:id="22"/>
      <w:bookmarkEnd w:id="23"/>
      <w:bookmarkEnd w:id="24"/>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5C4BF095">
      <w:pPr>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1.1.3项目名称：</w:t>
      </w:r>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2AAD1B03">
      <w:pPr>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1.1.4响应人：参与本项目竞争的法人或其它组织</w:t>
      </w:r>
    </w:p>
    <w:p w14:paraId="1F4B9833">
      <w:pPr>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1.1.5成交人：最终被授予合同的响应人。</w:t>
      </w:r>
    </w:p>
    <w:p w14:paraId="30E13886">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1.2 项目概况</w:t>
      </w:r>
    </w:p>
    <w:p w14:paraId="58E4A47F">
      <w:pPr>
        <w:tabs>
          <w:tab w:val="left" w:pos="993"/>
          <w:tab w:val="left" w:pos="1134"/>
        </w:tabs>
        <w:spacing w:line="360" w:lineRule="auto"/>
        <w:ind w:firstLine="424" w:firstLineChars="202"/>
        <w:jc w:val="left"/>
        <w:outlineLvl w:val="9"/>
        <w:rPr>
          <w:color w:val="auto"/>
          <w:highlight w:val="none"/>
        </w:rPr>
      </w:pPr>
      <w:r>
        <w:rPr>
          <w:rFonts w:ascii="宋体" w:hAnsi="宋体"/>
          <w:color w:val="auto"/>
          <w:sz w:val="21"/>
          <w:szCs w:val="21"/>
          <w:highlight w:val="none"/>
        </w:rPr>
        <w:t>本</w:t>
      </w:r>
      <w:r>
        <w:rPr>
          <w:rFonts w:hint="eastAsia" w:ascii="宋体" w:hAnsi="宋体"/>
          <w:color w:val="auto"/>
          <w:sz w:val="21"/>
          <w:szCs w:val="21"/>
          <w:highlight w:val="none"/>
        </w:rPr>
        <w:t>项目</w:t>
      </w:r>
      <w:r>
        <w:rPr>
          <w:rFonts w:hint="eastAsia" w:ascii="宋体" w:hAnsi="宋体"/>
          <w:color w:val="auto"/>
          <w:sz w:val="21"/>
          <w:szCs w:val="21"/>
          <w:highlight w:val="none"/>
          <w:lang w:val="en-US" w:eastAsia="zh-CN"/>
        </w:rPr>
        <w:t>采购</w:t>
      </w:r>
      <w:r>
        <w:rPr>
          <w:rFonts w:ascii="宋体" w:hAnsi="宋体"/>
          <w:color w:val="auto"/>
          <w:sz w:val="21"/>
          <w:szCs w:val="21"/>
          <w:highlight w:val="none"/>
        </w:rPr>
        <w:t>范围</w:t>
      </w:r>
      <w:r>
        <w:rPr>
          <w:rFonts w:hint="eastAsia" w:ascii="宋体" w:hAnsi="宋体"/>
          <w:color w:val="auto"/>
          <w:sz w:val="21"/>
          <w:szCs w:val="21"/>
          <w:highlight w:val="none"/>
        </w:rPr>
        <w:t>为本采购文件规定的，</w:t>
      </w:r>
      <w:r>
        <w:rPr>
          <w:rFonts w:ascii="宋体" w:hAnsi="宋体"/>
          <w:color w:val="auto"/>
          <w:sz w:val="21"/>
          <w:szCs w:val="21"/>
          <w:highlight w:val="none"/>
        </w:rPr>
        <w:t>同时也包括所有必要的材料、备品备件、专用工具、消耗品以及设计、技术资料和技术服务等。具体内容详见</w:t>
      </w:r>
      <w:r>
        <w:rPr>
          <w:rFonts w:hint="eastAsia" w:ascii="宋体" w:hAnsi="宋体"/>
          <w:color w:val="auto"/>
          <w:sz w:val="21"/>
          <w:szCs w:val="21"/>
          <w:highlight w:val="none"/>
        </w:rPr>
        <w:t>技术部分</w:t>
      </w:r>
      <w:r>
        <w:rPr>
          <w:rFonts w:ascii="宋体" w:hAnsi="宋体"/>
          <w:color w:val="auto"/>
          <w:sz w:val="21"/>
          <w:szCs w:val="21"/>
          <w:highlight w:val="none"/>
        </w:rPr>
        <w:t>有关规定。</w:t>
      </w:r>
    </w:p>
    <w:p w14:paraId="752B9DA5">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bookmarkStart w:id="25" w:name="_Toc20555"/>
      <w:r>
        <w:rPr>
          <w:rFonts w:hint="eastAsia" w:ascii="宋体" w:hAnsi="宋体" w:cs="宋体"/>
          <w:b/>
          <w:color w:val="auto"/>
          <w:kern w:val="0"/>
          <w:sz w:val="21"/>
          <w:szCs w:val="21"/>
          <w:highlight w:val="none"/>
          <w:lang w:val="en-US" w:eastAsia="zh-CN" w:bidi="ar-SA"/>
        </w:rPr>
        <w:t>1.3采购范围：</w:t>
      </w:r>
      <w:bookmarkEnd w:id="25"/>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40B87616">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default"/>
          <w:color w:val="auto"/>
          <w:highlight w:val="none"/>
          <w:lang w:val="en-US" w:eastAsia="zh-CN"/>
        </w:rPr>
      </w:pPr>
      <w:bookmarkStart w:id="26" w:name="_Toc18352"/>
      <w:r>
        <w:rPr>
          <w:rFonts w:hint="eastAsia" w:ascii="宋体" w:hAnsi="宋体" w:cs="宋体"/>
          <w:b/>
          <w:color w:val="auto"/>
          <w:kern w:val="0"/>
          <w:sz w:val="21"/>
          <w:szCs w:val="21"/>
          <w:highlight w:val="none"/>
          <w:lang w:val="en-US" w:eastAsia="zh-CN" w:bidi="ar-SA"/>
        </w:rPr>
        <w:t>1.4服务期限：</w:t>
      </w:r>
      <w:bookmarkEnd w:id="26"/>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bookmarkEnd w:id="0"/>
    <w:p w14:paraId="7BA888E3">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bookmarkStart w:id="27" w:name="_Toc30652"/>
      <w:bookmarkStart w:id="28" w:name="_Toc16708"/>
      <w:r>
        <w:rPr>
          <w:rFonts w:hint="eastAsia" w:ascii="宋体" w:hAnsi="宋体" w:cs="宋体"/>
          <w:b/>
          <w:color w:val="auto"/>
          <w:kern w:val="0"/>
          <w:sz w:val="21"/>
          <w:szCs w:val="21"/>
          <w:highlight w:val="none"/>
          <w:lang w:val="en-US" w:eastAsia="zh-CN" w:bidi="ar-SA"/>
        </w:rPr>
        <w:t>1.5质量标准：</w:t>
      </w:r>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702CEFD8">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1.6报价方式：</w:t>
      </w:r>
      <w:bookmarkEnd w:id="27"/>
      <w:bookmarkEnd w:id="28"/>
      <w:bookmarkStart w:id="29" w:name="_Toc4730"/>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bookmarkEnd w:id="29"/>
    <w:p w14:paraId="74A9F07D">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default" w:ascii="宋体" w:hAnsi="宋体" w:cs="宋体"/>
          <w:b/>
          <w:color w:val="auto"/>
          <w:kern w:val="0"/>
          <w:sz w:val="21"/>
          <w:szCs w:val="21"/>
          <w:highlight w:val="none"/>
          <w:lang w:val="en-US" w:eastAsia="zh-CN" w:bidi="ar-SA"/>
        </w:rPr>
      </w:pPr>
      <w:bookmarkStart w:id="30" w:name="_Toc1432"/>
      <w:bookmarkStart w:id="31" w:name="_Toc12174"/>
      <w:r>
        <w:rPr>
          <w:rFonts w:hint="eastAsia" w:ascii="宋体" w:hAnsi="宋体" w:cs="宋体"/>
          <w:b/>
          <w:color w:val="auto"/>
          <w:kern w:val="0"/>
          <w:sz w:val="21"/>
          <w:szCs w:val="21"/>
          <w:highlight w:val="none"/>
          <w:lang w:val="en-US" w:eastAsia="zh-CN" w:bidi="ar-SA"/>
        </w:rPr>
        <w:t>1.7付款方式：</w:t>
      </w:r>
      <w:bookmarkEnd w:id="30"/>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bookmarkEnd w:id="31"/>
    <w:p w14:paraId="0AF60EAF">
      <w:pPr>
        <w:adjustRightInd w:val="0"/>
        <w:snapToGrid w:val="0"/>
        <w:spacing w:line="360" w:lineRule="auto"/>
        <w:rPr>
          <w:rFonts w:hint="eastAsia" w:ascii="宋体" w:hAnsi="宋体" w:eastAsia="宋体" w:cs="宋体"/>
          <w:color w:val="auto"/>
          <w:szCs w:val="21"/>
          <w:highlight w:val="none"/>
          <w:lang w:eastAsia="zh-CN"/>
        </w:rPr>
      </w:pPr>
      <w:bookmarkStart w:id="32" w:name="_Toc9875"/>
      <w:bookmarkStart w:id="33" w:name="_Toc17607"/>
      <w:r>
        <w:rPr>
          <w:rFonts w:hint="eastAsia" w:ascii="宋体" w:hAnsi="宋体" w:cs="宋体"/>
          <w:b/>
          <w:color w:val="auto"/>
          <w:kern w:val="0"/>
          <w:sz w:val="21"/>
          <w:szCs w:val="21"/>
          <w:highlight w:val="none"/>
          <w:lang w:val="en-US" w:eastAsia="zh-CN" w:bidi="ar-SA"/>
        </w:rPr>
        <w:t>1.8响应人资质条件、能力和信誉：</w:t>
      </w:r>
      <w:bookmarkEnd w:id="32"/>
      <w:bookmarkEnd w:id="33"/>
      <w:bookmarkStart w:id="34" w:name="_Toc21555"/>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1F20D89B">
      <w:pPr>
        <w:adjustRightInd w:val="0"/>
        <w:snapToGrid w:val="0"/>
        <w:spacing w:line="360" w:lineRule="auto"/>
        <w:rPr>
          <w:rFonts w:ascii="宋体" w:hAnsi="宋体"/>
          <w:color w:val="auto"/>
          <w:highlight w:val="none"/>
        </w:rPr>
      </w:pPr>
      <w:r>
        <w:rPr>
          <w:rFonts w:hint="eastAsia" w:ascii="宋体" w:hAnsi="宋体" w:cs="宋体"/>
          <w:b/>
          <w:color w:val="auto"/>
          <w:kern w:val="0"/>
          <w:sz w:val="21"/>
          <w:szCs w:val="21"/>
          <w:highlight w:val="none"/>
          <w:lang w:val="en-US" w:eastAsia="zh-CN" w:bidi="ar-SA"/>
        </w:rPr>
        <w:t>1.9是否接受联合体报价：</w:t>
      </w:r>
      <w:r>
        <w:rPr>
          <w:rFonts w:hint="eastAsia" w:ascii="宋体" w:hAnsi="宋体"/>
          <w:color w:val="auto"/>
          <w:highlight w:val="none"/>
          <w:lang w:val="en-US" w:eastAsia="zh-CN"/>
        </w:rPr>
        <w:t>响应</w:t>
      </w:r>
      <w:r>
        <w:rPr>
          <w:rFonts w:ascii="宋体" w:hAnsi="宋体"/>
          <w:color w:val="auto"/>
          <w:highlight w:val="none"/>
        </w:rPr>
        <w:t>人须知前附表规定接受联合体</w:t>
      </w:r>
      <w:r>
        <w:rPr>
          <w:rFonts w:hint="eastAsia" w:ascii="宋体" w:hAnsi="宋体"/>
          <w:color w:val="auto"/>
          <w:highlight w:val="none"/>
        </w:rPr>
        <w:t>报价</w:t>
      </w:r>
      <w:r>
        <w:rPr>
          <w:rFonts w:ascii="宋体" w:hAnsi="宋体"/>
          <w:color w:val="auto"/>
          <w:highlight w:val="none"/>
        </w:rPr>
        <w:t>的，除应符合</w:t>
      </w:r>
      <w:r>
        <w:rPr>
          <w:rFonts w:hint="eastAsia" w:ascii="宋体" w:hAnsi="宋体"/>
          <w:color w:val="auto"/>
          <w:highlight w:val="none"/>
          <w:lang w:val="en-US" w:eastAsia="zh-CN"/>
        </w:rPr>
        <w:t>响应</w:t>
      </w:r>
      <w:r>
        <w:rPr>
          <w:rFonts w:ascii="宋体" w:hAnsi="宋体"/>
          <w:color w:val="auto"/>
          <w:highlight w:val="none"/>
        </w:rPr>
        <w:t xml:space="preserve">人须知前附表的要求外，还应遵守以下规定： </w:t>
      </w:r>
    </w:p>
    <w:p w14:paraId="09299297">
      <w:pPr>
        <w:adjustRightInd w:val="0"/>
        <w:snapToGrid w:val="0"/>
        <w:spacing w:line="360" w:lineRule="auto"/>
        <w:ind w:firstLine="420" w:firstLineChars="200"/>
        <w:rPr>
          <w:rFonts w:ascii="宋体" w:hAnsi="宋体"/>
          <w:color w:val="auto"/>
          <w:highlight w:val="none"/>
        </w:rPr>
      </w:pPr>
      <w:r>
        <w:rPr>
          <w:rFonts w:ascii="宋体" w:hAnsi="宋体"/>
          <w:color w:val="auto"/>
          <w:highlight w:val="none"/>
        </w:rPr>
        <w:t>（1）联合体各方应按</w:t>
      </w:r>
      <w:r>
        <w:rPr>
          <w:rFonts w:hint="eastAsia" w:ascii="宋体" w:hAnsi="宋体"/>
          <w:color w:val="auto"/>
          <w:highlight w:val="none"/>
        </w:rPr>
        <w:t>采购</w:t>
      </w:r>
      <w:r>
        <w:rPr>
          <w:rFonts w:ascii="宋体" w:hAnsi="宋体"/>
          <w:color w:val="auto"/>
          <w:highlight w:val="none"/>
        </w:rPr>
        <w:t>文件提供的格式签订联合体协议书，明确联合体牵头人和各方权利义务；</w:t>
      </w:r>
    </w:p>
    <w:p w14:paraId="1D16B137">
      <w:pPr>
        <w:adjustRightInd w:val="0"/>
        <w:snapToGrid w:val="0"/>
        <w:spacing w:line="360" w:lineRule="auto"/>
        <w:ind w:firstLine="420" w:firstLineChars="200"/>
        <w:rPr>
          <w:rFonts w:ascii="宋体" w:hAnsi="宋体"/>
          <w:color w:val="auto"/>
          <w:highlight w:val="none"/>
        </w:rPr>
      </w:pPr>
      <w:r>
        <w:rPr>
          <w:rFonts w:ascii="宋体" w:hAnsi="宋体"/>
          <w:color w:val="auto"/>
          <w:highlight w:val="none"/>
        </w:rPr>
        <w:t>（2）由同一专业的单位组成的联合体，按照资质等级较低的单位确定资质等级；</w:t>
      </w:r>
    </w:p>
    <w:p w14:paraId="3754FB23">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ascii="宋体" w:hAnsi="宋体"/>
          <w:color w:val="auto"/>
          <w:highlight w:val="none"/>
        </w:rPr>
        <w:t>（3）联合体各方不得再以自己名义单独或参加其他联合体在本</w:t>
      </w:r>
      <w:r>
        <w:rPr>
          <w:rFonts w:hint="eastAsia" w:ascii="宋体" w:hAnsi="宋体"/>
          <w:color w:val="auto"/>
          <w:highlight w:val="none"/>
        </w:rPr>
        <w:t>采购</w:t>
      </w:r>
      <w:r>
        <w:rPr>
          <w:rFonts w:ascii="宋体" w:hAnsi="宋体"/>
          <w:color w:val="auto"/>
          <w:highlight w:val="none"/>
        </w:rPr>
        <w:t>项目中</w:t>
      </w:r>
      <w:r>
        <w:rPr>
          <w:rFonts w:hint="eastAsia" w:ascii="宋体" w:hAnsi="宋体"/>
          <w:color w:val="auto"/>
          <w:highlight w:val="none"/>
        </w:rPr>
        <w:t>报价</w:t>
      </w:r>
      <w:r>
        <w:rPr>
          <w:rFonts w:ascii="宋体" w:hAnsi="宋体"/>
          <w:color w:val="auto"/>
          <w:highlight w:val="none"/>
        </w:rPr>
        <w:t>。</w:t>
      </w:r>
    </w:p>
    <w:p w14:paraId="1B27AC80">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1.10 踏勘现场</w:t>
      </w:r>
    </w:p>
    <w:p w14:paraId="11D1CB9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 xml:space="preserve">.1 </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须知前附表规定组织踏勘现场的，采购人按</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须知前附表规定的时间、地点组织</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踏勘项目现场。</w:t>
      </w:r>
      <w:r>
        <w:rPr>
          <w:rFonts w:ascii="宋体" w:hAnsi="宋体"/>
          <w:color w:val="auto"/>
          <w:sz w:val="21"/>
          <w:szCs w:val="21"/>
          <w:highlight w:val="none"/>
        </w:rPr>
        <w:t xml:space="preserve"> </w:t>
      </w:r>
    </w:p>
    <w:p w14:paraId="3FEAB40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 xml:space="preserve">.2 </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踏勘现场发生的费用自理。</w:t>
      </w:r>
    </w:p>
    <w:p w14:paraId="66CE3E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.3 除采购人的原因外，</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自行负责在踏勘现场中所发生的人员伤亡和财产损失。</w:t>
      </w:r>
    </w:p>
    <w:p w14:paraId="77DE1C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.4 采购人在踏勘现场中介绍的工程场地和相关的周边环境情况，供</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在编制</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时参考，采购人不对</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据此作出的判断和决策负责。</w:t>
      </w:r>
    </w:p>
    <w:bookmarkEnd w:id="34"/>
    <w:p w14:paraId="594E9E73">
      <w:pPr>
        <w:spacing w:line="360" w:lineRule="auto"/>
        <w:outlineLvl w:val="1"/>
        <w:rPr>
          <w:rFonts w:hint="eastAsia" w:ascii="宋体" w:hAnsi="宋体" w:cs="宋体"/>
          <w:b/>
          <w:color w:val="auto"/>
          <w:kern w:val="0"/>
          <w:sz w:val="21"/>
          <w:szCs w:val="21"/>
          <w:highlight w:val="none"/>
          <w:lang w:val="en-US" w:eastAsia="zh-CN" w:bidi="ar-SA"/>
        </w:rPr>
      </w:pPr>
      <w:bookmarkStart w:id="35" w:name="_Toc19767"/>
      <w:bookmarkStart w:id="36" w:name="_Toc26723"/>
      <w:bookmarkStart w:id="37" w:name="_Toc15773"/>
      <w:bookmarkStart w:id="38" w:name="_Toc30302"/>
      <w:bookmarkStart w:id="39" w:name="_Toc7360390"/>
      <w:bookmarkStart w:id="40" w:name="_Toc6830436"/>
      <w:r>
        <w:rPr>
          <w:rFonts w:hint="eastAsia" w:ascii="宋体" w:hAnsi="宋体" w:cs="宋体"/>
          <w:b/>
          <w:color w:val="auto"/>
          <w:kern w:val="0"/>
          <w:sz w:val="21"/>
          <w:szCs w:val="21"/>
          <w:highlight w:val="none"/>
          <w:lang w:val="en-US" w:eastAsia="zh-CN" w:bidi="ar-SA"/>
        </w:rPr>
        <w:t>2.竞争性谈判文件组成</w:t>
      </w:r>
      <w:bookmarkEnd w:id="35"/>
      <w:bookmarkEnd w:id="36"/>
      <w:bookmarkEnd w:id="37"/>
      <w:bookmarkEnd w:id="38"/>
    </w:p>
    <w:p w14:paraId="45A4C6F2">
      <w:pPr>
        <w:pStyle w:val="16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rPr>
        <w:t>竞争性谈判文件用以阐明采购范围，介绍基本的</w:t>
      </w:r>
      <w:r>
        <w:rPr>
          <w:rFonts w:hint="eastAsia" w:ascii="宋体" w:hAnsi="宋体"/>
          <w:color w:val="auto"/>
          <w:sz w:val="21"/>
          <w:szCs w:val="21"/>
          <w:highlight w:val="none"/>
          <w:lang w:val="en-US" w:eastAsia="zh-CN"/>
        </w:rPr>
        <w:t>谈判</w:t>
      </w:r>
      <w:r>
        <w:rPr>
          <w:rFonts w:hint="eastAsia" w:ascii="宋体" w:hAnsi="宋体"/>
          <w:color w:val="auto"/>
          <w:sz w:val="21"/>
          <w:szCs w:val="21"/>
          <w:highlight w:val="none"/>
        </w:rPr>
        <w:t>程序，提供相应的合同条款，提纲见目录。</w:t>
      </w:r>
    </w:p>
    <w:p w14:paraId="32CA34C5">
      <w:pPr>
        <w:pStyle w:val="16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应认</w:t>
      </w:r>
      <w:r>
        <w:rPr>
          <w:rFonts w:hint="eastAsia" w:ascii="宋体" w:hAnsi="宋体"/>
          <w:color w:val="auto"/>
          <w:sz w:val="21"/>
          <w:szCs w:val="21"/>
          <w:highlight w:val="none"/>
        </w:rPr>
        <w:t>真阅读竞争性谈判文件中所有的须知、格式、条款、技术要求和其它资料。如果</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没有按照</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要求提交全部资料，或者提交的资料没有对</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在各方面都做出实质性响应而导致其报价被拒绝，该责任由</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承担。</w:t>
      </w:r>
    </w:p>
    <w:bookmarkEnd w:id="39"/>
    <w:bookmarkEnd w:id="40"/>
    <w:p w14:paraId="06687C59">
      <w:pPr>
        <w:spacing w:line="360" w:lineRule="auto"/>
        <w:outlineLvl w:val="1"/>
        <w:rPr>
          <w:rFonts w:hint="eastAsia" w:ascii="宋体" w:hAnsi="宋体" w:cs="宋体"/>
          <w:b/>
          <w:color w:val="auto"/>
          <w:kern w:val="0"/>
          <w:sz w:val="21"/>
          <w:szCs w:val="21"/>
          <w:highlight w:val="none"/>
          <w:lang w:val="en-US" w:eastAsia="zh-CN" w:bidi="ar-SA"/>
        </w:rPr>
      </w:pPr>
      <w:bookmarkStart w:id="41" w:name="_Toc19028"/>
      <w:bookmarkStart w:id="42" w:name="_Toc11324"/>
      <w:bookmarkStart w:id="43" w:name="_Toc24165"/>
      <w:bookmarkStart w:id="44" w:name="_Toc8244"/>
      <w:r>
        <w:rPr>
          <w:rFonts w:hint="eastAsia" w:ascii="宋体" w:hAnsi="宋体" w:cs="宋体"/>
          <w:b/>
          <w:color w:val="auto"/>
          <w:kern w:val="0"/>
          <w:sz w:val="21"/>
          <w:szCs w:val="21"/>
          <w:highlight w:val="none"/>
          <w:lang w:val="en-US" w:eastAsia="zh-CN" w:bidi="ar-SA"/>
        </w:rPr>
        <w:t>3.谈判说明</w:t>
      </w:r>
      <w:bookmarkEnd w:id="41"/>
      <w:bookmarkEnd w:id="42"/>
      <w:bookmarkEnd w:id="43"/>
      <w:bookmarkEnd w:id="44"/>
    </w:p>
    <w:p w14:paraId="74EF5D61">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bookmarkStart w:id="45" w:name="_Toc247085721"/>
      <w:bookmarkStart w:id="46" w:name="_Toc179632581"/>
      <w:bookmarkStart w:id="47" w:name="_Toc296602452"/>
      <w:bookmarkStart w:id="48" w:name="_Toc144974531"/>
      <w:bookmarkStart w:id="49" w:name="_Toc152045563"/>
      <w:bookmarkStart w:id="50" w:name="_Toc246996950"/>
      <w:bookmarkStart w:id="51" w:name="_Toc152042339"/>
      <w:bookmarkStart w:id="52" w:name="_Toc246996207"/>
      <w:bookmarkStart w:id="53" w:name="_Toc452121906"/>
      <w:r>
        <w:rPr>
          <w:rFonts w:hint="eastAsia" w:ascii="宋体" w:hAnsi="宋体" w:cs="宋体"/>
          <w:b/>
          <w:color w:val="auto"/>
          <w:kern w:val="0"/>
          <w:sz w:val="21"/>
          <w:szCs w:val="21"/>
          <w:highlight w:val="none"/>
          <w:lang w:val="en-US" w:eastAsia="zh-CN" w:bidi="ar-SA"/>
        </w:rPr>
        <w:t xml:space="preserve">3.1 </w:t>
      </w:r>
      <w:bookmarkEnd w:id="45"/>
      <w:bookmarkEnd w:id="46"/>
      <w:bookmarkEnd w:id="47"/>
      <w:bookmarkEnd w:id="48"/>
      <w:bookmarkEnd w:id="49"/>
      <w:bookmarkEnd w:id="50"/>
      <w:bookmarkEnd w:id="51"/>
      <w:bookmarkEnd w:id="52"/>
      <w:r>
        <w:rPr>
          <w:rFonts w:hint="eastAsia" w:ascii="宋体" w:hAnsi="宋体" w:cs="宋体"/>
          <w:b/>
          <w:color w:val="auto"/>
          <w:kern w:val="0"/>
          <w:sz w:val="21"/>
          <w:szCs w:val="21"/>
          <w:highlight w:val="none"/>
          <w:lang w:val="en-US" w:eastAsia="zh-CN" w:bidi="ar-SA"/>
        </w:rPr>
        <w:t>谈判小组</w:t>
      </w:r>
      <w:bookmarkEnd w:id="53"/>
    </w:p>
    <w:p w14:paraId="3A11736A">
      <w:pPr>
        <w:keepNext w:val="0"/>
        <w:keepLines w:val="0"/>
        <w:pageBreakBefore w:val="0"/>
        <w:widowControl w:val="0"/>
        <w:kinsoku/>
        <w:wordWrap/>
        <w:overflowPunct/>
        <w:topLinePunct w:val="0"/>
        <w:autoSpaceDE/>
        <w:autoSpaceDN/>
        <w:bidi w:val="0"/>
        <w:spacing w:line="360" w:lineRule="auto"/>
        <w:ind w:left="0" w:leftChars="0" w:right="0" w:rightChars="0" w:firstLine="424" w:firstLineChars="202"/>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谈判</w:t>
      </w:r>
      <w:r>
        <w:rPr>
          <w:rFonts w:hint="eastAsia" w:ascii="宋体" w:hAnsi="宋体"/>
          <w:color w:val="auto"/>
          <w:sz w:val="21"/>
          <w:szCs w:val="21"/>
          <w:highlight w:val="none"/>
        </w:rPr>
        <w:t>小组由采购人、</w:t>
      </w:r>
      <w:r>
        <w:rPr>
          <w:rFonts w:hint="eastAsia" w:ascii="宋体" w:hAnsi="宋体"/>
          <w:color w:val="auto"/>
          <w:sz w:val="21"/>
          <w:szCs w:val="21"/>
          <w:highlight w:val="none"/>
          <w:lang w:val="en-US" w:eastAsia="zh-CN"/>
        </w:rPr>
        <w:t>项目</w:t>
      </w:r>
      <w:r>
        <w:rPr>
          <w:rFonts w:hint="eastAsia" w:ascii="宋体" w:hAnsi="宋体"/>
          <w:color w:val="auto"/>
          <w:sz w:val="21"/>
          <w:szCs w:val="21"/>
          <w:highlight w:val="none"/>
        </w:rPr>
        <w:t>有关专业专家组成。</w:t>
      </w:r>
    </w:p>
    <w:p w14:paraId="542BE193">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default" w:ascii="宋体" w:hAnsi="宋体" w:cs="宋体"/>
          <w:b/>
          <w:color w:val="auto"/>
          <w:kern w:val="0"/>
          <w:sz w:val="21"/>
          <w:szCs w:val="21"/>
          <w:highlight w:val="none"/>
          <w:lang w:val="en-US" w:eastAsia="zh-CN" w:bidi="ar-SA"/>
        </w:rPr>
      </w:pPr>
      <w:bookmarkStart w:id="54" w:name="_Toc452121908"/>
      <w:r>
        <w:rPr>
          <w:rFonts w:hint="eastAsia" w:ascii="宋体" w:hAnsi="宋体" w:cs="宋体"/>
          <w:b/>
          <w:color w:val="auto"/>
          <w:kern w:val="0"/>
          <w:sz w:val="21"/>
          <w:szCs w:val="21"/>
          <w:highlight w:val="none"/>
          <w:lang w:val="en-US" w:eastAsia="zh-CN" w:bidi="ar-SA"/>
        </w:rPr>
        <w:t>3.2 谈判原则及纪律</w:t>
      </w:r>
    </w:p>
    <w:p w14:paraId="46C9BDD1">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评审按照</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的规定的要求、条件、评审因素进行。</w:t>
      </w:r>
    </w:p>
    <w:p w14:paraId="159E6CF5">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应实质上响应</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的要求，不得有显著的差异或保留。</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如对</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的某些条款、条件和规定持有异议或保留，应明确提出依据和对应的建议，</w:t>
      </w:r>
      <w:r>
        <w:rPr>
          <w:rFonts w:hint="eastAsia" w:ascii="宋体" w:hAnsi="宋体"/>
          <w:color w:val="auto"/>
          <w:sz w:val="21"/>
          <w:szCs w:val="21"/>
          <w:highlight w:val="none"/>
          <w:lang w:eastAsia="zh-CN"/>
        </w:rPr>
        <w:t>谈判小组</w:t>
      </w:r>
      <w:r>
        <w:rPr>
          <w:rFonts w:hint="eastAsia" w:ascii="宋体" w:hAnsi="宋体"/>
          <w:color w:val="auto"/>
          <w:sz w:val="21"/>
          <w:szCs w:val="21"/>
          <w:highlight w:val="none"/>
        </w:rPr>
        <w:t>将根据其合理程度予以评价。</w:t>
      </w:r>
    </w:p>
    <w:p w14:paraId="5AEF699F">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olor w:val="auto"/>
          <w:sz w:val="21"/>
          <w:szCs w:val="21"/>
          <w:highlight w:val="none"/>
          <w:lang w:val="en-US" w:eastAsia="zh-CN"/>
        </w:rPr>
        <w:t>3.2.3</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不得相互串通报价，不得排挤其他</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的公平竞争，不得干扰谈判人员的谈判工作，不得以任何形式打探和搜集谈判情况，不得与采购人串通报价，损害国家利益，社会公共利益或者他人利益。</w:t>
      </w:r>
    </w:p>
    <w:p w14:paraId="2EC82F83">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3.2.4</w:t>
      </w:r>
      <w:r>
        <w:rPr>
          <w:rFonts w:hint="eastAsia" w:ascii="宋体" w:hAnsi="宋体" w:eastAsia="宋体" w:cs="Times New Roman"/>
          <w:color w:val="auto"/>
          <w:sz w:val="21"/>
          <w:szCs w:val="21"/>
          <w:highlight w:val="none"/>
        </w:rPr>
        <w:t>严禁</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与谈判人员私下接触。</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 xml:space="preserve">与采购人之间的正常联络及有关文件、资料的传递通过采购机构进行。 </w:t>
      </w:r>
    </w:p>
    <w:p w14:paraId="771D434F">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3.2.5</w:t>
      </w:r>
      <w:r>
        <w:rPr>
          <w:rFonts w:hint="eastAsia" w:ascii="宋体" w:hAnsi="宋体" w:eastAsia="宋体" w:cs="Times New Roman"/>
          <w:color w:val="auto"/>
          <w:sz w:val="21"/>
          <w:szCs w:val="21"/>
          <w:highlight w:val="none"/>
        </w:rPr>
        <w:t>严禁</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 xml:space="preserve">向采购人或谈判小组成员以行贿的手段谋取成交。 </w:t>
      </w:r>
    </w:p>
    <w:p w14:paraId="761C24D1">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3.2.6</w:t>
      </w:r>
      <w:r>
        <w:rPr>
          <w:rFonts w:hint="eastAsia" w:ascii="宋体" w:hAnsi="宋体" w:eastAsia="宋体" w:cs="Times New Roman"/>
          <w:color w:val="auto"/>
          <w:sz w:val="21"/>
          <w:szCs w:val="21"/>
          <w:highlight w:val="none"/>
        </w:rPr>
        <w:t>谈判小组成员应当客观、公正地履行职责，遵守职业道德，对提出的谈判意见承担个人责任。谈判小组成员不得代表各自所在单位，没有向各自所在单位汇报谈判情况的权利和义务。</w:t>
      </w:r>
    </w:p>
    <w:p w14:paraId="065FA0FC">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3.2.7</w:t>
      </w:r>
      <w:r>
        <w:rPr>
          <w:rFonts w:hint="eastAsia" w:ascii="宋体" w:hAnsi="宋体" w:eastAsia="宋体" w:cs="Times New Roman"/>
          <w:color w:val="auto"/>
          <w:sz w:val="21"/>
          <w:szCs w:val="21"/>
          <w:highlight w:val="none"/>
        </w:rPr>
        <w:t>所有的报价文件、谈判文件及各种谈判资料等，只限于在谈判会议室使用，不得复制，不得外带，谈判会议结束后一律统一上交，统一保管，不得私自带走。</w:t>
      </w:r>
    </w:p>
    <w:p w14:paraId="3F92056A">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3.2.8</w:t>
      </w:r>
      <w:r>
        <w:rPr>
          <w:rFonts w:hint="eastAsia" w:ascii="宋体" w:hAnsi="宋体" w:eastAsia="宋体" w:cs="Times New Roman"/>
          <w:color w:val="auto"/>
          <w:sz w:val="21"/>
          <w:szCs w:val="21"/>
          <w:highlight w:val="none"/>
        </w:rPr>
        <w:t>谈判人员在谈判工作期间不得随意离开谈判地点。</w:t>
      </w:r>
    </w:p>
    <w:p w14:paraId="2B38EA4A">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3.2.9</w:t>
      </w:r>
      <w:r>
        <w:rPr>
          <w:rFonts w:hint="eastAsia" w:ascii="宋体" w:hAnsi="宋体" w:eastAsia="宋体" w:cs="Times New Roman"/>
          <w:color w:val="auto"/>
          <w:sz w:val="21"/>
          <w:szCs w:val="21"/>
          <w:highlight w:val="none"/>
        </w:rPr>
        <w:t>任何谈判人员及工作人员不得私自向外透露谈判情况。</w:t>
      </w:r>
    </w:p>
    <w:p w14:paraId="6BDAF7B2">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3.3谈判程序</w:t>
      </w:r>
    </w:p>
    <w:p w14:paraId="0B5D6A43">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3.3</w:t>
      </w:r>
      <w:r>
        <w:rPr>
          <w:rFonts w:hint="eastAsia" w:ascii="宋体" w:hAnsi="宋体" w:eastAsia="宋体" w:cs="Times New Roman"/>
          <w:color w:val="auto"/>
          <w:sz w:val="21"/>
          <w:szCs w:val="21"/>
          <w:highlight w:val="none"/>
        </w:rPr>
        <w:t>.1谈判小组对</w:t>
      </w:r>
      <w:r>
        <w:rPr>
          <w:rFonts w:hint="eastAsia" w:ascii="宋体" w:hAnsi="宋体" w:eastAsia="宋体" w:cs="Times New Roman"/>
          <w:color w:val="auto"/>
          <w:sz w:val="21"/>
          <w:szCs w:val="21"/>
          <w:highlight w:val="none"/>
          <w:lang w:val="en-US" w:eastAsia="zh-CN"/>
        </w:rPr>
        <w:t>响应</w:t>
      </w:r>
      <w:r>
        <w:rPr>
          <w:rFonts w:hint="eastAsia" w:ascii="宋体" w:hAnsi="宋体" w:eastAsia="宋体" w:cs="Times New Roman"/>
          <w:color w:val="auto"/>
          <w:sz w:val="21"/>
          <w:szCs w:val="21"/>
          <w:highlight w:val="none"/>
        </w:rPr>
        <w:t>文件中有效性、完整性以及对采购文件的响应程度进行审查，整理出需要与</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谈判的问题。</w:t>
      </w:r>
    </w:p>
    <w:p w14:paraId="61DB947B">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3.3</w:t>
      </w:r>
      <w:r>
        <w:rPr>
          <w:rFonts w:hint="eastAsia" w:ascii="宋体" w:hAnsi="宋体" w:eastAsia="宋体" w:cs="Times New Roman"/>
          <w:color w:val="auto"/>
          <w:sz w:val="21"/>
          <w:szCs w:val="21"/>
          <w:highlight w:val="none"/>
        </w:rPr>
        <w:t>.2谈判开始前，谈判小组须对</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的授权代表进行身份核实，核实无误后才可进入谈判阶段。</w:t>
      </w:r>
    </w:p>
    <w:p w14:paraId="6774CC38">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3.3</w:t>
      </w:r>
      <w:r>
        <w:rPr>
          <w:rFonts w:hint="eastAsia" w:ascii="宋体" w:hAnsi="宋体" w:eastAsia="宋体" w:cs="Times New Roman"/>
          <w:color w:val="auto"/>
          <w:sz w:val="21"/>
          <w:szCs w:val="21"/>
          <w:highlight w:val="none"/>
        </w:rPr>
        <w:t>.3按照谈判邀请函规定的时间，谈判小组全体成员与受邀请</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的授权代表分别进行谈判，谈判小组可要求</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在规定时间内对</w:t>
      </w:r>
      <w:r>
        <w:rPr>
          <w:rFonts w:hint="eastAsia" w:ascii="宋体" w:hAnsi="宋体" w:eastAsia="宋体" w:cs="Times New Roman"/>
          <w:color w:val="auto"/>
          <w:sz w:val="21"/>
          <w:szCs w:val="21"/>
          <w:highlight w:val="none"/>
          <w:lang w:val="en-US" w:eastAsia="zh-CN"/>
        </w:rPr>
        <w:t>响应</w:t>
      </w:r>
      <w:r>
        <w:rPr>
          <w:rFonts w:hint="eastAsia" w:ascii="宋体" w:hAnsi="宋体" w:eastAsia="宋体" w:cs="Times New Roman"/>
          <w:color w:val="auto"/>
          <w:sz w:val="21"/>
          <w:szCs w:val="21"/>
          <w:highlight w:val="none"/>
        </w:rPr>
        <w:t>文件进行补充和完善，未对采购文件作实质性响应的</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，不得进入下一步谈判过程。</w:t>
      </w:r>
    </w:p>
    <w:p w14:paraId="223E916B">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3.3</w:t>
      </w:r>
      <w:r>
        <w:rPr>
          <w:rFonts w:hint="eastAsia" w:ascii="宋体" w:hAnsi="宋体" w:eastAsia="宋体" w:cs="Times New Roman"/>
          <w:color w:val="auto"/>
          <w:sz w:val="21"/>
          <w:szCs w:val="21"/>
          <w:highlight w:val="none"/>
        </w:rPr>
        <w:t>.4谈判过程中，谈判内容发生变动的，谈判小组应当以书面形式通知所有参加谈判的</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w:t>
      </w:r>
    </w:p>
    <w:p w14:paraId="6513B922">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3.3</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5</w:t>
      </w:r>
      <w:r>
        <w:rPr>
          <w:rFonts w:hint="eastAsia" w:ascii="宋体" w:hAnsi="宋体" w:eastAsia="宋体" w:cs="Times New Roman"/>
          <w:color w:val="auto"/>
          <w:sz w:val="21"/>
          <w:szCs w:val="21"/>
          <w:highlight w:val="none"/>
        </w:rPr>
        <w:t>谈判小组可要求</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进行多轮报价，但必须保证每个供应商得到均等机会。谈判小组应当要求所有继续参加谈判的</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在规定时间内提供最后报价及有关承诺，并以书面形式确认。</w:t>
      </w:r>
    </w:p>
    <w:bookmarkEnd w:id="54"/>
    <w:p w14:paraId="559843A1">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3.4 谈判澄清</w:t>
      </w:r>
    </w:p>
    <w:p w14:paraId="0B5E64C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 xml:space="preserve">.1 </w:t>
      </w:r>
      <w:r>
        <w:rPr>
          <w:rFonts w:hint="eastAsia" w:ascii="宋体" w:hAnsi="宋体"/>
          <w:color w:val="auto"/>
          <w:sz w:val="21"/>
          <w:szCs w:val="21"/>
          <w:highlight w:val="none"/>
          <w:lang w:eastAsia="zh-CN"/>
        </w:rPr>
        <w:t>谈判小组</w:t>
      </w:r>
      <w:r>
        <w:rPr>
          <w:rFonts w:hint="eastAsia" w:ascii="宋体" w:hAnsi="宋体"/>
          <w:color w:val="auto"/>
          <w:sz w:val="21"/>
          <w:szCs w:val="21"/>
          <w:highlight w:val="none"/>
        </w:rPr>
        <w:t>对</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中不满足</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要求、不清楚、不明确之处进行专门标注和记录，整理出需要</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澄清的问题。</w:t>
      </w:r>
    </w:p>
    <w:p w14:paraId="0D1AE25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.2</w:t>
      </w:r>
      <w:r>
        <w:rPr>
          <w:rFonts w:hint="eastAsia" w:ascii="宋体" w:hAnsi="宋体"/>
          <w:color w:val="auto"/>
          <w:sz w:val="21"/>
          <w:szCs w:val="21"/>
          <w:highlight w:val="none"/>
          <w:lang w:eastAsia="zh-CN"/>
        </w:rPr>
        <w:t>谈判小组</w:t>
      </w:r>
      <w:r>
        <w:rPr>
          <w:rFonts w:hint="eastAsia" w:ascii="宋体" w:hAnsi="宋体"/>
          <w:color w:val="auto"/>
          <w:sz w:val="21"/>
          <w:szCs w:val="21"/>
          <w:highlight w:val="none"/>
        </w:rPr>
        <w:t>可针对</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中含义不明确或前后说法不一或明显笔误的内容要求</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澄清。</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应将书面答复签字/盖章后通过采购</w:t>
      </w:r>
      <w:r>
        <w:rPr>
          <w:rFonts w:ascii="宋体" w:hAnsi="宋体"/>
          <w:color w:val="auto"/>
          <w:sz w:val="21"/>
          <w:szCs w:val="21"/>
          <w:highlight w:val="none"/>
        </w:rPr>
        <w:t>平台上传</w:t>
      </w:r>
      <w:r>
        <w:rPr>
          <w:rFonts w:hint="eastAsia" w:ascii="宋体" w:hAnsi="宋体"/>
          <w:color w:val="auto"/>
          <w:sz w:val="21"/>
          <w:szCs w:val="21"/>
          <w:highlight w:val="none"/>
        </w:rPr>
        <w:t>。</w:t>
      </w:r>
    </w:p>
    <w:p w14:paraId="63BA24C7">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.3 澄清文件作为</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的有效的补充文件。</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不得超出原</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的范围或对原</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内容作实质性修改。</w:t>
      </w:r>
    </w:p>
    <w:p w14:paraId="6E41BA34">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3.5 评审方法</w:t>
      </w:r>
    </w:p>
    <w:p w14:paraId="6C1A7F9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.1报价复核：对各有效</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的报价按</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规定的修正原则进行算术性复核，确定修正后的评审价格。</w:t>
      </w:r>
    </w:p>
    <w:p w14:paraId="60E0020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.2主要单价因素分析：对各有效</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报价中的单价进行分析，检查是否有明显不合理的单价；检查主要单价因素是否有明显错误。</w:t>
      </w:r>
    </w:p>
    <w:p w14:paraId="3003830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.3</w:t>
      </w:r>
      <w:r>
        <w:rPr>
          <w:rFonts w:hint="eastAsia" w:ascii="宋体" w:hAnsi="宋体"/>
          <w:color w:val="auto"/>
          <w:sz w:val="21"/>
          <w:szCs w:val="21"/>
          <w:highlight w:val="none"/>
          <w:lang w:eastAsia="zh-CN"/>
        </w:rPr>
        <w:t>谈判小组</w:t>
      </w:r>
      <w:r>
        <w:rPr>
          <w:rFonts w:hint="eastAsia" w:ascii="宋体" w:hAnsi="宋体"/>
          <w:color w:val="auto"/>
          <w:sz w:val="21"/>
          <w:szCs w:val="21"/>
          <w:highlight w:val="none"/>
        </w:rPr>
        <w:t>将根据</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须知前附表中资质要求和第</w:t>
      </w:r>
      <w:r>
        <w:rPr>
          <w:rFonts w:hint="eastAsia" w:ascii="宋体" w:hAnsi="宋体"/>
          <w:color w:val="auto"/>
          <w:sz w:val="21"/>
          <w:szCs w:val="21"/>
          <w:highlight w:val="none"/>
          <w:lang w:val="en-US" w:eastAsia="zh-CN"/>
        </w:rPr>
        <w:t>四章</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构成规定提供的文件采用最低评审价法，即在综合考虑技术、商务定性的基础上，</w:t>
      </w:r>
      <w:r>
        <w:rPr>
          <w:rFonts w:hint="eastAsia" w:ascii="宋体" w:hAnsi="宋体"/>
          <w:color w:val="auto"/>
          <w:sz w:val="21"/>
          <w:szCs w:val="21"/>
          <w:highlight w:val="none"/>
          <w:lang w:eastAsia="zh-CN"/>
        </w:rPr>
        <w:t>谈判小组</w:t>
      </w:r>
      <w:r>
        <w:rPr>
          <w:rFonts w:hint="eastAsia" w:ascii="宋体" w:hAnsi="宋体"/>
          <w:color w:val="auto"/>
          <w:sz w:val="21"/>
          <w:szCs w:val="21"/>
          <w:highlight w:val="none"/>
        </w:rPr>
        <w:t>按评审价格由低至高的顺序确定排名，最低评审价为首选候选人，次低价者为备选候选人。</w:t>
      </w:r>
    </w:p>
    <w:p w14:paraId="0225204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hint="eastAsia"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.4本项目不一定授给最低报价者，对采购结果不负责解释，最低报价不是被授予合同的保证。</w:t>
      </w:r>
    </w:p>
    <w:p w14:paraId="4F50D5B9">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default"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3.6评审表</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122"/>
        <w:gridCol w:w="1974"/>
        <w:gridCol w:w="5533"/>
      </w:tblGrid>
      <w:tr w14:paraId="25DC83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jc w:val="center"/>
        </w:trPr>
        <w:tc>
          <w:tcPr>
            <w:tcW w:w="2064" w:type="dxa"/>
            <w:gridSpan w:val="2"/>
            <w:noWrap w:val="0"/>
            <w:vAlign w:val="center"/>
          </w:tcPr>
          <w:p w14:paraId="479C1628">
            <w:pPr>
              <w:jc w:val="center"/>
              <w:rPr>
                <w:rFonts w:ascii="宋体" w:hAnsi="宋体" w:eastAsia="宋体"/>
                <w:b/>
                <w:color w:val="auto"/>
                <w:szCs w:val="21"/>
                <w:highlight w:val="none"/>
              </w:rPr>
            </w:pPr>
            <w:bookmarkStart w:id="55" w:name="_Toc452121912"/>
            <w:bookmarkStart w:id="56" w:name="_Toc6830438"/>
            <w:bookmarkStart w:id="57" w:name="_Toc7360392"/>
            <w:bookmarkStart w:id="58" w:name="_Toc26309"/>
            <w:r>
              <w:rPr>
                <w:rFonts w:ascii="宋体" w:hAnsi="宋体" w:eastAsia="宋体"/>
                <w:b/>
                <w:color w:val="auto"/>
                <w:szCs w:val="21"/>
                <w:highlight w:val="none"/>
              </w:rPr>
              <w:t>条款号</w:t>
            </w:r>
          </w:p>
        </w:tc>
        <w:tc>
          <w:tcPr>
            <w:tcW w:w="1974" w:type="dxa"/>
            <w:noWrap w:val="0"/>
            <w:vAlign w:val="center"/>
          </w:tcPr>
          <w:p w14:paraId="5ED0908E">
            <w:pPr>
              <w:jc w:val="center"/>
              <w:rPr>
                <w:rFonts w:ascii="宋体" w:hAnsi="宋体" w:eastAsia="宋体"/>
                <w:b/>
                <w:color w:val="auto"/>
                <w:szCs w:val="21"/>
                <w:highlight w:val="none"/>
              </w:rPr>
            </w:pPr>
            <w:r>
              <w:rPr>
                <w:rFonts w:ascii="宋体" w:hAnsi="宋体" w:eastAsia="宋体"/>
                <w:b/>
                <w:color w:val="auto"/>
                <w:szCs w:val="21"/>
                <w:highlight w:val="none"/>
              </w:rPr>
              <w:t>评审因素</w:t>
            </w:r>
          </w:p>
        </w:tc>
        <w:tc>
          <w:tcPr>
            <w:tcW w:w="5533" w:type="dxa"/>
            <w:noWrap w:val="0"/>
            <w:vAlign w:val="center"/>
          </w:tcPr>
          <w:p w14:paraId="1BF91862">
            <w:pPr>
              <w:jc w:val="center"/>
              <w:rPr>
                <w:rFonts w:ascii="宋体" w:hAnsi="宋体" w:eastAsia="宋体"/>
                <w:b/>
                <w:color w:val="auto"/>
                <w:szCs w:val="21"/>
                <w:highlight w:val="none"/>
              </w:rPr>
            </w:pPr>
            <w:r>
              <w:rPr>
                <w:rFonts w:ascii="宋体" w:hAnsi="宋体" w:eastAsia="宋体"/>
                <w:b/>
                <w:color w:val="auto"/>
                <w:szCs w:val="21"/>
                <w:highlight w:val="none"/>
              </w:rPr>
              <w:t>评审标准</w:t>
            </w:r>
          </w:p>
        </w:tc>
      </w:tr>
      <w:tr w14:paraId="7E480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0FEE09AB">
            <w:pPr>
              <w:jc w:val="center"/>
              <w:rPr>
                <w:rFonts w:ascii="宋体" w:hAnsi="宋体" w:eastAsia="宋体"/>
                <w:color w:val="auto"/>
                <w:szCs w:val="21"/>
                <w:highlight w:val="none"/>
              </w:rPr>
            </w:pPr>
            <w:r>
              <w:rPr>
                <w:rFonts w:hint="eastAsia" w:ascii="宋体" w:hAnsi="宋体" w:eastAsia="宋体"/>
                <w:color w:val="auto"/>
                <w:szCs w:val="21"/>
                <w:highlight w:val="none"/>
                <w:lang w:val="en-US" w:eastAsia="zh-CN"/>
              </w:rPr>
              <w:t>1</w:t>
            </w:r>
            <w:r>
              <w:rPr>
                <w:rFonts w:ascii="宋体" w:hAnsi="宋体" w:eastAsia="宋体"/>
                <w:color w:val="auto"/>
                <w:szCs w:val="21"/>
                <w:highlight w:val="none"/>
              </w:rPr>
              <w:t>.1.1</w:t>
            </w:r>
          </w:p>
        </w:tc>
        <w:tc>
          <w:tcPr>
            <w:tcW w:w="1122" w:type="dxa"/>
            <w:vMerge w:val="restart"/>
            <w:noWrap w:val="0"/>
            <w:vAlign w:val="center"/>
          </w:tcPr>
          <w:p w14:paraId="7923C451">
            <w:pPr>
              <w:jc w:val="center"/>
              <w:rPr>
                <w:rFonts w:ascii="宋体" w:hAnsi="宋体" w:eastAsia="宋体"/>
                <w:color w:val="auto"/>
                <w:szCs w:val="21"/>
                <w:highlight w:val="none"/>
              </w:rPr>
            </w:pPr>
            <w:r>
              <w:rPr>
                <w:rFonts w:ascii="宋体" w:hAnsi="宋体" w:eastAsia="宋体"/>
                <w:color w:val="auto"/>
                <w:szCs w:val="21"/>
                <w:highlight w:val="none"/>
              </w:rPr>
              <w:t>形式评审标准</w:t>
            </w:r>
          </w:p>
        </w:tc>
        <w:tc>
          <w:tcPr>
            <w:tcW w:w="1974" w:type="dxa"/>
            <w:noWrap w:val="0"/>
            <w:vAlign w:val="center"/>
          </w:tcPr>
          <w:p w14:paraId="46A6C4B8">
            <w:pPr>
              <w:jc w:val="center"/>
              <w:rPr>
                <w:rFonts w:ascii="宋体" w:hAnsi="宋体" w:eastAsia="宋体"/>
                <w:color w:val="auto"/>
                <w:szCs w:val="21"/>
                <w:highlight w:val="none"/>
              </w:rPr>
            </w:pPr>
            <w:r>
              <w:rPr>
                <w:rFonts w:hint="eastAsia" w:ascii="宋体" w:hAnsi="宋体" w:eastAsia="宋体"/>
                <w:color w:val="auto"/>
                <w:szCs w:val="21"/>
                <w:highlight w:val="none"/>
                <w:lang w:eastAsia="zh-CN"/>
              </w:rPr>
              <w:t>响应人</w:t>
            </w:r>
            <w:r>
              <w:rPr>
                <w:rFonts w:ascii="宋体" w:hAnsi="宋体" w:eastAsia="宋体"/>
                <w:color w:val="auto"/>
                <w:szCs w:val="21"/>
                <w:highlight w:val="none"/>
              </w:rPr>
              <w:t>名称</w:t>
            </w:r>
          </w:p>
        </w:tc>
        <w:tc>
          <w:tcPr>
            <w:tcW w:w="5533" w:type="dxa"/>
            <w:noWrap w:val="0"/>
            <w:vAlign w:val="center"/>
          </w:tcPr>
          <w:p w14:paraId="3CB3AC9B">
            <w:pPr>
              <w:rPr>
                <w:rFonts w:ascii="宋体" w:hAnsi="宋体" w:eastAsia="宋体"/>
                <w:color w:val="auto"/>
                <w:szCs w:val="21"/>
                <w:highlight w:val="none"/>
              </w:rPr>
            </w:pPr>
            <w:r>
              <w:rPr>
                <w:rFonts w:ascii="宋体" w:hAnsi="宋体"/>
                <w:color w:val="auto"/>
                <w:highlight w:val="none"/>
              </w:rPr>
              <w:t>与营业执照、资质证书一致</w:t>
            </w:r>
          </w:p>
        </w:tc>
      </w:tr>
      <w:tr w14:paraId="7F6AFE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1319F74B">
            <w:pPr>
              <w:rPr>
                <w:rFonts w:ascii="宋体" w:hAnsi="宋体" w:eastAsia="宋体"/>
                <w:color w:val="auto"/>
                <w:szCs w:val="21"/>
                <w:highlight w:val="none"/>
              </w:rPr>
            </w:pPr>
          </w:p>
        </w:tc>
        <w:tc>
          <w:tcPr>
            <w:tcW w:w="1122" w:type="dxa"/>
            <w:vMerge w:val="continue"/>
            <w:noWrap w:val="0"/>
            <w:vAlign w:val="center"/>
          </w:tcPr>
          <w:p w14:paraId="3B46D0BB">
            <w:pPr>
              <w:rPr>
                <w:rFonts w:ascii="宋体" w:hAnsi="宋体" w:eastAsia="宋体"/>
                <w:color w:val="auto"/>
                <w:szCs w:val="21"/>
                <w:highlight w:val="none"/>
              </w:rPr>
            </w:pPr>
          </w:p>
        </w:tc>
        <w:tc>
          <w:tcPr>
            <w:tcW w:w="1974" w:type="dxa"/>
            <w:noWrap w:val="0"/>
            <w:vAlign w:val="center"/>
          </w:tcPr>
          <w:p w14:paraId="5CF09530">
            <w:pPr>
              <w:jc w:val="center"/>
              <w:rPr>
                <w:rFonts w:ascii="宋体" w:hAnsi="宋体" w:eastAsia="宋体"/>
                <w:color w:val="auto"/>
                <w:szCs w:val="21"/>
                <w:highlight w:val="none"/>
              </w:rPr>
            </w:pPr>
            <w:r>
              <w:rPr>
                <w:rFonts w:hint="eastAsia" w:ascii="宋体" w:hAnsi="宋体" w:eastAsia="宋体"/>
                <w:color w:val="auto"/>
                <w:szCs w:val="21"/>
                <w:highlight w:val="none"/>
                <w:lang w:eastAsia="zh-CN"/>
              </w:rPr>
              <w:t>响应</w:t>
            </w:r>
            <w:r>
              <w:rPr>
                <w:rFonts w:ascii="宋体" w:hAnsi="宋体" w:eastAsia="宋体"/>
                <w:color w:val="auto"/>
                <w:szCs w:val="21"/>
                <w:highlight w:val="none"/>
              </w:rPr>
              <w:t>函签字盖章</w:t>
            </w:r>
          </w:p>
        </w:tc>
        <w:tc>
          <w:tcPr>
            <w:tcW w:w="5533" w:type="dxa"/>
            <w:noWrap w:val="0"/>
            <w:vAlign w:val="center"/>
          </w:tcPr>
          <w:p w14:paraId="5D04F47A">
            <w:pPr>
              <w:rPr>
                <w:rFonts w:hint="eastAsia" w:ascii="宋体" w:hAnsi="宋体" w:eastAsia="宋体"/>
                <w:color w:val="auto"/>
                <w:szCs w:val="21"/>
                <w:highlight w:val="none"/>
                <w:lang w:eastAsia="zh-CN"/>
              </w:rPr>
            </w:pPr>
            <w:r>
              <w:rPr>
                <w:rFonts w:ascii="宋体" w:hAnsi="宋体"/>
                <w:color w:val="auto"/>
                <w:szCs w:val="21"/>
                <w:highlight w:val="none"/>
              </w:rPr>
              <w:t>有法定代表人或其委托代理人签字或加盖单位章</w:t>
            </w:r>
          </w:p>
        </w:tc>
      </w:tr>
      <w:tr w14:paraId="35D0B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B35C6A9">
            <w:pPr>
              <w:rPr>
                <w:rFonts w:ascii="宋体" w:hAnsi="宋体" w:eastAsia="宋体"/>
                <w:color w:val="auto"/>
                <w:szCs w:val="21"/>
                <w:highlight w:val="none"/>
              </w:rPr>
            </w:pPr>
          </w:p>
        </w:tc>
        <w:tc>
          <w:tcPr>
            <w:tcW w:w="1122" w:type="dxa"/>
            <w:vMerge w:val="continue"/>
            <w:noWrap w:val="0"/>
            <w:vAlign w:val="center"/>
          </w:tcPr>
          <w:p w14:paraId="79085197">
            <w:pPr>
              <w:rPr>
                <w:rFonts w:ascii="宋体" w:hAnsi="宋体" w:eastAsia="宋体"/>
                <w:color w:val="auto"/>
                <w:szCs w:val="21"/>
                <w:highlight w:val="none"/>
              </w:rPr>
            </w:pPr>
          </w:p>
        </w:tc>
        <w:tc>
          <w:tcPr>
            <w:tcW w:w="1974" w:type="dxa"/>
            <w:noWrap w:val="0"/>
            <w:vAlign w:val="center"/>
          </w:tcPr>
          <w:p w14:paraId="5F4E5670">
            <w:pPr>
              <w:jc w:val="center"/>
              <w:rPr>
                <w:rFonts w:ascii="宋体" w:hAnsi="宋体" w:eastAsia="宋体"/>
                <w:color w:val="auto"/>
                <w:szCs w:val="21"/>
                <w:highlight w:val="none"/>
              </w:rPr>
            </w:pPr>
            <w:r>
              <w:rPr>
                <w:rFonts w:hint="eastAsia" w:ascii="宋体" w:hAnsi="宋体" w:eastAsia="宋体"/>
                <w:color w:val="auto"/>
                <w:szCs w:val="21"/>
                <w:highlight w:val="none"/>
                <w:lang w:eastAsia="zh-CN"/>
              </w:rPr>
              <w:t>响应文件</w:t>
            </w:r>
            <w:r>
              <w:rPr>
                <w:rFonts w:ascii="宋体" w:hAnsi="宋体" w:eastAsia="宋体"/>
                <w:color w:val="auto"/>
                <w:szCs w:val="21"/>
                <w:highlight w:val="none"/>
              </w:rPr>
              <w:t>格式</w:t>
            </w:r>
          </w:p>
        </w:tc>
        <w:tc>
          <w:tcPr>
            <w:tcW w:w="5533" w:type="dxa"/>
            <w:noWrap w:val="0"/>
            <w:vAlign w:val="center"/>
          </w:tcPr>
          <w:p w14:paraId="3D98BD13">
            <w:pPr>
              <w:rPr>
                <w:rFonts w:ascii="宋体" w:hAnsi="宋体" w:eastAsia="宋体"/>
                <w:color w:val="auto"/>
                <w:szCs w:val="21"/>
                <w:highlight w:val="none"/>
              </w:rPr>
            </w:pPr>
            <w:r>
              <w:rPr>
                <w:rFonts w:ascii="宋体" w:hAnsi="宋体" w:eastAsia="宋体"/>
                <w:color w:val="auto"/>
                <w:szCs w:val="21"/>
                <w:highlight w:val="none"/>
              </w:rPr>
              <w:t>符合</w:t>
            </w:r>
            <w:r>
              <w:rPr>
                <w:rFonts w:hint="eastAsia" w:ascii="宋体" w:hAnsi="宋体" w:eastAsia="宋体"/>
                <w:color w:val="auto"/>
                <w:szCs w:val="21"/>
                <w:highlight w:val="none"/>
                <w:lang w:val="en-US" w:eastAsia="zh-CN"/>
              </w:rPr>
              <w:t>第四章</w:t>
            </w:r>
            <w:r>
              <w:rPr>
                <w:rFonts w:ascii="宋体" w:hAnsi="宋体" w:eastAsia="宋体"/>
                <w:color w:val="auto"/>
                <w:szCs w:val="21"/>
                <w:highlight w:val="none"/>
              </w:rPr>
              <w:t>“</w:t>
            </w:r>
            <w:r>
              <w:rPr>
                <w:rFonts w:hint="eastAsia" w:ascii="宋体" w:hAnsi="宋体" w:eastAsia="宋体"/>
                <w:color w:val="auto"/>
                <w:szCs w:val="21"/>
                <w:highlight w:val="none"/>
                <w:lang w:eastAsia="zh-CN"/>
              </w:rPr>
              <w:t>响应文件</w:t>
            </w:r>
            <w:r>
              <w:rPr>
                <w:rFonts w:ascii="宋体" w:hAnsi="宋体" w:eastAsia="宋体"/>
                <w:color w:val="auto"/>
                <w:szCs w:val="21"/>
                <w:highlight w:val="none"/>
              </w:rPr>
              <w:t>格式”的规定</w:t>
            </w:r>
          </w:p>
        </w:tc>
      </w:tr>
      <w:tr w14:paraId="697E8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397B2075">
            <w:pPr>
              <w:rPr>
                <w:rFonts w:ascii="宋体" w:hAnsi="宋体" w:eastAsia="宋体"/>
                <w:color w:val="auto"/>
                <w:szCs w:val="21"/>
                <w:highlight w:val="none"/>
              </w:rPr>
            </w:pPr>
          </w:p>
        </w:tc>
        <w:tc>
          <w:tcPr>
            <w:tcW w:w="1122" w:type="dxa"/>
            <w:vMerge w:val="continue"/>
            <w:noWrap w:val="0"/>
            <w:vAlign w:val="center"/>
          </w:tcPr>
          <w:p w14:paraId="29BE02D3">
            <w:pPr>
              <w:rPr>
                <w:rFonts w:ascii="宋体" w:hAnsi="宋体" w:eastAsia="宋体"/>
                <w:color w:val="auto"/>
                <w:szCs w:val="21"/>
                <w:highlight w:val="none"/>
              </w:rPr>
            </w:pPr>
          </w:p>
        </w:tc>
        <w:tc>
          <w:tcPr>
            <w:tcW w:w="1974" w:type="dxa"/>
            <w:noWrap w:val="0"/>
            <w:vAlign w:val="center"/>
          </w:tcPr>
          <w:p w14:paraId="3E9E820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olor w:val="auto"/>
                <w:szCs w:val="21"/>
                <w:highlight w:val="none"/>
                <w:lang w:eastAsia="zh-CN"/>
              </w:rPr>
            </w:pPr>
            <w:r>
              <w:rPr>
                <w:rFonts w:hint="eastAsia" w:ascii="宋体" w:hAnsi="宋体" w:eastAsia="宋体" w:cs="宋体"/>
                <w:color w:val="auto"/>
                <w:sz w:val="21"/>
                <w:szCs w:val="21"/>
                <w:highlight w:val="none"/>
              </w:rPr>
              <w:t>报价唯一</w:t>
            </w:r>
          </w:p>
        </w:tc>
        <w:tc>
          <w:tcPr>
            <w:tcW w:w="5533" w:type="dxa"/>
            <w:noWrap w:val="0"/>
            <w:vAlign w:val="center"/>
          </w:tcPr>
          <w:p w14:paraId="75038AF4">
            <w:pPr>
              <w:keepNext w:val="0"/>
              <w:keepLines w:val="0"/>
              <w:pageBreakBefore w:val="0"/>
              <w:kinsoku/>
              <w:wordWrap/>
              <w:overflowPunct/>
              <w:topLinePunct w:val="0"/>
              <w:autoSpaceDE/>
              <w:autoSpaceDN/>
              <w:bidi w:val="0"/>
              <w:adjustRightInd/>
              <w:snapToGrid/>
              <w:spacing w:line="240" w:lineRule="exact"/>
              <w:rPr>
                <w:rFonts w:ascii="宋体" w:hAnsi="宋体" w:eastAsia="宋体"/>
                <w:color w:val="auto"/>
                <w:szCs w:val="21"/>
                <w:highlight w:val="none"/>
              </w:rPr>
            </w:pPr>
            <w:r>
              <w:rPr>
                <w:rFonts w:hint="eastAsia" w:ascii="宋体" w:hAnsi="宋体" w:eastAsia="宋体" w:cs="宋体"/>
                <w:color w:val="auto"/>
                <w:sz w:val="21"/>
                <w:szCs w:val="21"/>
                <w:highlight w:val="none"/>
              </w:rPr>
              <w:t>只能有一个有效报价</w:t>
            </w:r>
          </w:p>
        </w:tc>
      </w:tr>
      <w:tr w14:paraId="047BE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6E71FF6C">
            <w:pPr>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1.1.2</w:t>
            </w:r>
          </w:p>
        </w:tc>
        <w:tc>
          <w:tcPr>
            <w:tcW w:w="1122" w:type="dxa"/>
            <w:vMerge w:val="restart"/>
            <w:noWrap w:val="0"/>
            <w:vAlign w:val="center"/>
          </w:tcPr>
          <w:p w14:paraId="26E67AA7">
            <w:pPr>
              <w:rPr>
                <w:rFonts w:ascii="宋体" w:hAnsi="宋体" w:eastAsia="宋体"/>
                <w:color w:val="auto"/>
                <w:szCs w:val="21"/>
                <w:highlight w:val="none"/>
              </w:rPr>
            </w:pPr>
            <w:r>
              <w:rPr>
                <w:rFonts w:hint="eastAsia" w:ascii="宋体" w:hAnsi="宋体"/>
                <w:color w:val="auto"/>
                <w:szCs w:val="21"/>
                <w:highlight w:val="none"/>
              </w:rPr>
              <w:t>串标审查</w:t>
            </w:r>
          </w:p>
        </w:tc>
        <w:tc>
          <w:tcPr>
            <w:tcW w:w="1974" w:type="dxa"/>
            <w:noWrap w:val="0"/>
            <w:vAlign w:val="center"/>
          </w:tcPr>
          <w:p w14:paraId="4CFEAD0D">
            <w:pPr>
              <w:jc w:val="center"/>
              <w:rPr>
                <w:rFonts w:ascii="宋体" w:hAnsi="宋体" w:eastAsia="宋体"/>
                <w:color w:val="auto"/>
                <w:szCs w:val="21"/>
                <w:highlight w:val="none"/>
              </w:rPr>
            </w:pPr>
            <w:r>
              <w:rPr>
                <w:rFonts w:hint="eastAsia" w:ascii="宋体" w:hAnsi="宋体"/>
                <w:color w:val="auto"/>
                <w:szCs w:val="21"/>
                <w:highlight w:val="none"/>
              </w:rPr>
              <w:t>不同</w:t>
            </w:r>
            <w:r>
              <w:rPr>
                <w:rFonts w:hint="eastAsia" w:ascii="宋体" w:hAnsi="宋体"/>
                <w:color w:val="auto"/>
                <w:szCs w:val="21"/>
                <w:highlight w:val="none"/>
                <w:lang w:val="en-US" w:eastAsia="zh-CN"/>
              </w:rPr>
              <w:t>响应</w:t>
            </w:r>
            <w:r>
              <w:rPr>
                <w:rFonts w:hint="eastAsia" w:ascii="宋体" w:hAnsi="宋体"/>
                <w:color w:val="auto"/>
                <w:szCs w:val="21"/>
                <w:highlight w:val="none"/>
              </w:rPr>
              <w:t>人的</w:t>
            </w:r>
            <w:r>
              <w:rPr>
                <w:rFonts w:hint="eastAsia" w:ascii="宋体" w:hAnsi="宋体"/>
                <w:color w:val="auto"/>
                <w:szCs w:val="21"/>
                <w:highlight w:val="none"/>
                <w:lang w:eastAsia="zh-CN"/>
              </w:rPr>
              <w:t>响应文件</w:t>
            </w:r>
            <w:r>
              <w:rPr>
                <w:rFonts w:hint="eastAsia" w:ascii="宋体" w:hAnsi="宋体"/>
                <w:color w:val="auto"/>
                <w:szCs w:val="21"/>
                <w:highlight w:val="none"/>
              </w:rPr>
              <w:t>是否由同一单位或者个人编制</w:t>
            </w:r>
          </w:p>
        </w:tc>
        <w:tc>
          <w:tcPr>
            <w:tcW w:w="5533" w:type="dxa"/>
            <w:noWrap w:val="0"/>
            <w:vAlign w:val="center"/>
          </w:tcPr>
          <w:p w14:paraId="1676888C">
            <w:pPr>
              <w:jc w:val="both"/>
              <w:rPr>
                <w:color w:val="auto"/>
                <w:highlight w:val="none"/>
              </w:rPr>
            </w:pPr>
            <w:r>
              <w:rPr>
                <w:rFonts w:hint="eastAsia" w:ascii="宋体" w:hAnsi="宋体"/>
                <w:color w:val="auto"/>
                <w:szCs w:val="21"/>
                <w:highlight w:val="none"/>
                <w:lang w:val="en-US" w:eastAsia="zh-CN"/>
              </w:rPr>
              <w:t>评审组</w:t>
            </w:r>
            <w:r>
              <w:rPr>
                <w:rFonts w:hint="eastAsia" w:ascii="宋体" w:hAnsi="宋体"/>
                <w:color w:val="auto"/>
                <w:szCs w:val="21"/>
                <w:highlight w:val="none"/>
              </w:rPr>
              <w:t>审核电子版</w:t>
            </w:r>
            <w:r>
              <w:rPr>
                <w:rFonts w:hint="eastAsia" w:ascii="宋体" w:hAnsi="宋体"/>
                <w:color w:val="auto"/>
                <w:szCs w:val="21"/>
                <w:highlight w:val="none"/>
                <w:lang w:eastAsia="zh-CN"/>
              </w:rPr>
              <w:t>响应文件</w:t>
            </w:r>
            <w:r>
              <w:rPr>
                <w:rFonts w:hint="eastAsia" w:ascii="宋体" w:hAnsi="宋体"/>
                <w:color w:val="auto"/>
                <w:szCs w:val="21"/>
                <w:highlight w:val="none"/>
              </w:rPr>
              <w:t>的编辑作者是否为特定的同一个人，机器自动赋予的通用名称除外。</w:t>
            </w:r>
          </w:p>
        </w:tc>
      </w:tr>
      <w:tr w14:paraId="554FD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D2DAD77">
            <w:pPr>
              <w:rPr>
                <w:rFonts w:ascii="宋体" w:hAnsi="宋体" w:eastAsia="宋体"/>
                <w:color w:val="auto"/>
                <w:szCs w:val="21"/>
                <w:highlight w:val="none"/>
              </w:rPr>
            </w:pPr>
          </w:p>
        </w:tc>
        <w:tc>
          <w:tcPr>
            <w:tcW w:w="1122" w:type="dxa"/>
            <w:vMerge w:val="continue"/>
            <w:noWrap w:val="0"/>
            <w:vAlign w:val="center"/>
          </w:tcPr>
          <w:p w14:paraId="6ED900FA">
            <w:pPr>
              <w:rPr>
                <w:rFonts w:ascii="宋体" w:hAnsi="宋体" w:eastAsia="宋体"/>
                <w:color w:val="auto"/>
                <w:szCs w:val="21"/>
                <w:highlight w:val="none"/>
              </w:rPr>
            </w:pPr>
          </w:p>
        </w:tc>
        <w:tc>
          <w:tcPr>
            <w:tcW w:w="1974" w:type="dxa"/>
            <w:noWrap w:val="0"/>
            <w:vAlign w:val="center"/>
          </w:tcPr>
          <w:p w14:paraId="7FA08F6C">
            <w:pPr>
              <w:jc w:val="center"/>
              <w:rPr>
                <w:rFonts w:ascii="宋体" w:hAnsi="宋体" w:eastAsia="宋体"/>
                <w:color w:val="auto"/>
                <w:szCs w:val="21"/>
                <w:highlight w:val="none"/>
              </w:rPr>
            </w:pPr>
            <w:r>
              <w:rPr>
                <w:rFonts w:hint="eastAsia" w:ascii="宋体" w:hAnsi="宋体"/>
                <w:color w:val="auto"/>
                <w:szCs w:val="21"/>
                <w:highlight w:val="none"/>
              </w:rPr>
              <w:t>不同</w:t>
            </w:r>
            <w:r>
              <w:rPr>
                <w:rFonts w:hint="eastAsia" w:ascii="宋体" w:hAnsi="宋体"/>
                <w:color w:val="auto"/>
                <w:szCs w:val="21"/>
                <w:highlight w:val="none"/>
                <w:lang w:eastAsia="zh-CN"/>
              </w:rPr>
              <w:t>响应人</w:t>
            </w:r>
            <w:r>
              <w:rPr>
                <w:rFonts w:hint="eastAsia" w:ascii="宋体" w:hAnsi="宋体"/>
                <w:color w:val="auto"/>
                <w:szCs w:val="21"/>
                <w:highlight w:val="none"/>
              </w:rPr>
              <w:t>委托同一单位或者个人办理</w:t>
            </w:r>
            <w:r>
              <w:rPr>
                <w:rFonts w:hint="eastAsia" w:ascii="宋体" w:hAnsi="宋体"/>
                <w:color w:val="auto"/>
                <w:szCs w:val="21"/>
                <w:highlight w:val="none"/>
                <w:lang w:val="en-US" w:eastAsia="zh-CN"/>
              </w:rPr>
              <w:t>响应</w:t>
            </w:r>
            <w:r>
              <w:rPr>
                <w:rFonts w:hint="eastAsia" w:ascii="宋体" w:hAnsi="宋体"/>
                <w:color w:val="auto"/>
                <w:szCs w:val="21"/>
                <w:highlight w:val="none"/>
              </w:rPr>
              <w:t>事宜</w:t>
            </w:r>
          </w:p>
        </w:tc>
        <w:tc>
          <w:tcPr>
            <w:tcW w:w="5533" w:type="dxa"/>
            <w:noWrap w:val="0"/>
            <w:vAlign w:val="center"/>
          </w:tcPr>
          <w:p w14:paraId="6D9355D3">
            <w:pPr>
              <w:jc w:val="both"/>
              <w:rPr>
                <w:color w:val="auto"/>
                <w:highlight w:val="none"/>
              </w:rPr>
            </w:pPr>
            <w:r>
              <w:rPr>
                <w:rFonts w:hint="eastAsia" w:ascii="宋体" w:hAnsi="宋体"/>
                <w:color w:val="auto"/>
                <w:szCs w:val="21"/>
                <w:highlight w:val="none"/>
              </w:rPr>
              <w:t>由</w:t>
            </w:r>
            <w:r>
              <w:rPr>
                <w:rFonts w:hint="eastAsia" w:ascii="宋体" w:hAnsi="宋体"/>
                <w:color w:val="auto"/>
                <w:szCs w:val="21"/>
                <w:highlight w:val="none"/>
                <w:lang w:val="en-US" w:eastAsia="zh-CN"/>
              </w:rPr>
              <w:t>采购</w:t>
            </w:r>
            <w:r>
              <w:rPr>
                <w:rFonts w:hint="eastAsia" w:ascii="宋体" w:hAnsi="宋体"/>
                <w:color w:val="auto"/>
                <w:szCs w:val="21"/>
                <w:highlight w:val="none"/>
              </w:rPr>
              <w:t>项目经理在网上查询不同</w:t>
            </w:r>
            <w:r>
              <w:rPr>
                <w:rFonts w:hint="eastAsia" w:ascii="宋体" w:hAnsi="宋体"/>
                <w:color w:val="auto"/>
                <w:szCs w:val="21"/>
                <w:highlight w:val="none"/>
                <w:lang w:eastAsia="zh-CN"/>
              </w:rPr>
              <w:t>响应人</w:t>
            </w:r>
            <w:r>
              <w:rPr>
                <w:rFonts w:hint="eastAsia" w:ascii="宋体" w:hAnsi="宋体"/>
                <w:color w:val="auto"/>
                <w:szCs w:val="21"/>
                <w:highlight w:val="none"/>
              </w:rPr>
              <w:t>购买</w:t>
            </w:r>
            <w:r>
              <w:rPr>
                <w:rFonts w:hint="eastAsia" w:ascii="宋体" w:hAnsi="宋体"/>
                <w:color w:val="auto"/>
                <w:szCs w:val="21"/>
                <w:highlight w:val="none"/>
                <w:lang w:eastAsia="zh-CN"/>
              </w:rPr>
              <w:t>响应文件</w:t>
            </w:r>
            <w:r>
              <w:rPr>
                <w:rFonts w:hint="eastAsia" w:ascii="宋体" w:hAnsi="宋体"/>
                <w:color w:val="auto"/>
                <w:szCs w:val="21"/>
                <w:highlight w:val="none"/>
              </w:rPr>
              <w:t>的联系人是否相同、联系电话是否为相同，邮箱是否相同。与其它</w:t>
            </w:r>
            <w:r>
              <w:rPr>
                <w:rFonts w:hint="eastAsia" w:ascii="宋体" w:hAnsi="宋体"/>
                <w:color w:val="auto"/>
                <w:szCs w:val="21"/>
                <w:highlight w:val="none"/>
                <w:lang w:eastAsia="zh-CN"/>
              </w:rPr>
              <w:t>响应人响应文件</w:t>
            </w:r>
            <w:r>
              <w:rPr>
                <w:rFonts w:hint="eastAsia" w:ascii="宋体" w:hAnsi="宋体"/>
                <w:color w:val="auto"/>
                <w:szCs w:val="21"/>
                <w:highlight w:val="none"/>
              </w:rPr>
              <w:t>上传IP地址是否相同</w:t>
            </w:r>
          </w:p>
        </w:tc>
      </w:tr>
      <w:tr w14:paraId="75F63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14EE59E">
            <w:pPr>
              <w:rPr>
                <w:rFonts w:ascii="宋体" w:hAnsi="宋体" w:eastAsia="宋体"/>
                <w:color w:val="auto"/>
                <w:szCs w:val="21"/>
                <w:highlight w:val="none"/>
              </w:rPr>
            </w:pPr>
          </w:p>
        </w:tc>
        <w:tc>
          <w:tcPr>
            <w:tcW w:w="1122" w:type="dxa"/>
            <w:vMerge w:val="continue"/>
            <w:noWrap w:val="0"/>
            <w:vAlign w:val="center"/>
          </w:tcPr>
          <w:p w14:paraId="3E64E960">
            <w:pPr>
              <w:rPr>
                <w:rFonts w:ascii="宋体" w:hAnsi="宋体" w:eastAsia="宋体"/>
                <w:color w:val="auto"/>
                <w:szCs w:val="21"/>
                <w:highlight w:val="none"/>
              </w:rPr>
            </w:pPr>
          </w:p>
        </w:tc>
        <w:tc>
          <w:tcPr>
            <w:tcW w:w="1974" w:type="dxa"/>
            <w:noWrap w:val="0"/>
            <w:vAlign w:val="center"/>
          </w:tcPr>
          <w:p w14:paraId="3F04249F">
            <w:pPr>
              <w:jc w:val="center"/>
              <w:rPr>
                <w:rFonts w:ascii="宋体" w:hAnsi="宋体" w:eastAsia="宋体"/>
                <w:color w:val="auto"/>
                <w:szCs w:val="21"/>
                <w:highlight w:val="none"/>
              </w:rPr>
            </w:pPr>
            <w:r>
              <w:rPr>
                <w:rFonts w:hint="eastAsia" w:ascii="宋体" w:hAnsi="宋体"/>
                <w:color w:val="auto"/>
                <w:szCs w:val="21"/>
                <w:highlight w:val="none"/>
              </w:rPr>
              <w:t>不同</w:t>
            </w:r>
            <w:r>
              <w:rPr>
                <w:rFonts w:hint="eastAsia" w:ascii="宋体" w:hAnsi="宋体"/>
                <w:color w:val="auto"/>
                <w:szCs w:val="21"/>
                <w:highlight w:val="none"/>
                <w:lang w:eastAsia="zh-CN"/>
              </w:rPr>
              <w:t>响应人</w:t>
            </w:r>
            <w:r>
              <w:rPr>
                <w:rFonts w:hint="eastAsia" w:ascii="宋体" w:hAnsi="宋体"/>
                <w:color w:val="auto"/>
                <w:szCs w:val="21"/>
                <w:highlight w:val="none"/>
              </w:rPr>
              <w:t>的</w:t>
            </w:r>
            <w:r>
              <w:rPr>
                <w:rFonts w:hint="eastAsia" w:ascii="宋体" w:hAnsi="宋体"/>
                <w:color w:val="auto"/>
                <w:szCs w:val="21"/>
                <w:highlight w:val="none"/>
                <w:lang w:eastAsia="zh-CN"/>
              </w:rPr>
              <w:t>响应文件</w:t>
            </w:r>
            <w:r>
              <w:rPr>
                <w:rFonts w:hint="eastAsia" w:ascii="宋体" w:hAnsi="宋体"/>
                <w:color w:val="auto"/>
                <w:szCs w:val="21"/>
                <w:highlight w:val="none"/>
              </w:rPr>
              <w:t>载明的项目管理成员为同一人</w:t>
            </w:r>
          </w:p>
        </w:tc>
        <w:tc>
          <w:tcPr>
            <w:tcW w:w="5533" w:type="dxa"/>
            <w:noWrap w:val="0"/>
            <w:vAlign w:val="center"/>
          </w:tcPr>
          <w:p w14:paraId="2EABCA68">
            <w:pPr>
              <w:jc w:val="both"/>
              <w:rPr>
                <w:color w:val="auto"/>
                <w:highlight w:val="none"/>
              </w:rPr>
            </w:pPr>
            <w:r>
              <w:rPr>
                <w:rFonts w:hint="eastAsia" w:ascii="宋体" w:hAnsi="宋体"/>
                <w:color w:val="auto"/>
                <w:szCs w:val="21"/>
                <w:highlight w:val="none"/>
              </w:rPr>
              <w:t>审查项目组织机构管理人员是否有成员为同一人。</w:t>
            </w:r>
          </w:p>
        </w:tc>
      </w:tr>
      <w:tr w14:paraId="7EA12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AF1D1B3">
            <w:pPr>
              <w:rPr>
                <w:rFonts w:ascii="宋体" w:hAnsi="宋体" w:eastAsia="宋体"/>
                <w:color w:val="auto"/>
                <w:szCs w:val="21"/>
                <w:highlight w:val="none"/>
              </w:rPr>
            </w:pPr>
          </w:p>
        </w:tc>
        <w:tc>
          <w:tcPr>
            <w:tcW w:w="1122" w:type="dxa"/>
            <w:vMerge w:val="continue"/>
            <w:noWrap w:val="0"/>
            <w:vAlign w:val="center"/>
          </w:tcPr>
          <w:p w14:paraId="57D84C00">
            <w:pPr>
              <w:rPr>
                <w:rFonts w:ascii="宋体" w:hAnsi="宋体" w:eastAsia="宋体"/>
                <w:color w:val="auto"/>
                <w:szCs w:val="21"/>
                <w:highlight w:val="none"/>
              </w:rPr>
            </w:pPr>
          </w:p>
        </w:tc>
        <w:tc>
          <w:tcPr>
            <w:tcW w:w="1974" w:type="dxa"/>
            <w:noWrap w:val="0"/>
            <w:vAlign w:val="center"/>
          </w:tcPr>
          <w:p w14:paraId="29EBC4F2">
            <w:pPr>
              <w:jc w:val="center"/>
              <w:rPr>
                <w:rFonts w:ascii="宋体" w:hAnsi="宋体" w:eastAsia="宋体"/>
                <w:color w:val="auto"/>
                <w:szCs w:val="21"/>
                <w:highlight w:val="none"/>
              </w:rPr>
            </w:pPr>
            <w:r>
              <w:rPr>
                <w:rFonts w:hint="eastAsia" w:ascii="宋体" w:hAnsi="宋体"/>
                <w:color w:val="auto"/>
                <w:szCs w:val="21"/>
                <w:highlight w:val="none"/>
              </w:rPr>
              <w:t>不同</w:t>
            </w:r>
            <w:r>
              <w:rPr>
                <w:rFonts w:hint="eastAsia" w:ascii="宋体" w:hAnsi="宋体"/>
                <w:color w:val="auto"/>
                <w:szCs w:val="21"/>
                <w:highlight w:val="none"/>
                <w:lang w:eastAsia="zh-CN"/>
              </w:rPr>
              <w:t>响应人</w:t>
            </w:r>
            <w:r>
              <w:rPr>
                <w:rFonts w:hint="eastAsia" w:ascii="宋体" w:hAnsi="宋体"/>
                <w:color w:val="auto"/>
                <w:szCs w:val="21"/>
                <w:highlight w:val="none"/>
              </w:rPr>
              <w:t>的</w:t>
            </w:r>
            <w:r>
              <w:rPr>
                <w:rFonts w:hint="eastAsia" w:ascii="宋体" w:hAnsi="宋体"/>
                <w:color w:val="auto"/>
                <w:szCs w:val="21"/>
                <w:highlight w:val="none"/>
                <w:lang w:eastAsia="zh-CN"/>
              </w:rPr>
              <w:t>响应文件</w:t>
            </w:r>
            <w:r>
              <w:rPr>
                <w:rFonts w:hint="eastAsia" w:ascii="宋体" w:hAnsi="宋体"/>
                <w:color w:val="auto"/>
                <w:szCs w:val="21"/>
                <w:highlight w:val="none"/>
              </w:rPr>
              <w:t>异常一致或者</w:t>
            </w:r>
            <w:r>
              <w:rPr>
                <w:rFonts w:hint="eastAsia" w:ascii="宋体" w:hAnsi="宋体"/>
                <w:color w:val="auto"/>
                <w:szCs w:val="21"/>
                <w:highlight w:val="none"/>
                <w:lang w:val="en-US" w:eastAsia="zh-CN"/>
              </w:rPr>
              <w:t>响应</w:t>
            </w:r>
            <w:r>
              <w:rPr>
                <w:rFonts w:hint="eastAsia" w:ascii="宋体" w:hAnsi="宋体"/>
                <w:color w:val="auto"/>
                <w:szCs w:val="21"/>
                <w:highlight w:val="none"/>
              </w:rPr>
              <w:t>报价呈规律性差异</w:t>
            </w:r>
          </w:p>
        </w:tc>
        <w:tc>
          <w:tcPr>
            <w:tcW w:w="5533" w:type="dxa"/>
            <w:noWrap w:val="0"/>
            <w:vAlign w:val="center"/>
          </w:tcPr>
          <w:p w14:paraId="398052E8">
            <w:pPr>
              <w:jc w:val="both"/>
              <w:rPr>
                <w:color w:val="auto"/>
                <w:highlight w:val="none"/>
              </w:rPr>
            </w:pPr>
            <w:r>
              <w:rPr>
                <w:rFonts w:hint="eastAsia" w:ascii="宋体" w:hAnsi="宋体"/>
                <w:color w:val="auto"/>
                <w:szCs w:val="21"/>
                <w:highlight w:val="none"/>
              </w:rPr>
              <w:t>对各</w:t>
            </w:r>
            <w:r>
              <w:rPr>
                <w:rFonts w:hint="eastAsia" w:ascii="宋体" w:hAnsi="宋体"/>
                <w:color w:val="auto"/>
                <w:szCs w:val="21"/>
                <w:highlight w:val="none"/>
                <w:lang w:eastAsia="zh-CN"/>
              </w:rPr>
              <w:t>响应人</w:t>
            </w:r>
            <w:r>
              <w:rPr>
                <w:rFonts w:hint="eastAsia" w:ascii="宋体" w:hAnsi="宋体"/>
                <w:color w:val="auto"/>
                <w:szCs w:val="21"/>
                <w:highlight w:val="none"/>
              </w:rPr>
              <w:t>的技术、商务、报价文件的一致性进行审查，文字、标点符号、页码等是否呈规律性一致，错误是否呈规律性一致。</w:t>
            </w:r>
          </w:p>
        </w:tc>
      </w:tr>
      <w:tr w14:paraId="7149A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48BA27A2">
            <w:pPr>
              <w:rPr>
                <w:rFonts w:ascii="宋体" w:hAnsi="宋体" w:eastAsia="宋体"/>
                <w:color w:val="auto"/>
                <w:szCs w:val="21"/>
                <w:highlight w:val="none"/>
              </w:rPr>
            </w:pPr>
          </w:p>
        </w:tc>
        <w:tc>
          <w:tcPr>
            <w:tcW w:w="1122" w:type="dxa"/>
            <w:vMerge w:val="continue"/>
            <w:noWrap w:val="0"/>
            <w:vAlign w:val="center"/>
          </w:tcPr>
          <w:p w14:paraId="625A0D15">
            <w:pPr>
              <w:rPr>
                <w:rFonts w:ascii="宋体" w:hAnsi="宋体" w:eastAsia="宋体"/>
                <w:color w:val="auto"/>
                <w:szCs w:val="21"/>
                <w:highlight w:val="none"/>
              </w:rPr>
            </w:pPr>
          </w:p>
        </w:tc>
        <w:tc>
          <w:tcPr>
            <w:tcW w:w="1974" w:type="dxa"/>
            <w:noWrap w:val="0"/>
            <w:vAlign w:val="center"/>
          </w:tcPr>
          <w:p w14:paraId="3A0097B7">
            <w:pPr>
              <w:jc w:val="center"/>
              <w:rPr>
                <w:rFonts w:ascii="宋体" w:hAnsi="宋体" w:eastAsia="宋体"/>
                <w:color w:val="auto"/>
                <w:szCs w:val="21"/>
                <w:highlight w:val="none"/>
              </w:rPr>
            </w:pPr>
            <w:r>
              <w:rPr>
                <w:rFonts w:hint="eastAsia" w:ascii="宋体" w:hAnsi="宋体"/>
                <w:color w:val="auto"/>
                <w:szCs w:val="21"/>
                <w:highlight w:val="none"/>
              </w:rPr>
              <w:t>不同</w:t>
            </w:r>
            <w:r>
              <w:rPr>
                <w:rFonts w:hint="eastAsia" w:ascii="宋体" w:hAnsi="宋体"/>
                <w:color w:val="auto"/>
                <w:szCs w:val="21"/>
                <w:highlight w:val="none"/>
                <w:lang w:eastAsia="zh-CN"/>
              </w:rPr>
              <w:t>响应人</w:t>
            </w:r>
            <w:r>
              <w:rPr>
                <w:rFonts w:hint="eastAsia" w:ascii="宋体" w:hAnsi="宋体"/>
                <w:color w:val="auto"/>
                <w:szCs w:val="21"/>
                <w:highlight w:val="none"/>
              </w:rPr>
              <w:t>的</w:t>
            </w:r>
            <w:r>
              <w:rPr>
                <w:rFonts w:hint="eastAsia" w:ascii="宋体" w:hAnsi="宋体"/>
                <w:color w:val="auto"/>
                <w:szCs w:val="21"/>
                <w:highlight w:val="none"/>
                <w:lang w:eastAsia="zh-CN"/>
              </w:rPr>
              <w:t>响应文件</w:t>
            </w:r>
            <w:r>
              <w:rPr>
                <w:rFonts w:hint="eastAsia" w:ascii="宋体" w:hAnsi="宋体"/>
                <w:color w:val="auto"/>
                <w:szCs w:val="21"/>
                <w:highlight w:val="none"/>
              </w:rPr>
              <w:t>相互混装</w:t>
            </w:r>
          </w:p>
        </w:tc>
        <w:tc>
          <w:tcPr>
            <w:tcW w:w="5533" w:type="dxa"/>
            <w:noWrap w:val="0"/>
            <w:vAlign w:val="center"/>
          </w:tcPr>
          <w:p w14:paraId="0EEF942D">
            <w:pPr>
              <w:jc w:val="both"/>
              <w:rPr>
                <w:color w:val="auto"/>
                <w:highlight w:val="none"/>
              </w:rPr>
            </w:pPr>
            <w:r>
              <w:rPr>
                <w:rFonts w:hint="eastAsia" w:ascii="宋体" w:hAnsi="宋体"/>
                <w:color w:val="auto"/>
                <w:szCs w:val="21"/>
                <w:highlight w:val="none"/>
              </w:rPr>
              <w:t>查询上传的</w:t>
            </w:r>
            <w:r>
              <w:rPr>
                <w:rFonts w:hint="eastAsia" w:ascii="宋体" w:hAnsi="宋体"/>
                <w:color w:val="auto"/>
                <w:szCs w:val="21"/>
                <w:highlight w:val="none"/>
                <w:lang w:eastAsia="zh-CN"/>
              </w:rPr>
              <w:t>响应文件</w:t>
            </w:r>
            <w:r>
              <w:rPr>
                <w:rFonts w:hint="eastAsia" w:ascii="宋体" w:hAnsi="宋体"/>
                <w:color w:val="auto"/>
                <w:szCs w:val="21"/>
                <w:highlight w:val="none"/>
              </w:rPr>
              <w:t>电子版是否混装</w:t>
            </w:r>
          </w:p>
        </w:tc>
      </w:tr>
      <w:tr w14:paraId="5B0DCD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E558FA9">
            <w:pPr>
              <w:rPr>
                <w:rFonts w:ascii="宋体" w:hAnsi="宋体" w:eastAsia="宋体"/>
                <w:color w:val="auto"/>
                <w:szCs w:val="21"/>
                <w:highlight w:val="none"/>
              </w:rPr>
            </w:pPr>
          </w:p>
        </w:tc>
        <w:tc>
          <w:tcPr>
            <w:tcW w:w="1122" w:type="dxa"/>
            <w:vMerge w:val="continue"/>
            <w:noWrap w:val="0"/>
            <w:vAlign w:val="center"/>
          </w:tcPr>
          <w:p w14:paraId="7D070094">
            <w:pPr>
              <w:rPr>
                <w:rFonts w:ascii="宋体" w:hAnsi="宋体" w:eastAsia="宋体"/>
                <w:color w:val="auto"/>
                <w:szCs w:val="21"/>
                <w:highlight w:val="none"/>
              </w:rPr>
            </w:pPr>
          </w:p>
        </w:tc>
        <w:tc>
          <w:tcPr>
            <w:tcW w:w="1974" w:type="dxa"/>
            <w:noWrap w:val="0"/>
            <w:vAlign w:val="center"/>
          </w:tcPr>
          <w:p w14:paraId="5BBC6D2D">
            <w:pPr>
              <w:jc w:val="center"/>
              <w:rPr>
                <w:rFonts w:hint="eastAsia" w:ascii="宋体" w:hAnsi="宋体"/>
                <w:color w:val="auto"/>
                <w:szCs w:val="21"/>
                <w:highlight w:val="none"/>
              </w:rPr>
            </w:pPr>
            <w:r>
              <w:rPr>
                <w:rFonts w:hint="eastAsia" w:ascii="宋体" w:hAnsi="宋体"/>
                <w:color w:val="auto"/>
                <w:szCs w:val="21"/>
                <w:highlight w:val="none"/>
              </w:rPr>
              <w:t>串通</w:t>
            </w:r>
            <w:r>
              <w:rPr>
                <w:rFonts w:hint="eastAsia" w:ascii="宋体" w:hAnsi="宋体"/>
                <w:color w:val="auto"/>
                <w:szCs w:val="21"/>
                <w:highlight w:val="none"/>
                <w:lang w:eastAsia="zh-CN"/>
              </w:rPr>
              <w:t>响应</w:t>
            </w:r>
            <w:r>
              <w:rPr>
                <w:rFonts w:hint="eastAsia" w:ascii="宋体" w:hAnsi="宋体"/>
                <w:color w:val="auto"/>
                <w:szCs w:val="21"/>
                <w:highlight w:val="none"/>
              </w:rPr>
              <w:t>等违法行为评审条件</w:t>
            </w:r>
          </w:p>
        </w:tc>
        <w:tc>
          <w:tcPr>
            <w:tcW w:w="5533" w:type="dxa"/>
            <w:noWrap w:val="0"/>
            <w:vAlign w:val="center"/>
          </w:tcPr>
          <w:p w14:paraId="32710F33">
            <w:pPr>
              <w:jc w:val="both"/>
              <w:rPr>
                <w:rFonts w:hint="eastAsia" w:ascii="宋体" w:hAnsi="宋体"/>
                <w:color w:val="auto"/>
                <w:szCs w:val="21"/>
                <w:highlight w:val="none"/>
              </w:rPr>
            </w:pPr>
            <w:r>
              <w:rPr>
                <w:rFonts w:hint="eastAsia" w:ascii="宋体" w:hAnsi="宋体"/>
                <w:color w:val="auto"/>
                <w:szCs w:val="21"/>
                <w:highlight w:val="none"/>
              </w:rPr>
              <w:t>除国家招标投标法、招标投标法实施条例等规定外，不同</w:t>
            </w:r>
            <w:r>
              <w:rPr>
                <w:rFonts w:hint="eastAsia" w:ascii="宋体" w:hAnsi="宋体"/>
                <w:color w:val="auto"/>
                <w:szCs w:val="21"/>
                <w:highlight w:val="none"/>
                <w:lang w:eastAsia="zh-CN"/>
              </w:rPr>
              <w:t>响应人</w:t>
            </w:r>
            <w:r>
              <w:rPr>
                <w:rFonts w:hint="eastAsia" w:ascii="宋体" w:hAnsi="宋体"/>
                <w:color w:val="auto"/>
                <w:szCs w:val="21"/>
                <w:highlight w:val="none"/>
              </w:rPr>
              <w:t>的</w:t>
            </w:r>
            <w:r>
              <w:rPr>
                <w:rFonts w:hint="eastAsia" w:ascii="宋体" w:hAnsi="宋体"/>
                <w:color w:val="auto"/>
                <w:szCs w:val="21"/>
                <w:highlight w:val="none"/>
                <w:lang w:eastAsia="zh-CN"/>
              </w:rPr>
              <w:t>响应文件</w:t>
            </w:r>
            <w:r>
              <w:rPr>
                <w:rFonts w:hint="eastAsia" w:ascii="宋体" w:hAnsi="宋体"/>
                <w:color w:val="auto"/>
                <w:szCs w:val="21"/>
                <w:highlight w:val="none"/>
              </w:rPr>
              <w:t>出现以下情形的，视为</w:t>
            </w:r>
            <w:r>
              <w:rPr>
                <w:rFonts w:hint="eastAsia" w:ascii="宋体" w:hAnsi="宋体"/>
                <w:color w:val="auto"/>
                <w:szCs w:val="21"/>
                <w:highlight w:val="none"/>
                <w:lang w:eastAsia="zh-CN"/>
              </w:rPr>
              <w:t>响应人</w:t>
            </w:r>
            <w:r>
              <w:rPr>
                <w:rFonts w:hint="eastAsia" w:ascii="宋体" w:hAnsi="宋体"/>
                <w:color w:val="auto"/>
                <w:szCs w:val="21"/>
                <w:highlight w:val="none"/>
              </w:rPr>
              <w:t>串通投标：</w:t>
            </w:r>
          </w:p>
          <w:p w14:paraId="2AA100A5">
            <w:pPr>
              <w:jc w:val="both"/>
              <w:rPr>
                <w:rFonts w:hint="eastAsia" w:ascii="宋体" w:hAnsi="宋体"/>
                <w:color w:val="auto"/>
                <w:szCs w:val="21"/>
                <w:highlight w:val="none"/>
              </w:rPr>
            </w:pPr>
            <w:r>
              <w:rPr>
                <w:rFonts w:hint="eastAsia" w:ascii="宋体" w:hAnsi="宋体"/>
                <w:color w:val="auto"/>
                <w:szCs w:val="21"/>
                <w:highlight w:val="none"/>
              </w:rPr>
              <w:t>1.不同</w:t>
            </w:r>
            <w:r>
              <w:rPr>
                <w:rFonts w:hint="eastAsia" w:ascii="宋体" w:hAnsi="宋体"/>
                <w:color w:val="auto"/>
                <w:szCs w:val="21"/>
                <w:highlight w:val="none"/>
                <w:lang w:eastAsia="zh-CN"/>
              </w:rPr>
              <w:t>响应人</w:t>
            </w:r>
            <w:r>
              <w:rPr>
                <w:rFonts w:hint="eastAsia" w:ascii="宋体" w:hAnsi="宋体"/>
                <w:color w:val="auto"/>
                <w:szCs w:val="21"/>
                <w:highlight w:val="none"/>
              </w:rPr>
              <w:t>使用相同IP地址上传</w:t>
            </w:r>
            <w:r>
              <w:rPr>
                <w:rFonts w:hint="eastAsia" w:ascii="宋体" w:hAnsi="宋体"/>
                <w:color w:val="auto"/>
                <w:szCs w:val="21"/>
                <w:highlight w:val="none"/>
                <w:lang w:eastAsia="zh-CN"/>
              </w:rPr>
              <w:t>响应文件</w:t>
            </w:r>
            <w:r>
              <w:rPr>
                <w:rFonts w:hint="eastAsia" w:ascii="宋体" w:hAnsi="宋体"/>
                <w:color w:val="auto"/>
                <w:szCs w:val="21"/>
                <w:highlight w:val="none"/>
              </w:rPr>
              <w:t>；</w:t>
            </w:r>
          </w:p>
          <w:p w14:paraId="28E060CD">
            <w:pPr>
              <w:jc w:val="both"/>
              <w:rPr>
                <w:rFonts w:hint="eastAsia" w:ascii="宋体" w:hAnsi="宋体"/>
                <w:color w:val="auto"/>
                <w:szCs w:val="21"/>
                <w:highlight w:val="none"/>
              </w:rPr>
            </w:pPr>
            <w:r>
              <w:rPr>
                <w:rFonts w:hint="eastAsia" w:ascii="宋体" w:hAnsi="宋体"/>
                <w:color w:val="auto"/>
                <w:szCs w:val="21"/>
                <w:highlight w:val="none"/>
              </w:rPr>
              <w:t>2.不同</w:t>
            </w:r>
            <w:r>
              <w:rPr>
                <w:rFonts w:hint="eastAsia" w:ascii="宋体" w:hAnsi="宋体"/>
                <w:color w:val="auto"/>
                <w:szCs w:val="21"/>
                <w:highlight w:val="none"/>
                <w:lang w:eastAsia="zh-CN"/>
              </w:rPr>
              <w:t>响应人</w:t>
            </w:r>
            <w:r>
              <w:rPr>
                <w:rFonts w:hint="eastAsia" w:ascii="宋体" w:hAnsi="宋体"/>
                <w:color w:val="auto"/>
                <w:szCs w:val="21"/>
                <w:highlight w:val="none"/>
              </w:rPr>
              <w:t>购买</w:t>
            </w:r>
            <w:r>
              <w:rPr>
                <w:rFonts w:hint="eastAsia" w:ascii="宋体" w:hAnsi="宋体"/>
                <w:color w:val="auto"/>
                <w:szCs w:val="21"/>
                <w:highlight w:val="none"/>
                <w:lang w:eastAsia="zh-CN"/>
              </w:rPr>
              <w:t>响应文件</w:t>
            </w:r>
            <w:r>
              <w:rPr>
                <w:rFonts w:hint="eastAsia" w:ascii="宋体" w:hAnsi="宋体"/>
                <w:color w:val="auto"/>
                <w:szCs w:val="21"/>
                <w:highlight w:val="none"/>
              </w:rPr>
              <w:t>人员姓名或联系方式相同。</w:t>
            </w:r>
          </w:p>
        </w:tc>
      </w:tr>
      <w:tr w14:paraId="47BFD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B389E46">
            <w:pPr>
              <w:rPr>
                <w:rFonts w:ascii="宋体" w:hAnsi="宋体" w:eastAsia="宋体"/>
                <w:color w:val="auto"/>
                <w:szCs w:val="21"/>
                <w:highlight w:val="none"/>
              </w:rPr>
            </w:pPr>
          </w:p>
        </w:tc>
        <w:tc>
          <w:tcPr>
            <w:tcW w:w="1122" w:type="dxa"/>
            <w:vMerge w:val="continue"/>
            <w:noWrap w:val="0"/>
            <w:vAlign w:val="center"/>
          </w:tcPr>
          <w:p w14:paraId="563C389F">
            <w:pPr>
              <w:rPr>
                <w:rFonts w:ascii="宋体" w:hAnsi="宋体" w:eastAsia="宋体"/>
                <w:color w:val="auto"/>
                <w:szCs w:val="21"/>
                <w:highlight w:val="none"/>
              </w:rPr>
            </w:pPr>
          </w:p>
        </w:tc>
        <w:tc>
          <w:tcPr>
            <w:tcW w:w="1974" w:type="dxa"/>
            <w:noWrap w:val="0"/>
            <w:vAlign w:val="center"/>
          </w:tcPr>
          <w:p w14:paraId="148D4C89">
            <w:pPr>
              <w:jc w:val="center"/>
              <w:rPr>
                <w:rFonts w:hint="eastAsia" w:ascii="宋体" w:hAnsi="宋体"/>
                <w:color w:val="auto"/>
                <w:szCs w:val="21"/>
                <w:highlight w:val="none"/>
              </w:rPr>
            </w:pPr>
            <w:r>
              <w:rPr>
                <w:rFonts w:hint="eastAsia" w:ascii="宋体" w:hAnsi="宋体"/>
                <w:color w:val="auto"/>
                <w:szCs w:val="21"/>
                <w:highlight w:val="none"/>
              </w:rPr>
              <w:t>无效</w:t>
            </w:r>
            <w:r>
              <w:rPr>
                <w:rFonts w:hint="eastAsia" w:ascii="宋体" w:hAnsi="宋体"/>
                <w:color w:val="auto"/>
                <w:szCs w:val="21"/>
                <w:highlight w:val="none"/>
                <w:lang w:eastAsia="zh-CN"/>
              </w:rPr>
              <w:t>响应</w:t>
            </w:r>
            <w:r>
              <w:rPr>
                <w:rFonts w:hint="eastAsia" w:ascii="宋体" w:hAnsi="宋体"/>
                <w:color w:val="auto"/>
                <w:szCs w:val="21"/>
                <w:highlight w:val="none"/>
              </w:rPr>
              <w:t>条件</w:t>
            </w:r>
          </w:p>
        </w:tc>
        <w:tc>
          <w:tcPr>
            <w:tcW w:w="5533" w:type="dxa"/>
            <w:noWrap w:val="0"/>
            <w:vAlign w:val="center"/>
          </w:tcPr>
          <w:p w14:paraId="1CB58056">
            <w:pPr>
              <w:jc w:val="both"/>
              <w:rPr>
                <w:rFonts w:hint="eastAsia" w:ascii="宋体" w:hAnsi="宋体"/>
                <w:color w:val="auto"/>
                <w:szCs w:val="21"/>
                <w:highlight w:val="none"/>
              </w:rPr>
            </w:pPr>
            <w:r>
              <w:rPr>
                <w:rFonts w:hint="eastAsia" w:ascii="宋体" w:hAnsi="宋体"/>
                <w:color w:val="auto"/>
                <w:szCs w:val="21"/>
                <w:highlight w:val="none"/>
              </w:rPr>
              <w:t>除国家招标投标法、招标投标法实施条例等规定外，不同</w:t>
            </w:r>
            <w:r>
              <w:rPr>
                <w:rFonts w:hint="eastAsia" w:ascii="宋体" w:hAnsi="宋体"/>
                <w:color w:val="auto"/>
                <w:szCs w:val="21"/>
                <w:highlight w:val="none"/>
                <w:lang w:eastAsia="zh-CN"/>
              </w:rPr>
              <w:t>响应人</w:t>
            </w:r>
            <w:r>
              <w:rPr>
                <w:rFonts w:hint="eastAsia" w:ascii="宋体" w:hAnsi="宋体"/>
                <w:color w:val="auto"/>
                <w:szCs w:val="21"/>
                <w:highlight w:val="none"/>
              </w:rPr>
              <w:t>的</w:t>
            </w:r>
            <w:r>
              <w:rPr>
                <w:rFonts w:hint="eastAsia" w:ascii="宋体" w:hAnsi="宋体"/>
                <w:color w:val="auto"/>
                <w:szCs w:val="21"/>
                <w:highlight w:val="none"/>
                <w:lang w:eastAsia="zh-CN"/>
              </w:rPr>
              <w:t>响应文件</w:t>
            </w:r>
            <w:r>
              <w:rPr>
                <w:rFonts w:hint="eastAsia" w:ascii="宋体" w:hAnsi="宋体"/>
                <w:color w:val="auto"/>
                <w:szCs w:val="21"/>
                <w:highlight w:val="none"/>
              </w:rPr>
              <w:t>出现以下情形的，视为无效投标：</w:t>
            </w:r>
          </w:p>
          <w:p w14:paraId="6FDEEC2F">
            <w:pPr>
              <w:jc w:val="left"/>
              <w:rPr>
                <w:rFonts w:hint="eastAsia" w:ascii="宋体" w:hAnsi="宋体"/>
                <w:color w:val="auto"/>
                <w:szCs w:val="21"/>
                <w:highlight w:val="none"/>
              </w:rPr>
            </w:pPr>
            <w:r>
              <w:rPr>
                <w:rFonts w:hint="eastAsia" w:ascii="宋体" w:hAnsi="宋体"/>
                <w:color w:val="auto"/>
                <w:szCs w:val="21"/>
                <w:highlight w:val="none"/>
              </w:rPr>
              <w:t>单位负责人为同一人或者存在控股、管理关系的不同单位，不得参加同一</w:t>
            </w:r>
            <w:r>
              <w:rPr>
                <w:rFonts w:hint="eastAsia" w:ascii="宋体" w:hAnsi="宋体"/>
                <w:color w:val="auto"/>
                <w:szCs w:val="21"/>
                <w:highlight w:val="none"/>
                <w:lang w:val="en-US" w:eastAsia="zh-CN"/>
              </w:rPr>
              <w:t>项目响应</w:t>
            </w:r>
            <w:r>
              <w:rPr>
                <w:rFonts w:hint="eastAsia" w:ascii="宋体" w:hAnsi="宋体"/>
                <w:color w:val="auto"/>
                <w:szCs w:val="21"/>
                <w:highlight w:val="none"/>
              </w:rPr>
              <w:t>或者未划分标段的同一</w:t>
            </w:r>
            <w:r>
              <w:rPr>
                <w:rFonts w:hint="eastAsia" w:ascii="宋体" w:hAnsi="宋体"/>
                <w:color w:val="auto"/>
                <w:szCs w:val="21"/>
                <w:highlight w:val="none"/>
                <w:lang w:val="en-US" w:eastAsia="zh-CN"/>
              </w:rPr>
              <w:t>采购</w:t>
            </w:r>
            <w:r>
              <w:rPr>
                <w:rFonts w:hint="eastAsia" w:ascii="宋体" w:hAnsi="宋体"/>
                <w:color w:val="auto"/>
                <w:szCs w:val="21"/>
                <w:highlight w:val="none"/>
              </w:rPr>
              <w:t>项目</w:t>
            </w:r>
            <w:r>
              <w:rPr>
                <w:rFonts w:hint="eastAsia" w:ascii="宋体" w:hAnsi="宋体"/>
                <w:color w:val="auto"/>
                <w:szCs w:val="21"/>
                <w:highlight w:val="none"/>
                <w:lang w:val="en-US" w:eastAsia="zh-CN"/>
              </w:rPr>
              <w:t>响应</w:t>
            </w:r>
            <w:r>
              <w:rPr>
                <w:rFonts w:hint="eastAsia" w:ascii="宋体" w:hAnsi="宋体"/>
                <w:color w:val="auto"/>
                <w:szCs w:val="21"/>
                <w:highlight w:val="none"/>
              </w:rPr>
              <w:t>。单位负责人是指法定代表人。</w:t>
            </w:r>
          </w:p>
        </w:tc>
      </w:tr>
      <w:tr w14:paraId="0F429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1494865E">
            <w:pPr>
              <w:jc w:val="center"/>
              <w:rPr>
                <w:rFonts w:ascii="宋体" w:hAnsi="宋体" w:eastAsia="宋体"/>
                <w:color w:val="auto"/>
                <w:szCs w:val="21"/>
                <w:highlight w:val="none"/>
              </w:rPr>
            </w:pPr>
            <w:r>
              <w:rPr>
                <w:rFonts w:hint="eastAsia" w:ascii="宋体" w:hAnsi="宋体" w:eastAsia="宋体"/>
                <w:color w:val="auto"/>
                <w:szCs w:val="21"/>
                <w:highlight w:val="none"/>
                <w:lang w:val="en-US" w:eastAsia="zh-CN"/>
              </w:rPr>
              <w:t>1</w:t>
            </w:r>
            <w:r>
              <w:rPr>
                <w:rFonts w:ascii="宋体" w:hAnsi="宋体" w:eastAsia="宋体"/>
                <w:color w:val="auto"/>
                <w:szCs w:val="21"/>
                <w:highlight w:val="none"/>
              </w:rPr>
              <w:t>.1.</w:t>
            </w:r>
            <w:r>
              <w:rPr>
                <w:rFonts w:hint="eastAsia" w:ascii="宋体" w:hAnsi="宋体" w:eastAsia="宋体"/>
                <w:color w:val="auto"/>
                <w:szCs w:val="21"/>
                <w:highlight w:val="none"/>
                <w:lang w:val="en-US" w:eastAsia="zh-CN"/>
              </w:rPr>
              <w:t>3</w:t>
            </w:r>
          </w:p>
        </w:tc>
        <w:tc>
          <w:tcPr>
            <w:tcW w:w="1122" w:type="dxa"/>
            <w:vMerge w:val="restart"/>
            <w:noWrap w:val="0"/>
            <w:vAlign w:val="center"/>
          </w:tcPr>
          <w:p w14:paraId="2A305FD1">
            <w:pPr>
              <w:jc w:val="center"/>
              <w:rPr>
                <w:rFonts w:ascii="宋体" w:hAnsi="宋体" w:eastAsia="宋体"/>
                <w:color w:val="auto"/>
                <w:szCs w:val="21"/>
                <w:highlight w:val="none"/>
              </w:rPr>
            </w:pPr>
            <w:r>
              <w:rPr>
                <w:rFonts w:ascii="宋体" w:hAnsi="宋体" w:eastAsia="宋体"/>
                <w:color w:val="auto"/>
                <w:szCs w:val="21"/>
                <w:highlight w:val="none"/>
              </w:rPr>
              <w:t>资格评审标准</w:t>
            </w:r>
          </w:p>
        </w:tc>
        <w:tc>
          <w:tcPr>
            <w:tcW w:w="1974" w:type="dxa"/>
            <w:noWrap w:val="0"/>
            <w:vAlign w:val="center"/>
          </w:tcPr>
          <w:p w14:paraId="7DA84C62">
            <w:pPr>
              <w:jc w:val="center"/>
              <w:rPr>
                <w:rFonts w:ascii="宋体" w:hAnsi="宋体" w:eastAsia="宋体"/>
                <w:color w:val="auto"/>
                <w:szCs w:val="21"/>
                <w:highlight w:val="none"/>
              </w:rPr>
            </w:pPr>
            <w:r>
              <w:rPr>
                <w:rFonts w:ascii="宋体" w:hAnsi="宋体" w:eastAsia="宋体"/>
                <w:color w:val="auto"/>
                <w:szCs w:val="21"/>
                <w:highlight w:val="none"/>
              </w:rPr>
              <w:t>营业执照</w:t>
            </w:r>
          </w:p>
        </w:tc>
        <w:tc>
          <w:tcPr>
            <w:tcW w:w="5533" w:type="dxa"/>
            <w:noWrap w:val="0"/>
            <w:vAlign w:val="center"/>
          </w:tcPr>
          <w:p w14:paraId="68F8C636">
            <w:pPr>
              <w:rPr>
                <w:rFonts w:ascii="宋体" w:hAnsi="宋体" w:eastAsia="宋体"/>
                <w:color w:val="auto"/>
                <w:szCs w:val="21"/>
                <w:highlight w:val="none"/>
              </w:rPr>
            </w:pPr>
            <w:r>
              <w:rPr>
                <w:rFonts w:ascii="宋体" w:hAnsi="宋体" w:eastAsia="宋体"/>
                <w:color w:val="auto"/>
                <w:szCs w:val="21"/>
                <w:highlight w:val="none"/>
              </w:rPr>
              <w:t>具备有效的营业执照</w:t>
            </w:r>
          </w:p>
        </w:tc>
      </w:tr>
      <w:tr w14:paraId="6EC12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47942128">
            <w:pPr>
              <w:rPr>
                <w:rFonts w:ascii="宋体" w:hAnsi="宋体" w:eastAsia="宋体"/>
                <w:color w:val="auto"/>
                <w:szCs w:val="21"/>
                <w:highlight w:val="none"/>
              </w:rPr>
            </w:pPr>
          </w:p>
        </w:tc>
        <w:tc>
          <w:tcPr>
            <w:tcW w:w="1122" w:type="dxa"/>
            <w:vMerge w:val="continue"/>
            <w:noWrap w:val="0"/>
            <w:vAlign w:val="center"/>
          </w:tcPr>
          <w:p w14:paraId="117FF527">
            <w:pPr>
              <w:rPr>
                <w:rFonts w:ascii="宋体" w:hAnsi="宋体" w:eastAsia="宋体"/>
                <w:color w:val="auto"/>
                <w:szCs w:val="21"/>
                <w:highlight w:val="none"/>
              </w:rPr>
            </w:pPr>
          </w:p>
        </w:tc>
        <w:tc>
          <w:tcPr>
            <w:tcW w:w="1974" w:type="dxa"/>
            <w:noWrap w:val="0"/>
            <w:vAlign w:val="center"/>
          </w:tcPr>
          <w:p w14:paraId="0CE0FF4E">
            <w:pPr>
              <w:jc w:val="center"/>
              <w:rPr>
                <w:rFonts w:ascii="宋体" w:hAnsi="宋体" w:eastAsia="宋体"/>
                <w:color w:val="auto"/>
                <w:szCs w:val="21"/>
                <w:highlight w:val="none"/>
              </w:rPr>
            </w:pPr>
            <w:r>
              <w:rPr>
                <w:rFonts w:ascii="宋体" w:hAnsi="宋体"/>
                <w:color w:val="auto"/>
                <w:szCs w:val="21"/>
                <w:highlight w:val="none"/>
              </w:rPr>
              <w:t>资质要求</w:t>
            </w:r>
          </w:p>
        </w:tc>
        <w:tc>
          <w:tcPr>
            <w:tcW w:w="5533" w:type="dxa"/>
            <w:noWrap w:val="0"/>
            <w:vAlign w:val="center"/>
          </w:tcPr>
          <w:p w14:paraId="03201DA8">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1.8</w:t>
            </w:r>
            <w:r>
              <w:rPr>
                <w:rFonts w:hint="eastAsia" w:ascii="宋体" w:hAnsi="宋体"/>
                <w:color w:val="auto"/>
                <w:szCs w:val="21"/>
                <w:highlight w:val="none"/>
              </w:rPr>
              <w:t>项</w:t>
            </w:r>
            <w:r>
              <w:rPr>
                <w:rFonts w:ascii="宋体" w:hAnsi="宋体"/>
                <w:color w:val="auto"/>
                <w:szCs w:val="21"/>
                <w:highlight w:val="none"/>
              </w:rPr>
              <w:t>规定</w:t>
            </w:r>
          </w:p>
        </w:tc>
      </w:tr>
      <w:tr w14:paraId="29B8C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0F3A6E0">
            <w:pPr>
              <w:rPr>
                <w:rFonts w:ascii="宋体" w:hAnsi="宋体" w:eastAsia="宋体"/>
                <w:color w:val="auto"/>
                <w:szCs w:val="21"/>
                <w:highlight w:val="none"/>
              </w:rPr>
            </w:pPr>
          </w:p>
        </w:tc>
        <w:tc>
          <w:tcPr>
            <w:tcW w:w="1122" w:type="dxa"/>
            <w:vMerge w:val="continue"/>
            <w:noWrap w:val="0"/>
            <w:vAlign w:val="center"/>
          </w:tcPr>
          <w:p w14:paraId="5A6CE881">
            <w:pPr>
              <w:rPr>
                <w:rFonts w:ascii="宋体" w:hAnsi="宋体" w:eastAsia="宋体"/>
                <w:color w:val="auto"/>
                <w:szCs w:val="21"/>
                <w:highlight w:val="none"/>
              </w:rPr>
            </w:pPr>
          </w:p>
        </w:tc>
        <w:tc>
          <w:tcPr>
            <w:tcW w:w="1974" w:type="dxa"/>
            <w:noWrap w:val="0"/>
            <w:vAlign w:val="center"/>
          </w:tcPr>
          <w:p w14:paraId="044DB19F">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总负责人</w:t>
            </w:r>
          </w:p>
        </w:tc>
        <w:tc>
          <w:tcPr>
            <w:tcW w:w="5533" w:type="dxa"/>
            <w:noWrap w:val="0"/>
            <w:vAlign w:val="center"/>
          </w:tcPr>
          <w:p w14:paraId="5D9BA2BC">
            <w:pPr>
              <w:rPr>
                <w:rFonts w:ascii="宋体" w:hAnsi="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1.8</w:t>
            </w:r>
            <w:r>
              <w:rPr>
                <w:rFonts w:hint="eastAsia" w:ascii="宋体" w:hAnsi="宋体"/>
                <w:color w:val="auto"/>
                <w:szCs w:val="21"/>
                <w:highlight w:val="none"/>
              </w:rPr>
              <w:t>项</w:t>
            </w:r>
            <w:r>
              <w:rPr>
                <w:rFonts w:ascii="宋体" w:hAnsi="宋体"/>
                <w:color w:val="auto"/>
                <w:szCs w:val="21"/>
                <w:highlight w:val="none"/>
              </w:rPr>
              <w:t>规定</w:t>
            </w:r>
          </w:p>
        </w:tc>
      </w:tr>
      <w:tr w14:paraId="0D443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11EF7D78">
            <w:pPr>
              <w:rPr>
                <w:rFonts w:ascii="宋体" w:hAnsi="宋体" w:eastAsia="宋体"/>
                <w:color w:val="auto"/>
                <w:szCs w:val="21"/>
                <w:highlight w:val="none"/>
              </w:rPr>
            </w:pPr>
          </w:p>
        </w:tc>
        <w:tc>
          <w:tcPr>
            <w:tcW w:w="1122" w:type="dxa"/>
            <w:vMerge w:val="continue"/>
            <w:noWrap w:val="0"/>
            <w:vAlign w:val="center"/>
          </w:tcPr>
          <w:p w14:paraId="110494D6">
            <w:pPr>
              <w:rPr>
                <w:rFonts w:ascii="宋体" w:hAnsi="宋体" w:eastAsia="宋体"/>
                <w:color w:val="auto"/>
                <w:szCs w:val="21"/>
                <w:highlight w:val="none"/>
              </w:rPr>
            </w:pPr>
          </w:p>
        </w:tc>
        <w:tc>
          <w:tcPr>
            <w:tcW w:w="1974" w:type="dxa"/>
            <w:noWrap w:val="0"/>
            <w:vAlign w:val="center"/>
          </w:tcPr>
          <w:p w14:paraId="60F61C70">
            <w:pPr>
              <w:jc w:val="center"/>
              <w:rPr>
                <w:rFonts w:ascii="宋体" w:hAnsi="宋体" w:eastAsia="宋体"/>
                <w:color w:val="auto"/>
                <w:szCs w:val="21"/>
                <w:highlight w:val="none"/>
              </w:rPr>
            </w:pPr>
            <w:r>
              <w:rPr>
                <w:rFonts w:ascii="宋体" w:hAnsi="宋体" w:eastAsia="宋体"/>
                <w:color w:val="auto"/>
                <w:szCs w:val="21"/>
                <w:highlight w:val="none"/>
              </w:rPr>
              <w:t>业绩要求</w:t>
            </w:r>
          </w:p>
        </w:tc>
        <w:tc>
          <w:tcPr>
            <w:tcW w:w="5533" w:type="dxa"/>
            <w:noWrap w:val="0"/>
            <w:vAlign w:val="center"/>
          </w:tcPr>
          <w:p w14:paraId="3DE1CBC8">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1.8</w:t>
            </w:r>
            <w:r>
              <w:rPr>
                <w:rFonts w:hint="eastAsia" w:ascii="宋体" w:hAnsi="宋体"/>
                <w:color w:val="auto"/>
                <w:szCs w:val="21"/>
                <w:highlight w:val="none"/>
              </w:rPr>
              <w:t>项</w:t>
            </w:r>
            <w:r>
              <w:rPr>
                <w:rFonts w:ascii="宋体" w:hAnsi="宋体"/>
                <w:color w:val="auto"/>
                <w:szCs w:val="21"/>
                <w:highlight w:val="none"/>
              </w:rPr>
              <w:t>规定</w:t>
            </w:r>
          </w:p>
        </w:tc>
      </w:tr>
      <w:tr w14:paraId="241F88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7755D78">
            <w:pPr>
              <w:rPr>
                <w:rFonts w:ascii="宋体" w:hAnsi="宋体" w:eastAsia="宋体"/>
                <w:color w:val="auto"/>
                <w:szCs w:val="21"/>
                <w:highlight w:val="none"/>
              </w:rPr>
            </w:pPr>
          </w:p>
        </w:tc>
        <w:tc>
          <w:tcPr>
            <w:tcW w:w="1122" w:type="dxa"/>
            <w:vMerge w:val="continue"/>
            <w:noWrap w:val="0"/>
            <w:vAlign w:val="center"/>
          </w:tcPr>
          <w:p w14:paraId="361C56A2">
            <w:pPr>
              <w:rPr>
                <w:rFonts w:ascii="宋体" w:hAnsi="宋体" w:eastAsia="宋体"/>
                <w:color w:val="auto"/>
                <w:szCs w:val="21"/>
                <w:highlight w:val="none"/>
              </w:rPr>
            </w:pPr>
          </w:p>
        </w:tc>
        <w:tc>
          <w:tcPr>
            <w:tcW w:w="1974" w:type="dxa"/>
            <w:noWrap w:val="0"/>
            <w:vAlign w:val="center"/>
          </w:tcPr>
          <w:p w14:paraId="0BBE75CB">
            <w:pPr>
              <w:jc w:val="center"/>
              <w:rPr>
                <w:rFonts w:ascii="宋体" w:hAnsi="宋体" w:eastAsia="宋体"/>
                <w:color w:val="auto"/>
                <w:szCs w:val="21"/>
                <w:highlight w:val="none"/>
              </w:rPr>
            </w:pPr>
            <w:r>
              <w:rPr>
                <w:rFonts w:ascii="宋体" w:hAnsi="宋体" w:eastAsia="宋体"/>
                <w:color w:val="auto"/>
                <w:szCs w:val="21"/>
                <w:highlight w:val="none"/>
              </w:rPr>
              <w:t>信誉要求</w:t>
            </w:r>
          </w:p>
        </w:tc>
        <w:tc>
          <w:tcPr>
            <w:tcW w:w="5533" w:type="dxa"/>
            <w:noWrap w:val="0"/>
            <w:vAlign w:val="center"/>
          </w:tcPr>
          <w:p w14:paraId="035EAAE3">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1.8</w:t>
            </w:r>
            <w:r>
              <w:rPr>
                <w:rFonts w:hint="eastAsia" w:ascii="宋体" w:hAnsi="宋体"/>
                <w:color w:val="auto"/>
                <w:szCs w:val="21"/>
                <w:highlight w:val="none"/>
              </w:rPr>
              <w:t>项</w:t>
            </w:r>
            <w:r>
              <w:rPr>
                <w:rFonts w:ascii="宋体" w:hAnsi="宋体"/>
                <w:color w:val="auto"/>
                <w:szCs w:val="21"/>
                <w:highlight w:val="none"/>
              </w:rPr>
              <w:t>规定</w:t>
            </w:r>
          </w:p>
        </w:tc>
      </w:tr>
      <w:tr w14:paraId="3CDE6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08C53EE">
            <w:pPr>
              <w:rPr>
                <w:rFonts w:ascii="宋体" w:hAnsi="宋体" w:eastAsia="宋体"/>
                <w:color w:val="auto"/>
                <w:szCs w:val="21"/>
                <w:highlight w:val="none"/>
              </w:rPr>
            </w:pPr>
          </w:p>
        </w:tc>
        <w:tc>
          <w:tcPr>
            <w:tcW w:w="1122" w:type="dxa"/>
            <w:vMerge w:val="continue"/>
            <w:noWrap w:val="0"/>
            <w:vAlign w:val="center"/>
          </w:tcPr>
          <w:p w14:paraId="454B03F1">
            <w:pPr>
              <w:rPr>
                <w:rFonts w:ascii="宋体" w:hAnsi="宋体" w:eastAsia="宋体"/>
                <w:color w:val="auto"/>
                <w:szCs w:val="21"/>
                <w:highlight w:val="none"/>
              </w:rPr>
            </w:pPr>
          </w:p>
        </w:tc>
        <w:tc>
          <w:tcPr>
            <w:tcW w:w="1974" w:type="dxa"/>
            <w:noWrap w:val="0"/>
            <w:vAlign w:val="center"/>
          </w:tcPr>
          <w:p w14:paraId="2460A681">
            <w:pPr>
              <w:jc w:val="center"/>
              <w:rPr>
                <w:rFonts w:ascii="宋体" w:hAnsi="宋体" w:eastAsia="宋体"/>
                <w:color w:val="auto"/>
                <w:szCs w:val="21"/>
                <w:highlight w:val="none"/>
              </w:rPr>
            </w:pPr>
            <w:r>
              <w:rPr>
                <w:rFonts w:ascii="宋体" w:hAnsi="宋体" w:eastAsia="宋体"/>
                <w:color w:val="auto"/>
                <w:szCs w:val="21"/>
                <w:highlight w:val="none"/>
              </w:rPr>
              <w:t>其他要求</w:t>
            </w:r>
          </w:p>
        </w:tc>
        <w:tc>
          <w:tcPr>
            <w:tcW w:w="5533" w:type="dxa"/>
            <w:noWrap w:val="0"/>
            <w:vAlign w:val="center"/>
          </w:tcPr>
          <w:p w14:paraId="636FABCF">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1.8</w:t>
            </w:r>
            <w:r>
              <w:rPr>
                <w:rFonts w:hint="eastAsia" w:ascii="宋体" w:hAnsi="宋体"/>
                <w:color w:val="auto"/>
                <w:szCs w:val="21"/>
                <w:highlight w:val="none"/>
              </w:rPr>
              <w:t>项</w:t>
            </w:r>
            <w:r>
              <w:rPr>
                <w:rFonts w:ascii="宋体" w:hAnsi="宋体"/>
                <w:color w:val="auto"/>
                <w:szCs w:val="21"/>
                <w:highlight w:val="none"/>
              </w:rPr>
              <w:t>规定</w:t>
            </w:r>
          </w:p>
        </w:tc>
      </w:tr>
      <w:tr w14:paraId="6E65E7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06BA2FA">
            <w:pPr>
              <w:rPr>
                <w:rFonts w:ascii="宋体" w:hAnsi="宋体" w:eastAsia="宋体"/>
                <w:color w:val="auto"/>
                <w:szCs w:val="21"/>
                <w:highlight w:val="none"/>
              </w:rPr>
            </w:pPr>
          </w:p>
        </w:tc>
        <w:tc>
          <w:tcPr>
            <w:tcW w:w="1122" w:type="dxa"/>
            <w:vMerge w:val="continue"/>
            <w:noWrap w:val="0"/>
            <w:vAlign w:val="center"/>
          </w:tcPr>
          <w:p w14:paraId="4CAAD23B">
            <w:pPr>
              <w:rPr>
                <w:rFonts w:ascii="宋体" w:hAnsi="宋体" w:eastAsia="宋体"/>
                <w:color w:val="auto"/>
                <w:szCs w:val="21"/>
                <w:highlight w:val="none"/>
              </w:rPr>
            </w:pPr>
          </w:p>
        </w:tc>
        <w:tc>
          <w:tcPr>
            <w:tcW w:w="1974" w:type="dxa"/>
            <w:noWrap w:val="0"/>
            <w:vAlign w:val="center"/>
          </w:tcPr>
          <w:p w14:paraId="4110120B">
            <w:pPr>
              <w:jc w:val="center"/>
              <w:rPr>
                <w:rFonts w:ascii="宋体" w:hAnsi="宋体" w:eastAsia="宋体"/>
                <w:color w:val="auto"/>
                <w:szCs w:val="21"/>
                <w:highlight w:val="none"/>
              </w:rPr>
            </w:pPr>
            <w:r>
              <w:rPr>
                <w:rFonts w:ascii="宋体" w:hAnsi="宋体" w:eastAsia="宋体"/>
                <w:color w:val="auto"/>
                <w:szCs w:val="21"/>
                <w:highlight w:val="none"/>
              </w:rPr>
              <w:t>联合体</w:t>
            </w:r>
            <w:r>
              <w:rPr>
                <w:rFonts w:hint="eastAsia" w:ascii="宋体" w:hAnsi="宋体" w:eastAsia="宋体"/>
                <w:color w:val="auto"/>
                <w:szCs w:val="21"/>
                <w:highlight w:val="none"/>
                <w:lang w:eastAsia="zh-CN"/>
              </w:rPr>
              <w:t>响应人</w:t>
            </w:r>
          </w:p>
        </w:tc>
        <w:tc>
          <w:tcPr>
            <w:tcW w:w="5533" w:type="dxa"/>
            <w:noWrap w:val="0"/>
            <w:vAlign w:val="center"/>
          </w:tcPr>
          <w:p w14:paraId="1D84DE6E">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1.9</w:t>
            </w:r>
            <w:r>
              <w:rPr>
                <w:rFonts w:hint="eastAsia" w:ascii="宋体" w:hAnsi="宋体"/>
                <w:color w:val="auto"/>
                <w:szCs w:val="21"/>
                <w:highlight w:val="none"/>
              </w:rPr>
              <w:t>项</w:t>
            </w:r>
            <w:r>
              <w:rPr>
                <w:rFonts w:ascii="宋体" w:hAnsi="宋体"/>
                <w:color w:val="auto"/>
                <w:szCs w:val="21"/>
                <w:highlight w:val="none"/>
              </w:rPr>
              <w:t>规定</w:t>
            </w:r>
          </w:p>
        </w:tc>
      </w:tr>
      <w:tr w14:paraId="01012B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4F7B3520">
            <w:pPr>
              <w:rPr>
                <w:rFonts w:ascii="宋体" w:hAnsi="宋体" w:eastAsia="宋体"/>
                <w:color w:val="auto"/>
                <w:szCs w:val="21"/>
                <w:highlight w:val="none"/>
              </w:rPr>
            </w:pPr>
          </w:p>
        </w:tc>
        <w:tc>
          <w:tcPr>
            <w:tcW w:w="1122" w:type="dxa"/>
            <w:vMerge w:val="continue"/>
            <w:noWrap w:val="0"/>
            <w:vAlign w:val="center"/>
          </w:tcPr>
          <w:p w14:paraId="4AA5631B">
            <w:pPr>
              <w:rPr>
                <w:rFonts w:ascii="宋体" w:hAnsi="宋体" w:eastAsia="宋体"/>
                <w:color w:val="auto"/>
                <w:szCs w:val="21"/>
                <w:highlight w:val="none"/>
              </w:rPr>
            </w:pPr>
          </w:p>
        </w:tc>
        <w:tc>
          <w:tcPr>
            <w:tcW w:w="1974" w:type="dxa"/>
            <w:noWrap w:val="0"/>
            <w:vAlign w:val="center"/>
          </w:tcPr>
          <w:p w14:paraId="4BD1B917">
            <w:pPr>
              <w:keepNext w:val="0"/>
              <w:keepLines w:val="0"/>
              <w:pageBreakBefore w:val="0"/>
              <w:kinsoku/>
              <w:wordWrap/>
              <w:overflowPunct/>
              <w:topLinePunct w:val="0"/>
              <w:autoSpaceDE/>
              <w:autoSpaceDN/>
              <w:bidi w:val="0"/>
              <w:adjustRightInd/>
              <w:snapToGrid/>
              <w:spacing w:line="240" w:lineRule="exact"/>
              <w:jc w:val="center"/>
              <w:rPr>
                <w:rFonts w:ascii="宋体" w:hAnsi="宋体" w:eastAsia="宋体"/>
                <w:color w:val="auto"/>
                <w:szCs w:val="21"/>
                <w:highlight w:val="none"/>
              </w:rPr>
            </w:pP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不得存在的情形</w:t>
            </w:r>
          </w:p>
        </w:tc>
        <w:tc>
          <w:tcPr>
            <w:tcW w:w="5533" w:type="dxa"/>
            <w:noWrap w:val="0"/>
            <w:vAlign w:val="center"/>
          </w:tcPr>
          <w:p w14:paraId="0C616C08">
            <w:pPr>
              <w:keepNext w:val="0"/>
              <w:keepLines w:val="0"/>
              <w:pageBreakBefore w:val="0"/>
              <w:kinsoku/>
              <w:wordWrap/>
              <w:overflowPunct/>
              <w:topLinePunct w:val="0"/>
              <w:autoSpaceDE/>
              <w:autoSpaceDN/>
              <w:bidi w:val="0"/>
              <w:adjustRightInd/>
              <w:snapToGrid/>
              <w:spacing w:line="240" w:lineRule="exact"/>
              <w:rPr>
                <w:rFonts w:ascii="宋体" w:hAnsi="宋体" w:eastAsia="宋体"/>
                <w:color w:val="auto"/>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z w:val="21"/>
                <w:szCs w:val="21"/>
                <w:highlight w:val="none"/>
                <w:lang w:eastAsia="zh-CN"/>
              </w:rPr>
              <w:t>竞争性谈判文件</w:t>
            </w:r>
            <w:r>
              <w:rPr>
                <w:rFonts w:hint="eastAsia" w:ascii="宋体" w:hAnsi="宋体" w:eastAsia="宋体" w:cs="宋体"/>
                <w:color w:val="auto"/>
                <w:sz w:val="21"/>
                <w:szCs w:val="21"/>
                <w:highlight w:val="none"/>
              </w:rPr>
              <w:t>规定</w:t>
            </w:r>
          </w:p>
        </w:tc>
      </w:tr>
      <w:tr w14:paraId="2A80A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2CB86155">
            <w:pPr>
              <w:jc w:val="center"/>
              <w:rPr>
                <w:rFonts w:ascii="宋体" w:hAnsi="宋体" w:eastAsia="宋体"/>
                <w:color w:val="auto"/>
                <w:szCs w:val="21"/>
                <w:highlight w:val="none"/>
              </w:rPr>
            </w:pPr>
            <w:r>
              <w:rPr>
                <w:rFonts w:hint="eastAsia" w:ascii="宋体" w:hAnsi="宋体" w:eastAsia="宋体"/>
                <w:color w:val="auto"/>
                <w:szCs w:val="21"/>
                <w:highlight w:val="none"/>
                <w:lang w:val="en-US" w:eastAsia="zh-CN"/>
              </w:rPr>
              <w:t>1</w:t>
            </w:r>
            <w:r>
              <w:rPr>
                <w:rFonts w:ascii="宋体" w:hAnsi="宋体" w:eastAsia="宋体"/>
                <w:color w:val="auto"/>
                <w:szCs w:val="21"/>
                <w:highlight w:val="none"/>
              </w:rPr>
              <w:t>.1.</w:t>
            </w:r>
            <w:r>
              <w:rPr>
                <w:rFonts w:hint="eastAsia" w:ascii="宋体" w:hAnsi="宋体" w:eastAsia="宋体"/>
                <w:color w:val="auto"/>
                <w:szCs w:val="21"/>
                <w:highlight w:val="none"/>
                <w:lang w:val="en-US" w:eastAsia="zh-CN"/>
              </w:rPr>
              <w:t>4</w:t>
            </w:r>
          </w:p>
        </w:tc>
        <w:tc>
          <w:tcPr>
            <w:tcW w:w="1122" w:type="dxa"/>
            <w:vMerge w:val="restart"/>
            <w:noWrap w:val="0"/>
            <w:vAlign w:val="center"/>
          </w:tcPr>
          <w:p w14:paraId="4D4C7E8E">
            <w:pPr>
              <w:jc w:val="center"/>
              <w:rPr>
                <w:rFonts w:ascii="宋体" w:hAnsi="宋体" w:eastAsia="宋体"/>
                <w:color w:val="auto"/>
                <w:szCs w:val="21"/>
                <w:highlight w:val="none"/>
              </w:rPr>
            </w:pPr>
            <w:r>
              <w:rPr>
                <w:rFonts w:ascii="宋体" w:hAnsi="宋体" w:eastAsia="宋体"/>
                <w:color w:val="auto"/>
                <w:szCs w:val="21"/>
                <w:highlight w:val="none"/>
              </w:rPr>
              <w:t>响应性评审标准</w:t>
            </w:r>
          </w:p>
        </w:tc>
        <w:tc>
          <w:tcPr>
            <w:tcW w:w="1974" w:type="dxa"/>
            <w:noWrap w:val="0"/>
            <w:vAlign w:val="center"/>
          </w:tcPr>
          <w:p w14:paraId="5B821A02">
            <w:pPr>
              <w:jc w:val="center"/>
              <w:rPr>
                <w:rFonts w:ascii="宋体" w:hAnsi="宋体" w:eastAsia="宋体"/>
                <w:color w:val="auto"/>
                <w:szCs w:val="21"/>
                <w:highlight w:val="none"/>
              </w:rPr>
            </w:pPr>
            <w:r>
              <w:rPr>
                <w:rFonts w:hint="eastAsia" w:ascii="宋体" w:hAnsi="宋体" w:eastAsia="宋体"/>
                <w:color w:val="auto"/>
                <w:szCs w:val="21"/>
                <w:highlight w:val="none"/>
                <w:lang w:eastAsia="zh-CN"/>
              </w:rPr>
              <w:t>响应</w:t>
            </w:r>
            <w:r>
              <w:rPr>
                <w:rFonts w:ascii="宋体" w:hAnsi="宋体" w:eastAsia="宋体"/>
                <w:color w:val="auto"/>
                <w:szCs w:val="21"/>
                <w:highlight w:val="none"/>
              </w:rPr>
              <w:t>报价</w:t>
            </w:r>
          </w:p>
        </w:tc>
        <w:tc>
          <w:tcPr>
            <w:tcW w:w="5533" w:type="dxa"/>
            <w:noWrap w:val="0"/>
            <w:vAlign w:val="center"/>
          </w:tcPr>
          <w:p w14:paraId="023308FA">
            <w:pPr>
              <w:rPr>
                <w:rFonts w:ascii="宋体" w:hAnsi="宋体" w:eastAsia="宋体"/>
                <w:color w:val="auto"/>
                <w:szCs w:val="21"/>
                <w:highlight w:val="none"/>
              </w:rPr>
            </w:pPr>
            <w:r>
              <w:rPr>
                <w:rFonts w:ascii="宋体" w:hAnsi="宋体" w:eastAsia="宋体"/>
                <w:color w:val="auto"/>
                <w:szCs w:val="21"/>
                <w:highlight w:val="none"/>
              </w:rPr>
              <w:t>符合</w:t>
            </w:r>
            <w:r>
              <w:rPr>
                <w:rFonts w:hint="eastAsia" w:ascii="宋体" w:hAnsi="宋体" w:eastAsia="宋体"/>
                <w:color w:val="auto"/>
                <w:szCs w:val="21"/>
                <w:highlight w:val="none"/>
                <w:lang w:val="en-US" w:eastAsia="zh-CN"/>
              </w:rPr>
              <w:t>竞争性谈判文件</w:t>
            </w:r>
            <w:r>
              <w:rPr>
                <w:rFonts w:ascii="宋体" w:hAnsi="宋体" w:eastAsia="宋体"/>
                <w:color w:val="auto"/>
                <w:szCs w:val="21"/>
                <w:highlight w:val="none"/>
              </w:rPr>
              <w:t>规定</w:t>
            </w:r>
          </w:p>
        </w:tc>
      </w:tr>
      <w:tr w14:paraId="03BDA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F4B3DB0">
            <w:pPr>
              <w:jc w:val="center"/>
              <w:rPr>
                <w:rFonts w:ascii="宋体" w:hAnsi="宋体" w:eastAsia="宋体"/>
                <w:color w:val="auto"/>
                <w:szCs w:val="21"/>
                <w:highlight w:val="none"/>
              </w:rPr>
            </w:pPr>
          </w:p>
        </w:tc>
        <w:tc>
          <w:tcPr>
            <w:tcW w:w="1122" w:type="dxa"/>
            <w:vMerge w:val="continue"/>
            <w:noWrap w:val="0"/>
            <w:vAlign w:val="center"/>
          </w:tcPr>
          <w:p w14:paraId="744C714E">
            <w:pPr>
              <w:jc w:val="center"/>
              <w:rPr>
                <w:rFonts w:ascii="宋体" w:hAnsi="宋体" w:eastAsia="宋体"/>
                <w:color w:val="auto"/>
                <w:szCs w:val="21"/>
                <w:highlight w:val="none"/>
              </w:rPr>
            </w:pPr>
          </w:p>
        </w:tc>
        <w:tc>
          <w:tcPr>
            <w:tcW w:w="1974" w:type="dxa"/>
            <w:noWrap w:val="0"/>
            <w:vAlign w:val="center"/>
          </w:tcPr>
          <w:p w14:paraId="10BD3F17">
            <w:pPr>
              <w:jc w:val="center"/>
              <w:rPr>
                <w:rFonts w:ascii="宋体" w:hAnsi="宋体" w:eastAsia="宋体"/>
                <w:color w:val="auto"/>
                <w:szCs w:val="21"/>
                <w:highlight w:val="none"/>
              </w:rPr>
            </w:pPr>
            <w:r>
              <w:rPr>
                <w:rFonts w:hint="eastAsia" w:ascii="宋体" w:hAnsi="宋体" w:eastAsia="宋体"/>
                <w:color w:val="auto"/>
                <w:szCs w:val="21"/>
                <w:highlight w:val="none"/>
                <w:lang w:eastAsia="zh-CN"/>
              </w:rPr>
              <w:t>响应</w:t>
            </w:r>
            <w:r>
              <w:rPr>
                <w:rFonts w:ascii="宋体" w:hAnsi="宋体" w:eastAsia="宋体"/>
                <w:color w:val="auto"/>
                <w:szCs w:val="21"/>
                <w:highlight w:val="none"/>
              </w:rPr>
              <w:t>内容</w:t>
            </w:r>
          </w:p>
        </w:tc>
        <w:tc>
          <w:tcPr>
            <w:tcW w:w="5533" w:type="dxa"/>
            <w:noWrap w:val="0"/>
            <w:vAlign w:val="center"/>
          </w:tcPr>
          <w:p w14:paraId="240D9A69">
            <w:pPr>
              <w:jc w:val="left"/>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1.3</w:t>
            </w:r>
            <w:r>
              <w:rPr>
                <w:rFonts w:hint="eastAsia" w:ascii="宋体" w:hAnsi="宋体"/>
                <w:color w:val="auto"/>
                <w:szCs w:val="21"/>
                <w:highlight w:val="none"/>
              </w:rPr>
              <w:t>项</w:t>
            </w:r>
            <w:r>
              <w:rPr>
                <w:rFonts w:ascii="宋体" w:hAnsi="宋体"/>
                <w:color w:val="auto"/>
                <w:szCs w:val="21"/>
                <w:highlight w:val="none"/>
              </w:rPr>
              <w:t>规定</w:t>
            </w:r>
          </w:p>
        </w:tc>
      </w:tr>
      <w:tr w14:paraId="45BA2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328CC650">
            <w:pPr>
              <w:jc w:val="center"/>
              <w:rPr>
                <w:rFonts w:ascii="宋体" w:hAnsi="宋体" w:eastAsia="宋体"/>
                <w:color w:val="auto"/>
                <w:szCs w:val="21"/>
                <w:highlight w:val="none"/>
              </w:rPr>
            </w:pPr>
          </w:p>
        </w:tc>
        <w:tc>
          <w:tcPr>
            <w:tcW w:w="1122" w:type="dxa"/>
            <w:vMerge w:val="continue"/>
            <w:noWrap w:val="0"/>
            <w:vAlign w:val="center"/>
          </w:tcPr>
          <w:p w14:paraId="73DE54A2">
            <w:pPr>
              <w:jc w:val="center"/>
              <w:rPr>
                <w:rFonts w:ascii="宋体" w:hAnsi="宋体" w:eastAsia="宋体"/>
                <w:color w:val="auto"/>
                <w:szCs w:val="21"/>
                <w:highlight w:val="none"/>
              </w:rPr>
            </w:pPr>
          </w:p>
        </w:tc>
        <w:tc>
          <w:tcPr>
            <w:tcW w:w="1974" w:type="dxa"/>
            <w:noWrap w:val="0"/>
            <w:vAlign w:val="center"/>
          </w:tcPr>
          <w:p w14:paraId="0BA0802F">
            <w:pPr>
              <w:adjustRightInd w:val="0"/>
              <w:snapToGrid w:val="0"/>
              <w:jc w:val="center"/>
              <w:rPr>
                <w:rFonts w:ascii="宋体" w:hAnsi="宋体" w:eastAsia="宋体"/>
                <w:color w:val="auto"/>
                <w:szCs w:val="21"/>
                <w:highlight w:val="none"/>
              </w:rPr>
            </w:pPr>
            <w:r>
              <w:rPr>
                <w:rFonts w:ascii="宋体" w:hAnsi="宋体" w:eastAsia="宋体"/>
                <w:color w:val="auto"/>
                <w:szCs w:val="21"/>
                <w:highlight w:val="none"/>
              </w:rPr>
              <w:t>服务期限</w:t>
            </w:r>
          </w:p>
        </w:tc>
        <w:tc>
          <w:tcPr>
            <w:tcW w:w="5533" w:type="dxa"/>
            <w:noWrap w:val="0"/>
            <w:vAlign w:val="center"/>
          </w:tcPr>
          <w:p w14:paraId="09E9C9A5">
            <w:pPr>
              <w:jc w:val="left"/>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1.4</w:t>
            </w:r>
            <w:r>
              <w:rPr>
                <w:rFonts w:hint="eastAsia" w:ascii="宋体" w:hAnsi="宋体"/>
                <w:color w:val="auto"/>
                <w:szCs w:val="21"/>
                <w:highlight w:val="none"/>
              </w:rPr>
              <w:t>项</w:t>
            </w:r>
            <w:r>
              <w:rPr>
                <w:rFonts w:ascii="宋体" w:hAnsi="宋体"/>
                <w:color w:val="auto"/>
                <w:szCs w:val="21"/>
                <w:highlight w:val="none"/>
              </w:rPr>
              <w:t>规定</w:t>
            </w:r>
          </w:p>
        </w:tc>
      </w:tr>
      <w:tr w14:paraId="1AC3FF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BDAAB15">
            <w:pPr>
              <w:jc w:val="center"/>
              <w:rPr>
                <w:rFonts w:ascii="宋体" w:hAnsi="宋体" w:eastAsia="宋体"/>
                <w:color w:val="auto"/>
                <w:szCs w:val="21"/>
                <w:highlight w:val="none"/>
              </w:rPr>
            </w:pPr>
          </w:p>
        </w:tc>
        <w:tc>
          <w:tcPr>
            <w:tcW w:w="1122" w:type="dxa"/>
            <w:vMerge w:val="continue"/>
            <w:noWrap w:val="0"/>
            <w:vAlign w:val="center"/>
          </w:tcPr>
          <w:p w14:paraId="41B41523">
            <w:pPr>
              <w:jc w:val="center"/>
              <w:rPr>
                <w:rFonts w:ascii="宋体" w:hAnsi="宋体" w:eastAsia="宋体"/>
                <w:color w:val="auto"/>
                <w:szCs w:val="21"/>
                <w:highlight w:val="none"/>
              </w:rPr>
            </w:pPr>
          </w:p>
        </w:tc>
        <w:tc>
          <w:tcPr>
            <w:tcW w:w="1974" w:type="dxa"/>
            <w:noWrap w:val="0"/>
            <w:vAlign w:val="center"/>
          </w:tcPr>
          <w:p w14:paraId="0C4E3E13">
            <w:pPr>
              <w:adjustRightInd w:val="0"/>
              <w:snapToGrid w:val="0"/>
              <w:jc w:val="center"/>
              <w:rPr>
                <w:rFonts w:ascii="宋体" w:hAnsi="宋体" w:eastAsia="宋体"/>
                <w:color w:val="auto"/>
                <w:szCs w:val="21"/>
                <w:highlight w:val="none"/>
              </w:rPr>
            </w:pPr>
            <w:r>
              <w:rPr>
                <w:rFonts w:hint="eastAsia" w:ascii="宋体" w:hAnsi="宋体" w:eastAsia="宋体"/>
                <w:color w:val="auto"/>
                <w:szCs w:val="21"/>
                <w:highlight w:val="none"/>
              </w:rPr>
              <w:t>质量标准</w:t>
            </w:r>
          </w:p>
        </w:tc>
        <w:tc>
          <w:tcPr>
            <w:tcW w:w="5533" w:type="dxa"/>
            <w:noWrap w:val="0"/>
            <w:vAlign w:val="center"/>
          </w:tcPr>
          <w:p w14:paraId="14D1A011">
            <w:pPr>
              <w:jc w:val="left"/>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1.5</w:t>
            </w:r>
            <w:r>
              <w:rPr>
                <w:rFonts w:hint="eastAsia" w:ascii="宋体" w:hAnsi="宋体"/>
                <w:color w:val="auto"/>
                <w:szCs w:val="21"/>
                <w:highlight w:val="none"/>
              </w:rPr>
              <w:t>项</w:t>
            </w:r>
            <w:r>
              <w:rPr>
                <w:rFonts w:ascii="宋体" w:hAnsi="宋体"/>
                <w:color w:val="auto"/>
                <w:szCs w:val="21"/>
                <w:highlight w:val="none"/>
              </w:rPr>
              <w:t>规定</w:t>
            </w:r>
          </w:p>
        </w:tc>
      </w:tr>
      <w:tr w14:paraId="0719B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3DB67ED3">
            <w:pPr>
              <w:rPr>
                <w:rFonts w:ascii="宋体" w:hAnsi="宋体" w:eastAsia="宋体"/>
                <w:color w:val="auto"/>
                <w:szCs w:val="21"/>
                <w:highlight w:val="none"/>
              </w:rPr>
            </w:pPr>
          </w:p>
        </w:tc>
        <w:tc>
          <w:tcPr>
            <w:tcW w:w="1122" w:type="dxa"/>
            <w:vMerge w:val="continue"/>
            <w:noWrap w:val="0"/>
            <w:vAlign w:val="center"/>
          </w:tcPr>
          <w:p w14:paraId="322A10AD">
            <w:pPr>
              <w:rPr>
                <w:rFonts w:ascii="宋体" w:hAnsi="宋体" w:eastAsia="宋体"/>
                <w:color w:val="auto"/>
                <w:szCs w:val="21"/>
                <w:highlight w:val="none"/>
              </w:rPr>
            </w:pPr>
          </w:p>
        </w:tc>
        <w:tc>
          <w:tcPr>
            <w:tcW w:w="1974" w:type="dxa"/>
            <w:noWrap w:val="0"/>
            <w:vAlign w:val="center"/>
          </w:tcPr>
          <w:p w14:paraId="3410D7B6">
            <w:pPr>
              <w:jc w:val="center"/>
              <w:rPr>
                <w:rFonts w:ascii="宋体" w:hAnsi="宋体" w:eastAsia="宋体"/>
                <w:color w:val="auto"/>
                <w:szCs w:val="21"/>
                <w:highlight w:val="none"/>
              </w:rPr>
            </w:pPr>
            <w:r>
              <w:rPr>
                <w:rFonts w:hint="eastAsia" w:ascii="宋体" w:hAnsi="宋体" w:eastAsia="宋体"/>
                <w:color w:val="auto"/>
                <w:szCs w:val="21"/>
                <w:highlight w:val="none"/>
                <w:lang w:val="en-US" w:eastAsia="zh-CN"/>
              </w:rPr>
              <w:t>报价</w:t>
            </w:r>
            <w:r>
              <w:rPr>
                <w:rFonts w:ascii="宋体" w:hAnsi="宋体" w:eastAsia="宋体"/>
                <w:color w:val="auto"/>
                <w:szCs w:val="21"/>
                <w:highlight w:val="none"/>
              </w:rPr>
              <w:t>有效期</w:t>
            </w:r>
          </w:p>
        </w:tc>
        <w:tc>
          <w:tcPr>
            <w:tcW w:w="5533" w:type="dxa"/>
            <w:noWrap w:val="0"/>
            <w:vAlign w:val="center"/>
          </w:tcPr>
          <w:p w14:paraId="0584B7DD">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人须知”规定</w:t>
            </w:r>
          </w:p>
        </w:tc>
      </w:tr>
      <w:tr w14:paraId="4D3FA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6E79D767">
            <w:pPr>
              <w:rPr>
                <w:rFonts w:ascii="宋体" w:hAnsi="宋体" w:eastAsia="宋体"/>
                <w:color w:val="auto"/>
                <w:szCs w:val="21"/>
                <w:highlight w:val="none"/>
              </w:rPr>
            </w:pPr>
          </w:p>
        </w:tc>
        <w:tc>
          <w:tcPr>
            <w:tcW w:w="1122" w:type="dxa"/>
            <w:vMerge w:val="continue"/>
            <w:noWrap w:val="0"/>
            <w:vAlign w:val="center"/>
          </w:tcPr>
          <w:p w14:paraId="227F2554">
            <w:pPr>
              <w:rPr>
                <w:rFonts w:ascii="宋体" w:hAnsi="宋体" w:eastAsia="宋体"/>
                <w:color w:val="auto"/>
                <w:szCs w:val="21"/>
                <w:highlight w:val="none"/>
              </w:rPr>
            </w:pPr>
          </w:p>
        </w:tc>
        <w:tc>
          <w:tcPr>
            <w:tcW w:w="1974" w:type="dxa"/>
            <w:noWrap w:val="0"/>
            <w:vAlign w:val="center"/>
          </w:tcPr>
          <w:p w14:paraId="4DFAF0DF">
            <w:pPr>
              <w:adjustRightInd w:val="0"/>
              <w:snapToGrid w:val="0"/>
              <w:jc w:val="center"/>
              <w:rPr>
                <w:rFonts w:hint="eastAsia" w:ascii="宋体" w:hAnsi="宋体" w:eastAsia="宋体"/>
                <w:color w:val="auto"/>
                <w:szCs w:val="21"/>
                <w:highlight w:val="none"/>
                <w:lang w:val="en-US" w:eastAsia="zh-CN"/>
              </w:rPr>
            </w:pPr>
            <w:r>
              <w:rPr>
                <w:rFonts w:ascii="宋体" w:hAnsi="宋体" w:eastAsia="宋体"/>
                <w:color w:val="auto"/>
                <w:szCs w:val="21"/>
                <w:highlight w:val="none"/>
              </w:rPr>
              <w:t>人员</w:t>
            </w:r>
            <w:r>
              <w:rPr>
                <w:rFonts w:hint="eastAsia" w:ascii="宋体" w:hAnsi="宋体" w:eastAsia="宋体"/>
                <w:color w:val="auto"/>
                <w:szCs w:val="21"/>
                <w:highlight w:val="none"/>
                <w:lang w:val="en-US" w:eastAsia="zh-CN"/>
              </w:rPr>
              <w:t>要求</w:t>
            </w:r>
          </w:p>
        </w:tc>
        <w:tc>
          <w:tcPr>
            <w:tcW w:w="5533" w:type="dxa"/>
            <w:noWrap w:val="0"/>
            <w:vAlign w:val="center"/>
          </w:tcPr>
          <w:p w14:paraId="38E866D5">
            <w:pPr>
              <w:rPr>
                <w:rFonts w:ascii="宋体" w:hAnsi="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二</w:t>
            </w:r>
            <w:r>
              <w:rPr>
                <w:rFonts w:ascii="宋体" w:hAnsi="宋体"/>
                <w:color w:val="auto"/>
                <w:szCs w:val="21"/>
                <w:highlight w:val="none"/>
              </w:rPr>
              <w:t>章“</w:t>
            </w:r>
            <w:r>
              <w:rPr>
                <w:rFonts w:hint="eastAsia" w:ascii="宋体" w:hAnsi="宋体"/>
                <w:color w:val="auto"/>
                <w:szCs w:val="21"/>
                <w:highlight w:val="none"/>
                <w:lang w:eastAsia="zh-CN"/>
              </w:rPr>
              <w:t>委托人要求</w:t>
            </w:r>
            <w:r>
              <w:rPr>
                <w:rFonts w:ascii="宋体" w:hAnsi="宋体"/>
                <w:color w:val="auto"/>
                <w:szCs w:val="21"/>
                <w:highlight w:val="none"/>
              </w:rPr>
              <w:t>”</w:t>
            </w:r>
            <w:r>
              <w:rPr>
                <w:rFonts w:hint="eastAsia" w:ascii="宋体" w:hAnsi="宋体"/>
                <w:color w:val="auto"/>
                <w:szCs w:val="21"/>
                <w:highlight w:val="none"/>
                <w:lang w:val="en-US" w:eastAsia="zh-CN"/>
              </w:rPr>
              <w:t>规定</w:t>
            </w:r>
          </w:p>
        </w:tc>
      </w:tr>
      <w:tr w14:paraId="4A20C1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FA53AAB">
            <w:pPr>
              <w:rPr>
                <w:rFonts w:ascii="宋体" w:hAnsi="宋体" w:eastAsia="宋体"/>
                <w:color w:val="auto"/>
                <w:szCs w:val="21"/>
                <w:highlight w:val="none"/>
              </w:rPr>
            </w:pPr>
          </w:p>
        </w:tc>
        <w:tc>
          <w:tcPr>
            <w:tcW w:w="1122" w:type="dxa"/>
            <w:vMerge w:val="continue"/>
            <w:noWrap w:val="0"/>
            <w:vAlign w:val="center"/>
          </w:tcPr>
          <w:p w14:paraId="1DFA8483">
            <w:pPr>
              <w:rPr>
                <w:rFonts w:ascii="宋体" w:hAnsi="宋体" w:eastAsia="宋体"/>
                <w:color w:val="auto"/>
                <w:szCs w:val="21"/>
                <w:highlight w:val="none"/>
              </w:rPr>
            </w:pPr>
          </w:p>
        </w:tc>
        <w:tc>
          <w:tcPr>
            <w:tcW w:w="1974" w:type="dxa"/>
            <w:noWrap w:val="0"/>
            <w:vAlign w:val="center"/>
          </w:tcPr>
          <w:p w14:paraId="44834636">
            <w:pPr>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服务所需设备、材料或所需检测仪器设备</w:t>
            </w:r>
          </w:p>
        </w:tc>
        <w:tc>
          <w:tcPr>
            <w:tcW w:w="5533" w:type="dxa"/>
            <w:noWrap w:val="0"/>
            <w:vAlign w:val="center"/>
          </w:tcPr>
          <w:p w14:paraId="5FB6742D">
            <w:pPr>
              <w:rPr>
                <w:rFonts w:ascii="宋体" w:hAnsi="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二</w:t>
            </w:r>
            <w:r>
              <w:rPr>
                <w:rFonts w:ascii="宋体" w:hAnsi="宋体"/>
                <w:color w:val="auto"/>
                <w:szCs w:val="21"/>
                <w:highlight w:val="none"/>
              </w:rPr>
              <w:t>章“</w:t>
            </w:r>
            <w:r>
              <w:rPr>
                <w:rFonts w:hint="eastAsia" w:ascii="宋体" w:hAnsi="宋体"/>
                <w:color w:val="auto"/>
                <w:szCs w:val="21"/>
                <w:highlight w:val="none"/>
                <w:lang w:eastAsia="zh-CN"/>
              </w:rPr>
              <w:t>委托人要求</w:t>
            </w:r>
            <w:r>
              <w:rPr>
                <w:rFonts w:ascii="宋体" w:hAnsi="宋体"/>
                <w:color w:val="auto"/>
                <w:szCs w:val="21"/>
                <w:highlight w:val="none"/>
              </w:rPr>
              <w:t>”</w:t>
            </w:r>
            <w:r>
              <w:rPr>
                <w:rFonts w:hint="eastAsia" w:ascii="宋体" w:hAnsi="宋体"/>
                <w:color w:val="auto"/>
                <w:szCs w:val="21"/>
                <w:highlight w:val="none"/>
                <w:lang w:val="en-US" w:eastAsia="zh-CN"/>
              </w:rPr>
              <w:t>规定</w:t>
            </w:r>
          </w:p>
        </w:tc>
      </w:tr>
      <w:tr w14:paraId="5C22E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2746771">
            <w:pPr>
              <w:rPr>
                <w:rFonts w:ascii="宋体" w:hAnsi="宋体" w:eastAsia="宋体"/>
                <w:color w:val="auto"/>
                <w:szCs w:val="21"/>
                <w:highlight w:val="none"/>
              </w:rPr>
            </w:pPr>
          </w:p>
        </w:tc>
        <w:tc>
          <w:tcPr>
            <w:tcW w:w="1122" w:type="dxa"/>
            <w:vMerge w:val="continue"/>
            <w:noWrap w:val="0"/>
            <w:vAlign w:val="center"/>
          </w:tcPr>
          <w:p w14:paraId="0B9C0640">
            <w:pPr>
              <w:rPr>
                <w:rFonts w:ascii="宋体" w:hAnsi="宋体" w:eastAsia="宋体"/>
                <w:color w:val="auto"/>
                <w:szCs w:val="21"/>
                <w:highlight w:val="none"/>
              </w:rPr>
            </w:pPr>
          </w:p>
        </w:tc>
        <w:tc>
          <w:tcPr>
            <w:tcW w:w="1974" w:type="dxa"/>
            <w:noWrap w:val="0"/>
            <w:vAlign w:val="center"/>
          </w:tcPr>
          <w:p w14:paraId="0B461869">
            <w:pPr>
              <w:jc w:val="center"/>
              <w:rPr>
                <w:rFonts w:ascii="宋体" w:hAnsi="宋体" w:eastAsia="宋体"/>
                <w:color w:val="auto"/>
                <w:szCs w:val="21"/>
                <w:highlight w:val="none"/>
              </w:rPr>
            </w:pPr>
            <w:r>
              <w:rPr>
                <w:rFonts w:ascii="宋体" w:hAnsi="宋体"/>
                <w:color w:val="auto"/>
                <w:szCs w:val="21"/>
                <w:highlight w:val="none"/>
              </w:rPr>
              <w:t>权利义务</w:t>
            </w:r>
          </w:p>
        </w:tc>
        <w:tc>
          <w:tcPr>
            <w:tcW w:w="5533" w:type="dxa"/>
            <w:noWrap w:val="0"/>
            <w:vAlign w:val="center"/>
          </w:tcPr>
          <w:p w14:paraId="49413B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三</w:t>
            </w:r>
            <w:r>
              <w:rPr>
                <w:rFonts w:ascii="宋体" w:hAnsi="宋体"/>
                <w:color w:val="auto"/>
                <w:szCs w:val="21"/>
                <w:highlight w:val="none"/>
              </w:rPr>
              <w:t>章“合同条款”规定</w:t>
            </w:r>
          </w:p>
        </w:tc>
      </w:tr>
      <w:tr w14:paraId="25151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6A62B51E">
            <w:pPr>
              <w:rPr>
                <w:rFonts w:ascii="宋体" w:hAnsi="宋体" w:eastAsia="宋体"/>
                <w:color w:val="auto"/>
                <w:szCs w:val="21"/>
                <w:highlight w:val="none"/>
              </w:rPr>
            </w:pPr>
          </w:p>
        </w:tc>
        <w:tc>
          <w:tcPr>
            <w:tcW w:w="1122" w:type="dxa"/>
            <w:vMerge w:val="continue"/>
            <w:noWrap w:val="0"/>
            <w:vAlign w:val="center"/>
          </w:tcPr>
          <w:p w14:paraId="711EE4A1">
            <w:pPr>
              <w:rPr>
                <w:rFonts w:ascii="宋体" w:hAnsi="宋体" w:eastAsia="宋体"/>
                <w:color w:val="auto"/>
                <w:szCs w:val="21"/>
                <w:highlight w:val="none"/>
              </w:rPr>
            </w:pPr>
          </w:p>
        </w:tc>
        <w:tc>
          <w:tcPr>
            <w:tcW w:w="1974" w:type="dxa"/>
            <w:noWrap w:val="0"/>
            <w:vAlign w:val="center"/>
          </w:tcPr>
          <w:p w14:paraId="3A222412">
            <w:pPr>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服务大纲</w:t>
            </w:r>
          </w:p>
        </w:tc>
        <w:tc>
          <w:tcPr>
            <w:tcW w:w="5533" w:type="dxa"/>
            <w:noWrap w:val="0"/>
            <w:vAlign w:val="center"/>
          </w:tcPr>
          <w:p w14:paraId="42F2FD0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二</w:t>
            </w:r>
            <w:r>
              <w:rPr>
                <w:rFonts w:ascii="宋体" w:hAnsi="宋体"/>
                <w:color w:val="auto"/>
                <w:szCs w:val="21"/>
                <w:highlight w:val="none"/>
              </w:rPr>
              <w:t>章“</w:t>
            </w:r>
            <w:r>
              <w:rPr>
                <w:rFonts w:hint="eastAsia" w:ascii="宋体" w:hAnsi="宋体"/>
                <w:color w:val="auto"/>
                <w:szCs w:val="21"/>
                <w:highlight w:val="none"/>
                <w:lang w:eastAsia="zh-CN"/>
              </w:rPr>
              <w:t>委托人要求</w:t>
            </w:r>
            <w:r>
              <w:rPr>
                <w:rFonts w:ascii="宋体" w:hAnsi="宋体"/>
                <w:color w:val="auto"/>
                <w:szCs w:val="21"/>
                <w:highlight w:val="none"/>
              </w:rPr>
              <w:t>”中的实质性要求和条件</w:t>
            </w:r>
          </w:p>
        </w:tc>
      </w:tr>
      <w:tr w14:paraId="57F4AA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DD690DE">
            <w:pPr>
              <w:rPr>
                <w:rFonts w:ascii="宋体" w:hAnsi="宋体" w:eastAsia="宋体"/>
                <w:color w:val="auto"/>
                <w:szCs w:val="21"/>
                <w:highlight w:val="none"/>
              </w:rPr>
            </w:pPr>
          </w:p>
        </w:tc>
        <w:tc>
          <w:tcPr>
            <w:tcW w:w="1122" w:type="dxa"/>
            <w:vMerge w:val="continue"/>
            <w:noWrap w:val="0"/>
            <w:vAlign w:val="center"/>
          </w:tcPr>
          <w:p w14:paraId="2E6ECF7F">
            <w:pPr>
              <w:rPr>
                <w:rFonts w:ascii="宋体" w:hAnsi="宋体" w:eastAsia="宋体"/>
                <w:color w:val="auto"/>
                <w:szCs w:val="21"/>
                <w:highlight w:val="none"/>
              </w:rPr>
            </w:pPr>
          </w:p>
        </w:tc>
        <w:tc>
          <w:tcPr>
            <w:tcW w:w="1974" w:type="dxa"/>
            <w:noWrap w:val="0"/>
            <w:vAlign w:val="center"/>
          </w:tcPr>
          <w:p w14:paraId="3FCBB431">
            <w:pPr>
              <w:jc w:val="center"/>
              <w:rPr>
                <w:rFonts w:ascii="宋体" w:hAnsi="宋体" w:eastAsia="宋体"/>
                <w:color w:val="auto"/>
                <w:szCs w:val="21"/>
                <w:highlight w:val="none"/>
              </w:rPr>
            </w:pPr>
            <w:r>
              <w:rPr>
                <w:rFonts w:ascii="宋体" w:hAnsi="宋体" w:eastAsia="宋体"/>
                <w:color w:val="auto"/>
                <w:szCs w:val="21"/>
                <w:highlight w:val="none"/>
              </w:rPr>
              <w:t>……</w:t>
            </w:r>
          </w:p>
        </w:tc>
        <w:tc>
          <w:tcPr>
            <w:tcW w:w="5533" w:type="dxa"/>
            <w:noWrap w:val="0"/>
            <w:vAlign w:val="center"/>
          </w:tcPr>
          <w:p w14:paraId="6B7C04F3">
            <w:pPr>
              <w:jc w:val="center"/>
              <w:rPr>
                <w:rFonts w:ascii="宋体" w:hAnsi="宋体" w:eastAsia="宋体"/>
                <w:color w:val="auto"/>
                <w:szCs w:val="21"/>
                <w:highlight w:val="none"/>
              </w:rPr>
            </w:pPr>
            <w:r>
              <w:rPr>
                <w:rFonts w:ascii="宋体" w:hAnsi="宋体" w:eastAsia="宋体"/>
                <w:color w:val="auto"/>
                <w:szCs w:val="21"/>
                <w:highlight w:val="none"/>
              </w:rPr>
              <w:t>……</w:t>
            </w:r>
          </w:p>
        </w:tc>
      </w:tr>
      <w:bookmarkEnd w:id="55"/>
      <w:bookmarkEnd w:id="56"/>
      <w:bookmarkEnd w:id="57"/>
    </w:tbl>
    <w:p w14:paraId="143317B9">
      <w:pPr>
        <w:pStyle w:val="12"/>
        <w:bidi w:val="0"/>
        <w:rPr>
          <w:rFonts w:hint="eastAsia"/>
          <w:color w:val="auto"/>
          <w:highlight w:val="none"/>
          <w:lang w:val="en-US" w:eastAsia="zh-CN"/>
        </w:rPr>
      </w:pPr>
    </w:p>
    <w:p w14:paraId="7841E25D">
      <w:pPr>
        <w:keepNext w:val="0"/>
        <w:keepLines w:val="0"/>
        <w:pageBreakBefore w:val="0"/>
        <w:widowControl w:val="0"/>
        <w:kinsoku/>
        <w:wordWrap/>
        <w:overflowPunct/>
        <w:autoSpaceDE/>
        <w:autoSpaceDN/>
        <w:bidi w:val="0"/>
        <w:adjustRightInd w:val="0"/>
        <w:snapToGrid w:val="0"/>
        <w:spacing w:line="240" w:lineRule="auto"/>
        <w:ind w:left="0" w:leftChars="0" w:right="0" w:rightChars="0"/>
        <w:textAlignment w:val="auto"/>
        <w:outlineLvl w:val="9"/>
        <w:rPr>
          <w:rFonts w:hint="default" w:eastAsia="宋体" w:cs="Times New Roman"/>
          <w:b/>
          <w:bCs/>
          <w:color w:val="000000"/>
          <w:lang w:val="en-US" w:eastAsia="zh-CN"/>
        </w:rPr>
      </w:pPr>
      <w:bookmarkStart w:id="59" w:name="_Toc5963"/>
      <w:r>
        <w:rPr>
          <w:rFonts w:hint="default" w:eastAsia="宋体" w:cs="Times New Roman"/>
          <w:b/>
          <w:bCs/>
          <w:color w:val="000000"/>
          <w:lang w:val="en-US" w:eastAsia="zh-CN"/>
        </w:rPr>
        <w:t>Tableau d'évaluation</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122"/>
        <w:gridCol w:w="1974"/>
        <w:gridCol w:w="5533"/>
      </w:tblGrid>
      <w:tr w14:paraId="7F92B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64" w:type="dxa"/>
            <w:gridSpan w:val="2"/>
            <w:noWrap w:val="0"/>
            <w:vAlign w:val="center"/>
          </w:tcPr>
          <w:p w14:paraId="43B15E96">
            <w:pPr>
              <w:jc w:val="center"/>
              <w:rPr>
                <w:rFonts w:ascii="宋体" w:hAnsi="宋体" w:eastAsia="宋体"/>
                <w:b/>
                <w:szCs w:val="21"/>
              </w:rPr>
            </w:pPr>
            <w:r>
              <w:rPr>
                <w:rFonts w:hint="default" w:eastAsia="宋体" w:cs="Times New Roman"/>
                <w:color w:val="000000"/>
                <w:lang w:val="en-US" w:eastAsia="zh-CN"/>
              </w:rPr>
              <w:t>Numéro de clause</w:t>
            </w:r>
          </w:p>
        </w:tc>
        <w:tc>
          <w:tcPr>
            <w:tcW w:w="1974" w:type="dxa"/>
            <w:noWrap w:val="0"/>
            <w:vAlign w:val="center"/>
          </w:tcPr>
          <w:p w14:paraId="7712D5A2">
            <w:pPr>
              <w:jc w:val="center"/>
              <w:rPr>
                <w:rFonts w:ascii="宋体" w:hAnsi="宋体" w:eastAsia="宋体"/>
                <w:b/>
                <w:szCs w:val="21"/>
              </w:rPr>
            </w:pPr>
            <w:r>
              <w:rPr>
                <w:rFonts w:hint="default" w:eastAsia="宋体" w:cs="Times New Roman"/>
                <w:color w:val="000000"/>
                <w:lang w:val="en-US" w:eastAsia="zh-CN"/>
              </w:rPr>
              <w:t>Facteurs d'évaluation</w:t>
            </w:r>
          </w:p>
        </w:tc>
        <w:tc>
          <w:tcPr>
            <w:tcW w:w="5533" w:type="dxa"/>
            <w:noWrap w:val="0"/>
            <w:vAlign w:val="center"/>
          </w:tcPr>
          <w:p w14:paraId="609DDB58">
            <w:pPr>
              <w:jc w:val="center"/>
              <w:rPr>
                <w:rFonts w:ascii="宋体" w:hAnsi="宋体" w:eastAsia="宋体"/>
                <w:b/>
                <w:szCs w:val="21"/>
              </w:rPr>
            </w:pPr>
            <w:r>
              <w:rPr>
                <w:rFonts w:hint="default" w:eastAsia="宋体" w:cs="Times New Roman"/>
                <w:color w:val="000000"/>
                <w:lang w:val="en-US" w:eastAsia="zh-CN"/>
              </w:rPr>
              <w:t>Normes d'évaluation</w:t>
            </w:r>
          </w:p>
        </w:tc>
      </w:tr>
      <w:tr w14:paraId="2D58DD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3663495C">
            <w:pPr>
              <w:jc w:val="center"/>
              <w:rPr>
                <w:rFonts w:ascii="宋体" w:hAnsi="宋体" w:eastAsia="宋体"/>
                <w:szCs w:val="21"/>
              </w:rPr>
            </w:pPr>
            <w:r>
              <w:rPr>
                <w:rFonts w:hint="eastAsia" w:ascii="宋体" w:hAnsi="宋体" w:eastAsia="宋体"/>
                <w:szCs w:val="21"/>
                <w:lang w:val="en-US" w:eastAsia="zh-CN"/>
              </w:rPr>
              <w:t>1</w:t>
            </w:r>
            <w:r>
              <w:rPr>
                <w:rFonts w:ascii="宋体" w:hAnsi="宋体" w:eastAsia="宋体"/>
                <w:szCs w:val="21"/>
              </w:rPr>
              <w:t>.1.1</w:t>
            </w:r>
          </w:p>
        </w:tc>
        <w:tc>
          <w:tcPr>
            <w:tcW w:w="1122" w:type="dxa"/>
            <w:vMerge w:val="restart"/>
            <w:noWrap w:val="0"/>
            <w:vAlign w:val="center"/>
          </w:tcPr>
          <w:p w14:paraId="76859FB2">
            <w:pPr>
              <w:jc w:val="center"/>
              <w:rPr>
                <w:rFonts w:ascii="宋体" w:hAnsi="宋体" w:eastAsia="宋体"/>
                <w:szCs w:val="21"/>
              </w:rPr>
            </w:pPr>
            <w:r>
              <w:rPr>
                <w:rFonts w:hint="eastAsia" w:eastAsia="宋体" w:cs="Times New Roman"/>
                <w:color w:val="000000"/>
                <w:lang w:val="en-US" w:eastAsia="zh-CN"/>
              </w:rPr>
              <w:t>Normes d'évaluation formelle</w:t>
            </w:r>
          </w:p>
        </w:tc>
        <w:tc>
          <w:tcPr>
            <w:tcW w:w="1974" w:type="dxa"/>
            <w:noWrap w:val="0"/>
            <w:vAlign w:val="center"/>
          </w:tcPr>
          <w:p w14:paraId="377EB4E2">
            <w:pPr>
              <w:jc w:val="center"/>
              <w:rPr>
                <w:rFonts w:hint="eastAsia" w:eastAsia="宋体" w:cs="Times New Roman"/>
                <w:color w:val="000000"/>
                <w:lang w:val="en-US" w:eastAsia="zh-CN"/>
              </w:rPr>
            </w:pPr>
            <w:r>
              <w:rPr>
                <w:rFonts w:hint="eastAsia" w:eastAsia="宋体" w:cs="Times New Roman"/>
                <w:color w:val="000000"/>
                <w:lang w:val="en-US" w:eastAsia="zh-CN"/>
              </w:rPr>
              <w:t>Nom du répondant</w:t>
            </w:r>
          </w:p>
        </w:tc>
        <w:tc>
          <w:tcPr>
            <w:tcW w:w="5533" w:type="dxa"/>
            <w:noWrap w:val="0"/>
            <w:vAlign w:val="center"/>
          </w:tcPr>
          <w:p w14:paraId="1B7EB640">
            <w:pPr>
              <w:jc w:val="center"/>
              <w:rPr>
                <w:rFonts w:hint="eastAsia" w:eastAsia="宋体" w:cs="Times New Roman"/>
                <w:color w:val="000000"/>
                <w:lang w:val="en-US" w:eastAsia="zh-CN"/>
              </w:rPr>
            </w:pPr>
            <w:r>
              <w:rPr>
                <w:rFonts w:hint="eastAsia" w:eastAsia="宋体" w:cs="Times New Roman"/>
                <w:color w:val="000000"/>
                <w:lang w:val="en-US" w:eastAsia="zh-CN"/>
              </w:rPr>
              <w:t>Conforme au nom sur le registre commercial, à la licence d'exploitation et aux certificats de qualification.</w:t>
            </w:r>
          </w:p>
        </w:tc>
      </w:tr>
      <w:tr w14:paraId="30C4FC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1A1248F">
            <w:pPr>
              <w:rPr>
                <w:rFonts w:ascii="宋体" w:hAnsi="宋体" w:eastAsia="宋体"/>
                <w:szCs w:val="21"/>
              </w:rPr>
            </w:pPr>
          </w:p>
        </w:tc>
        <w:tc>
          <w:tcPr>
            <w:tcW w:w="1122" w:type="dxa"/>
            <w:vMerge w:val="continue"/>
            <w:noWrap w:val="0"/>
            <w:vAlign w:val="center"/>
          </w:tcPr>
          <w:p w14:paraId="077DA360">
            <w:pPr>
              <w:rPr>
                <w:rFonts w:ascii="宋体" w:hAnsi="宋体" w:eastAsia="宋体"/>
                <w:szCs w:val="21"/>
              </w:rPr>
            </w:pPr>
          </w:p>
        </w:tc>
        <w:tc>
          <w:tcPr>
            <w:tcW w:w="1974" w:type="dxa"/>
            <w:noWrap w:val="0"/>
            <w:vAlign w:val="center"/>
          </w:tcPr>
          <w:p w14:paraId="4F6477C0">
            <w:pPr>
              <w:jc w:val="center"/>
              <w:rPr>
                <w:rFonts w:hint="eastAsia" w:eastAsia="宋体" w:cs="Times New Roman"/>
                <w:color w:val="000000"/>
                <w:lang w:val="en-US" w:eastAsia="zh-CN"/>
              </w:rPr>
            </w:pPr>
            <w:r>
              <w:rPr>
                <w:rFonts w:hint="eastAsia" w:eastAsia="宋体" w:cs="Times New Roman"/>
                <w:color w:val="000000"/>
                <w:lang w:val="en-US" w:eastAsia="zh-CN"/>
              </w:rPr>
              <w:t>Signature et cachet de la lettre de réponse</w:t>
            </w:r>
          </w:p>
        </w:tc>
        <w:tc>
          <w:tcPr>
            <w:tcW w:w="5533" w:type="dxa"/>
            <w:noWrap w:val="0"/>
            <w:vAlign w:val="center"/>
          </w:tcPr>
          <w:p w14:paraId="70993068">
            <w:pPr>
              <w:jc w:val="center"/>
              <w:rPr>
                <w:rFonts w:hint="eastAsia" w:eastAsia="宋体" w:cs="Times New Roman"/>
                <w:color w:val="000000"/>
                <w:lang w:val="en-US" w:eastAsia="zh-CN"/>
              </w:rPr>
            </w:pPr>
            <w:r>
              <w:rPr>
                <w:rFonts w:hint="eastAsia" w:eastAsia="宋体" w:cs="Times New Roman"/>
                <w:color w:val="000000"/>
                <w:lang w:val="en-US" w:eastAsia="zh-CN"/>
              </w:rPr>
              <w:t>Signé par le représentant légal ou son mandataire, ou cachet de l'entité apposé.</w:t>
            </w:r>
          </w:p>
        </w:tc>
      </w:tr>
      <w:tr w14:paraId="27CBBD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7245115">
            <w:pPr>
              <w:rPr>
                <w:rFonts w:ascii="宋体" w:hAnsi="宋体" w:eastAsia="宋体"/>
                <w:szCs w:val="21"/>
              </w:rPr>
            </w:pPr>
          </w:p>
        </w:tc>
        <w:tc>
          <w:tcPr>
            <w:tcW w:w="1122" w:type="dxa"/>
            <w:vMerge w:val="continue"/>
            <w:noWrap w:val="0"/>
            <w:vAlign w:val="center"/>
          </w:tcPr>
          <w:p w14:paraId="5B46739C">
            <w:pPr>
              <w:rPr>
                <w:rFonts w:ascii="宋体" w:hAnsi="宋体" w:eastAsia="宋体"/>
                <w:szCs w:val="21"/>
              </w:rPr>
            </w:pPr>
          </w:p>
        </w:tc>
        <w:tc>
          <w:tcPr>
            <w:tcW w:w="1974" w:type="dxa"/>
            <w:noWrap w:val="0"/>
            <w:vAlign w:val="center"/>
          </w:tcPr>
          <w:p w14:paraId="2DA593E9">
            <w:pPr>
              <w:jc w:val="center"/>
              <w:rPr>
                <w:rFonts w:ascii="宋体" w:hAnsi="宋体" w:eastAsia="宋体"/>
                <w:szCs w:val="21"/>
              </w:rPr>
            </w:pPr>
            <w:r>
              <w:rPr>
                <w:rFonts w:hint="eastAsia" w:eastAsia="宋体" w:cs="Times New Roman"/>
                <w:color w:val="000000"/>
                <w:lang w:val="en-US" w:eastAsia="zh-CN"/>
              </w:rPr>
              <w:t>Format des documents de réponse</w:t>
            </w:r>
          </w:p>
        </w:tc>
        <w:tc>
          <w:tcPr>
            <w:tcW w:w="5533" w:type="dxa"/>
            <w:noWrap w:val="0"/>
            <w:vAlign w:val="center"/>
          </w:tcPr>
          <w:p w14:paraId="38CCE0E6">
            <w:pPr>
              <w:rPr>
                <w:rFonts w:ascii="宋体" w:hAnsi="宋体" w:eastAsia="宋体"/>
                <w:szCs w:val="21"/>
              </w:rPr>
            </w:pPr>
            <w:r>
              <w:rPr>
                <w:rFonts w:hint="eastAsia" w:eastAsia="宋体" w:cs="Times New Roman"/>
                <w:color w:val="000000"/>
                <w:lang w:val="en-US" w:eastAsia="zh-CN"/>
              </w:rPr>
              <w:t>Conforme aux dispositions du Chapitre 4 sur le 'Format des documents de réponse'.</w:t>
            </w:r>
          </w:p>
        </w:tc>
      </w:tr>
      <w:tr w14:paraId="001401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EE8DC38">
            <w:pPr>
              <w:rPr>
                <w:rFonts w:ascii="宋体" w:hAnsi="宋体" w:eastAsia="宋体"/>
                <w:szCs w:val="21"/>
              </w:rPr>
            </w:pPr>
          </w:p>
        </w:tc>
        <w:tc>
          <w:tcPr>
            <w:tcW w:w="1122" w:type="dxa"/>
            <w:vMerge w:val="continue"/>
            <w:noWrap w:val="0"/>
            <w:vAlign w:val="center"/>
          </w:tcPr>
          <w:p w14:paraId="6306A387">
            <w:pPr>
              <w:rPr>
                <w:rFonts w:ascii="宋体" w:hAnsi="宋体" w:eastAsia="宋体"/>
                <w:szCs w:val="21"/>
              </w:rPr>
            </w:pPr>
          </w:p>
        </w:tc>
        <w:tc>
          <w:tcPr>
            <w:tcW w:w="1974" w:type="dxa"/>
            <w:noWrap w:val="0"/>
            <w:vAlign w:val="center"/>
          </w:tcPr>
          <w:p w14:paraId="6C004A4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szCs w:val="21"/>
                <w:lang w:eastAsia="zh-CN"/>
              </w:rPr>
            </w:pPr>
            <w:r>
              <w:rPr>
                <w:rFonts w:hint="eastAsia" w:eastAsia="宋体" w:cs="Times New Roman"/>
                <w:color w:val="000000"/>
                <w:lang w:val="en-US" w:eastAsia="zh-CN"/>
              </w:rPr>
              <w:t>Offre unique</w:t>
            </w:r>
          </w:p>
        </w:tc>
        <w:tc>
          <w:tcPr>
            <w:tcW w:w="5533" w:type="dxa"/>
            <w:noWrap w:val="0"/>
            <w:vAlign w:val="center"/>
          </w:tcPr>
          <w:p w14:paraId="2AC002AD">
            <w:pPr>
              <w:keepNext w:val="0"/>
              <w:keepLines w:val="0"/>
              <w:pageBreakBefore w:val="0"/>
              <w:kinsoku/>
              <w:wordWrap/>
              <w:overflowPunct/>
              <w:topLinePunct w:val="0"/>
              <w:autoSpaceDE/>
              <w:autoSpaceDN/>
              <w:bidi w:val="0"/>
              <w:adjustRightInd/>
              <w:snapToGrid/>
              <w:spacing w:line="240" w:lineRule="exact"/>
              <w:rPr>
                <w:rFonts w:ascii="宋体" w:hAnsi="宋体" w:eastAsia="宋体"/>
                <w:szCs w:val="21"/>
              </w:rPr>
            </w:pPr>
            <w:r>
              <w:rPr>
                <w:rFonts w:hint="eastAsia" w:eastAsia="宋体" w:cs="Times New Roman"/>
                <w:color w:val="000000"/>
                <w:lang w:val="en-US" w:eastAsia="zh-CN"/>
              </w:rPr>
              <w:t>Seule une offre est autorisée.</w:t>
            </w:r>
          </w:p>
        </w:tc>
      </w:tr>
      <w:tr w14:paraId="0FC61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1D098D62">
            <w:pPr>
              <w:jc w:val="center"/>
              <w:rPr>
                <w:rFonts w:hint="eastAsia" w:ascii="宋体" w:hAnsi="宋体" w:eastAsia="宋体"/>
                <w:szCs w:val="21"/>
                <w:lang w:val="en-US" w:eastAsia="zh-CN"/>
              </w:rPr>
            </w:pPr>
            <w:r>
              <w:rPr>
                <w:rFonts w:hint="eastAsia" w:ascii="宋体" w:hAnsi="宋体" w:eastAsia="宋体"/>
                <w:szCs w:val="21"/>
                <w:lang w:val="en-US" w:eastAsia="zh-CN"/>
              </w:rPr>
              <w:t>1.1.2</w:t>
            </w:r>
          </w:p>
        </w:tc>
        <w:tc>
          <w:tcPr>
            <w:tcW w:w="1122" w:type="dxa"/>
            <w:vMerge w:val="restart"/>
            <w:noWrap w:val="0"/>
            <w:vAlign w:val="center"/>
          </w:tcPr>
          <w:p w14:paraId="17954805">
            <w:pPr>
              <w:jc w:val="left"/>
              <w:rPr>
                <w:rFonts w:ascii="宋体" w:hAnsi="宋体" w:eastAsia="宋体"/>
                <w:szCs w:val="21"/>
              </w:rPr>
            </w:pPr>
            <w:r>
              <w:rPr>
                <w:rFonts w:ascii="Segoe UI" w:hAnsi="Segoe UI" w:eastAsia="Segoe UI" w:cs="Segoe UI"/>
                <w:i w:val="0"/>
                <w:iCs w:val="0"/>
                <w:caps w:val="0"/>
                <w:color w:val="374151"/>
                <w:spacing w:val="0"/>
                <w:sz w:val="19"/>
                <w:szCs w:val="19"/>
              </w:rPr>
              <w:t>E</w:t>
            </w:r>
            <w:r>
              <w:rPr>
                <w:rFonts w:hint="eastAsia" w:eastAsia="宋体" w:cs="Times New Roman"/>
                <w:color w:val="000000"/>
                <w:lang w:val="en-US" w:eastAsia="zh-CN"/>
              </w:rPr>
              <w:t>xamen de la collusion des soumissions</w:t>
            </w:r>
          </w:p>
        </w:tc>
        <w:tc>
          <w:tcPr>
            <w:tcW w:w="1974" w:type="dxa"/>
            <w:noWrap w:val="0"/>
            <w:vAlign w:val="center"/>
          </w:tcPr>
          <w:p w14:paraId="7A90D393">
            <w:pPr>
              <w:keepNext w:val="0"/>
              <w:keepLines w:val="0"/>
              <w:pageBreakBefore w:val="0"/>
              <w:kinsoku/>
              <w:wordWrap/>
              <w:overflowPunct/>
              <w:topLinePunct w:val="0"/>
              <w:autoSpaceDE/>
              <w:autoSpaceDN/>
              <w:bidi w:val="0"/>
              <w:adjustRightInd/>
              <w:snapToGrid/>
              <w:spacing w:line="240" w:lineRule="exact"/>
              <w:jc w:val="left"/>
              <w:rPr>
                <w:rFonts w:hint="eastAsia" w:eastAsia="宋体" w:cs="Times New Roman"/>
                <w:color w:val="000000"/>
                <w:lang w:val="en-US" w:eastAsia="zh-CN"/>
              </w:rPr>
            </w:pPr>
            <w:r>
              <w:rPr>
                <w:rFonts w:hint="eastAsia" w:eastAsia="宋体" w:cs="Times New Roman"/>
                <w:color w:val="000000"/>
                <w:lang w:val="en-US" w:eastAsia="zh-CN"/>
              </w:rPr>
              <w:t xml:space="preserve">Est-ce que les documents de réponse provenant de différents répondants sont élaborés par la même entité ou personne </w:t>
            </w:r>
          </w:p>
        </w:tc>
        <w:tc>
          <w:tcPr>
            <w:tcW w:w="5533" w:type="dxa"/>
            <w:noWrap w:val="0"/>
            <w:vAlign w:val="center"/>
          </w:tcPr>
          <w:p w14:paraId="4B7CF9B5">
            <w:pPr>
              <w:keepNext w:val="0"/>
              <w:keepLines w:val="0"/>
              <w:pageBreakBefore w:val="0"/>
              <w:kinsoku/>
              <w:wordWrap/>
              <w:overflowPunct/>
              <w:topLinePunct w:val="0"/>
              <w:autoSpaceDE/>
              <w:autoSpaceDN/>
              <w:bidi w:val="0"/>
              <w:adjustRightInd/>
              <w:snapToGrid/>
              <w:spacing w:line="240" w:lineRule="exact"/>
              <w:jc w:val="left"/>
              <w:rPr>
                <w:rFonts w:hint="eastAsia" w:eastAsia="宋体" w:cs="Times New Roman"/>
                <w:color w:val="000000"/>
                <w:lang w:val="en-US" w:eastAsia="zh-CN"/>
              </w:rPr>
            </w:pPr>
            <w:r>
              <w:rPr>
                <w:rFonts w:hint="eastAsia" w:eastAsia="宋体" w:cs="Times New Roman"/>
                <w:color w:val="000000"/>
                <w:lang w:val="en-US" w:eastAsia="zh-CN"/>
              </w:rPr>
              <w:t>La commission d'évaluation examine si l'auteur de la version électronique des documents de réponse est une personne spécifique, à l'exception des noms génériques attribués automatiquement par la machine.</w:t>
            </w:r>
          </w:p>
        </w:tc>
      </w:tr>
      <w:tr w14:paraId="4BD713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31F52E78">
            <w:pPr>
              <w:rPr>
                <w:rFonts w:ascii="宋体" w:hAnsi="宋体" w:eastAsia="宋体"/>
                <w:szCs w:val="21"/>
              </w:rPr>
            </w:pPr>
          </w:p>
        </w:tc>
        <w:tc>
          <w:tcPr>
            <w:tcW w:w="1122" w:type="dxa"/>
            <w:vMerge w:val="continue"/>
            <w:noWrap w:val="0"/>
            <w:vAlign w:val="center"/>
          </w:tcPr>
          <w:p w14:paraId="1E2CE6B2">
            <w:pPr>
              <w:rPr>
                <w:rFonts w:ascii="宋体" w:hAnsi="宋体" w:eastAsia="宋体"/>
                <w:szCs w:val="21"/>
              </w:rPr>
            </w:pPr>
          </w:p>
        </w:tc>
        <w:tc>
          <w:tcPr>
            <w:tcW w:w="1974" w:type="dxa"/>
            <w:noWrap w:val="0"/>
            <w:vAlign w:val="center"/>
          </w:tcPr>
          <w:p w14:paraId="1377A734">
            <w:pPr>
              <w:jc w:val="center"/>
              <w:rPr>
                <w:rFonts w:ascii="宋体" w:hAnsi="宋体" w:eastAsia="宋体"/>
                <w:szCs w:val="21"/>
              </w:rPr>
            </w:pPr>
            <w:r>
              <w:rPr>
                <w:rFonts w:hint="eastAsia" w:eastAsia="宋体" w:cs="Times New Roman"/>
                <w:color w:val="000000"/>
                <w:lang w:val="en-US" w:eastAsia="zh-CN"/>
              </w:rPr>
              <w:t>Différents répondants ayant mandaté la même entité ou personne pour traiter les affaires de réponse.</w:t>
            </w:r>
          </w:p>
        </w:tc>
        <w:tc>
          <w:tcPr>
            <w:tcW w:w="5533" w:type="dxa"/>
            <w:noWrap w:val="0"/>
            <w:vAlign w:val="center"/>
          </w:tcPr>
          <w:p w14:paraId="093FA812">
            <w:pPr>
              <w:jc w:val="both"/>
            </w:pPr>
            <w:r>
              <w:rPr>
                <w:rFonts w:hint="eastAsia" w:eastAsia="宋体" w:cs="Times New Roman"/>
                <w:color w:val="000000"/>
                <w:lang w:val="en-US" w:eastAsia="zh-CN"/>
              </w:rPr>
              <w:t>Le gestionnaire du projet de passation de marchés vérifiera en ligne si la personne de contact pour l'achat des documents de réponse auprès des différents répondants est la même, si le numéro de téléphone de contact est le même et si l'adresse électronique est la même. si l'adresse IP pour le téléchargement des documents de réponse avec d'autres soumissionnaires est la même.</w:t>
            </w:r>
          </w:p>
        </w:tc>
      </w:tr>
      <w:tr w14:paraId="4F3000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1FA1B4B">
            <w:pPr>
              <w:rPr>
                <w:rFonts w:ascii="宋体" w:hAnsi="宋体" w:eastAsia="宋体"/>
                <w:szCs w:val="21"/>
              </w:rPr>
            </w:pPr>
          </w:p>
        </w:tc>
        <w:tc>
          <w:tcPr>
            <w:tcW w:w="1122" w:type="dxa"/>
            <w:vMerge w:val="continue"/>
            <w:noWrap w:val="0"/>
            <w:vAlign w:val="center"/>
          </w:tcPr>
          <w:p w14:paraId="2CDC5FAB">
            <w:pPr>
              <w:rPr>
                <w:rFonts w:ascii="宋体" w:hAnsi="宋体" w:eastAsia="宋体"/>
                <w:szCs w:val="21"/>
              </w:rPr>
            </w:pPr>
          </w:p>
        </w:tc>
        <w:tc>
          <w:tcPr>
            <w:tcW w:w="1974" w:type="dxa"/>
            <w:noWrap w:val="0"/>
            <w:vAlign w:val="center"/>
          </w:tcPr>
          <w:p w14:paraId="41B9F58A">
            <w:pPr>
              <w:jc w:val="both"/>
              <w:rPr>
                <w:rFonts w:hint="eastAsia" w:eastAsia="宋体" w:cs="Times New Roman"/>
                <w:color w:val="000000"/>
                <w:lang w:val="en-US" w:eastAsia="zh-CN"/>
              </w:rPr>
            </w:pPr>
            <w:r>
              <w:rPr>
                <w:rFonts w:hint="eastAsia" w:eastAsia="宋体" w:cs="Times New Roman"/>
                <w:color w:val="000000"/>
                <w:lang w:val="en-US" w:eastAsia="zh-CN"/>
              </w:rPr>
              <w:t>Les différents répondants ont le même gestionnaire de projet, comme indiqué dans leurs documents de réponse.</w:t>
            </w:r>
          </w:p>
        </w:tc>
        <w:tc>
          <w:tcPr>
            <w:tcW w:w="5533" w:type="dxa"/>
            <w:noWrap w:val="0"/>
            <w:vAlign w:val="center"/>
          </w:tcPr>
          <w:p w14:paraId="4B71A442">
            <w:pPr>
              <w:jc w:val="both"/>
              <w:rPr>
                <w:rFonts w:hint="eastAsia" w:eastAsia="宋体" w:cs="Times New Roman"/>
                <w:color w:val="000000"/>
                <w:lang w:val="en-US" w:eastAsia="zh-CN"/>
              </w:rPr>
            </w:pPr>
            <w:r>
              <w:rPr>
                <w:rFonts w:hint="eastAsia" w:eastAsia="宋体" w:cs="Times New Roman"/>
                <w:color w:val="000000"/>
                <w:lang w:val="en-US" w:eastAsia="zh-CN"/>
              </w:rPr>
              <w:t>Vérifier si l'un des responsables de l'organisation du projet appartient à la même personne.</w:t>
            </w:r>
          </w:p>
        </w:tc>
      </w:tr>
      <w:tr w14:paraId="2585E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476E3A8B">
            <w:pPr>
              <w:rPr>
                <w:rFonts w:ascii="宋体" w:hAnsi="宋体" w:eastAsia="宋体"/>
                <w:szCs w:val="21"/>
              </w:rPr>
            </w:pPr>
          </w:p>
        </w:tc>
        <w:tc>
          <w:tcPr>
            <w:tcW w:w="1122" w:type="dxa"/>
            <w:vMerge w:val="continue"/>
            <w:noWrap w:val="0"/>
            <w:vAlign w:val="center"/>
          </w:tcPr>
          <w:p w14:paraId="55F3D9FF">
            <w:pPr>
              <w:rPr>
                <w:rFonts w:ascii="宋体" w:hAnsi="宋体" w:eastAsia="宋体"/>
                <w:szCs w:val="21"/>
              </w:rPr>
            </w:pPr>
          </w:p>
        </w:tc>
        <w:tc>
          <w:tcPr>
            <w:tcW w:w="1974" w:type="dxa"/>
            <w:noWrap w:val="0"/>
            <w:vAlign w:val="center"/>
          </w:tcPr>
          <w:p w14:paraId="614B52FC">
            <w:pPr>
              <w:jc w:val="both"/>
              <w:rPr>
                <w:rFonts w:hint="eastAsia" w:eastAsia="宋体" w:cs="Times New Roman"/>
                <w:color w:val="000000"/>
                <w:lang w:val="en-US" w:eastAsia="zh-CN"/>
              </w:rPr>
            </w:pPr>
            <w:r>
              <w:rPr>
                <w:rFonts w:hint="eastAsia" w:eastAsia="宋体" w:cs="Times New Roman"/>
                <w:color w:val="000000"/>
                <w:lang w:val="en-US" w:eastAsia="zh-CN"/>
              </w:rPr>
              <w:t>Les documents de réponse des différents répondants sont inhabituellement cohérents ou les citations de réponse sont régulièrement différentes.</w:t>
            </w:r>
          </w:p>
        </w:tc>
        <w:tc>
          <w:tcPr>
            <w:tcW w:w="5533" w:type="dxa"/>
            <w:noWrap w:val="0"/>
            <w:vAlign w:val="center"/>
          </w:tcPr>
          <w:p w14:paraId="6A9DA80B">
            <w:pPr>
              <w:jc w:val="both"/>
              <w:rPr>
                <w:rFonts w:hint="eastAsia" w:eastAsia="宋体" w:cs="Times New Roman"/>
                <w:color w:val="000000"/>
                <w:lang w:val="en-US" w:eastAsia="zh-CN"/>
              </w:rPr>
            </w:pPr>
            <w:r>
              <w:rPr>
                <w:rFonts w:hint="eastAsia" w:eastAsia="宋体" w:cs="Times New Roman"/>
                <w:color w:val="000000"/>
                <w:lang w:val="en-US" w:eastAsia="zh-CN"/>
              </w:rPr>
              <w:t>La cohérence des documents techniques, commerciaux et de cotation de chaque répondant est examinée pour vérifier la régularité du texte, de la ponctuation et de la numérotation des pages, ainsi que la régularité des erreurs.</w:t>
            </w:r>
          </w:p>
        </w:tc>
      </w:tr>
      <w:tr w14:paraId="45B379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F4313EB">
            <w:pPr>
              <w:rPr>
                <w:rFonts w:ascii="宋体" w:hAnsi="宋体" w:eastAsia="宋体"/>
                <w:szCs w:val="21"/>
              </w:rPr>
            </w:pPr>
          </w:p>
        </w:tc>
        <w:tc>
          <w:tcPr>
            <w:tcW w:w="1122" w:type="dxa"/>
            <w:vMerge w:val="continue"/>
            <w:noWrap w:val="0"/>
            <w:vAlign w:val="center"/>
          </w:tcPr>
          <w:p w14:paraId="36184A38">
            <w:pPr>
              <w:rPr>
                <w:rFonts w:ascii="宋体" w:hAnsi="宋体" w:eastAsia="宋体"/>
                <w:szCs w:val="21"/>
              </w:rPr>
            </w:pPr>
          </w:p>
        </w:tc>
        <w:tc>
          <w:tcPr>
            <w:tcW w:w="1974" w:type="dxa"/>
            <w:noWrap w:val="0"/>
            <w:vAlign w:val="center"/>
          </w:tcPr>
          <w:p w14:paraId="2CBCFA3D">
            <w:pPr>
              <w:jc w:val="both"/>
              <w:rPr>
                <w:rFonts w:hint="eastAsia" w:eastAsia="宋体" w:cs="Times New Roman"/>
                <w:color w:val="000000"/>
                <w:lang w:val="en-US" w:eastAsia="zh-CN"/>
              </w:rPr>
            </w:pPr>
            <w:r>
              <w:rPr>
                <w:rFonts w:hint="eastAsia" w:eastAsia="宋体" w:cs="Times New Roman"/>
                <w:color w:val="000000"/>
                <w:lang w:val="en-US" w:eastAsia="zh-CN"/>
              </w:rPr>
              <w:t>Mélange de documents de réponse provenant de différents répondants</w:t>
            </w:r>
          </w:p>
        </w:tc>
        <w:tc>
          <w:tcPr>
            <w:tcW w:w="5533" w:type="dxa"/>
            <w:noWrap w:val="0"/>
            <w:vAlign w:val="center"/>
          </w:tcPr>
          <w:p w14:paraId="1495A06D">
            <w:pPr>
              <w:jc w:val="both"/>
              <w:rPr>
                <w:rFonts w:hint="eastAsia" w:eastAsia="宋体" w:cs="Times New Roman"/>
                <w:color w:val="000000"/>
                <w:lang w:val="en-US" w:eastAsia="zh-CN"/>
              </w:rPr>
            </w:pPr>
            <w:r>
              <w:rPr>
                <w:rFonts w:hint="eastAsia" w:eastAsia="宋体" w:cs="Times New Roman"/>
                <w:color w:val="000000"/>
                <w:lang w:val="en-US" w:eastAsia="zh-CN"/>
              </w:rPr>
              <w:t>Demander si la version électronique téléchargée du document de réponse est mixte ou non</w:t>
            </w:r>
          </w:p>
        </w:tc>
      </w:tr>
      <w:tr w14:paraId="128DF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04C6D0F">
            <w:pPr>
              <w:rPr>
                <w:rFonts w:ascii="宋体" w:hAnsi="宋体" w:eastAsia="宋体"/>
                <w:szCs w:val="21"/>
              </w:rPr>
            </w:pPr>
          </w:p>
        </w:tc>
        <w:tc>
          <w:tcPr>
            <w:tcW w:w="1122" w:type="dxa"/>
            <w:vMerge w:val="continue"/>
            <w:noWrap w:val="0"/>
            <w:vAlign w:val="center"/>
          </w:tcPr>
          <w:p w14:paraId="59683449">
            <w:pPr>
              <w:rPr>
                <w:rFonts w:ascii="宋体" w:hAnsi="宋体" w:eastAsia="宋体"/>
                <w:szCs w:val="21"/>
              </w:rPr>
            </w:pPr>
          </w:p>
        </w:tc>
        <w:tc>
          <w:tcPr>
            <w:tcW w:w="1974" w:type="dxa"/>
            <w:noWrap w:val="0"/>
            <w:vAlign w:val="center"/>
          </w:tcPr>
          <w:p w14:paraId="60C51722">
            <w:pPr>
              <w:jc w:val="both"/>
              <w:rPr>
                <w:rFonts w:hint="eastAsia" w:eastAsia="宋体" w:cs="Times New Roman"/>
                <w:color w:val="000000"/>
                <w:lang w:val="en-US" w:eastAsia="zh-CN"/>
              </w:rPr>
            </w:pPr>
            <w:r>
              <w:rPr>
                <w:rFonts w:hint="eastAsia" w:eastAsia="宋体" w:cs="Times New Roman"/>
                <w:color w:val="000000"/>
                <w:lang w:val="en-US" w:eastAsia="zh-CN"/>
              </w:rPr>
              <w:t>Conditions d'évaluation des réponses collusoires et autres infractions</w:t>
            </w:r>
          </w:p>
        </w:tc>
        <w:tc>
          <w:tcPr>
            <w:tcW w:w="5533" w:type="dxa"/>
            <w:noWrap w:val="0"/>
            <w:vAlign w:val="center"/>
          </w:tcPr>
          <w:p w14:paraId="4FE58AD9">
            <w:pPr>
              <w:jc w:val="both"/>
              <w:rPr>
                <w:rFonts w:hint="eastAsia" w:eastAsia="宋体" w:cs="Times New Roman"/>
                <w:color w:val="000000"/>
                <w:lang w:val="en-US" w:eastAsia="zh-CN"/>
              </w:rPr>
            </w:pPr>
            <w:r>
              <w:rPr>
                <w:rFonts w:hint="eastAsia" w:eastAsia="宋体" w:cs="Times New Roman"/>
                <w:color w:val="000000"/>
                <w:lang w:val="en-US" w:eastAsia="zh-CN"/>
              </w:rPr>
              <w:t>Outre les dispositions de la loi sur les appels d'offres et les adjudications de l'État et les règlements d'application de la loi sur les appels d'offres et les adjudications, les documents de réponse de différents soumissionnaires seront considérés comme des offres collusoires si les circonstances suivantes se produisent :</w:t>
            </w:r>
          </w:p>
          <w:p w14:paraId="279153B0">
            <w:pPr>
              <w:jc w:val="both"/>
              <w:rPr>
                <w:rFonts w:hint="eastAsia" w:eastAsia="宋体" w:cs="Times New Roman"/>
                <w:color w:val="000000"/>
                <w:lang w:val="en-US" w:eastAsia="zh-CN"/>
              </w:rPr>
            </w:pPr>
            <w:r>
              <w:rPr>
                <w:rFonts w:hint="eastAsia" w:eastAsia="宋体" w:cs="Times New Roman"/>
                <w:color w:val="000000"/>
                <w:lang w:val="en-US" w:eastAsia="zh-CN"/>
              </w:rPr>
              <w:t>1. différents soumissionnaires utilisent la même adresse IP pour télécharger les documents de réponse</w:t>
            </w:r>
          </w:p>
          <w:p w14:paraId="5D1EFC23">
            <w:pPr>
              <w:jc w:val="both"/>
              <w:rPr>
                <w:rFonts w:hint="eastAsia" w:eastAsia="宋体" w:cs="Times New Roman"/>
                <w:color w:val="000000"/>
                <w:lang w:val="en-US" w:eastAsia="zh-CN"/>
              </w:rPr>
            </w:pPr>
            <w:r>
              <w:rPr>
                <w:rFonts w:hint="eastAsia" w:eastAsia="宋体" w:cs="Times New Roman"/>
                <w:color w:val="000000"/>
                <w:lang w:val="en-US" w:eastAsia="zh-CN"/>
              </w:rPr>
              <w:t>2. différents soumissionnaires achètent des documents de réponse avec le même nom ou les mêmes coordonnées.</w:t>
            </w:r>
          </w:p>
        </w:tc>
      </w:tr>
      <w:tr w14:paraId="38F7CD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18E0F6FB">
            <w:pPr>
              <w:rPr>
                <w:rFonts w:ascii="宋体" w:hAnsi="宋体" w:eastAsia="宋体"/>
                <w:szCs w:val="21"/>
              </w:rPr>
            </w:pPr>
          </w:p>
        </w:tc>
        <w:tc>
          <w:tcPr>
            <w:tcW w:w="1122" w:type="dxa"/>
            <w:vMerge w:val="continue"/>
            <w:noWrap w:val="0"/>
            <w:vAlign w:val="center"/>
          </w:tcPr>
          <w:p w14:paraId="1FF31406">
            <w:pPr>
              <w:rPr>
                <w:rFonts w:ascii="宋体" w:hAnsi="宋体" w:eastAsia="宋体"/>
                <w:szCs w:val="21"/>
              </w:rPr>
            </w:pPr>
          </w:p>
        </w:tc>
        <w:tc>
          <w:tcPr>
            <w:tcW w:w="1974" w:type="dxa"/>
            <w:noWrap w:val="0"/>
            <w:vAlign w:val="center"/>
          </w:tcPr>
          <w:p w14:paraId="4F0D86E9">
            <w:pPr>
              <w:jc w:val="both"/>
              <w:rPr>
                <w:rFonts w:hint="eastAsia" w:eastAsia="宋体" w:cs="Times New Roman"/>
                <w:color w:val="000000"/>
                <w:lang w:val="en-US" w:eastAsia="zh-CN"/>
              </w:rPr>
            </w:pPr>
            <w:r>
              <w:rPr>
                <w:rFonts w:hint="eastAsia" w:eastAsia="宋体" w:cs="Times New Roman"/>
                <w:color w:val="000000"/>
                <w:lang w:val="en-US" w:eastAsia="zh-CN"/>
              </w:rPr>
              <w:t>Conditions de réponse non valides</w:t>
            </w:r>
          </w:p>
        </w:tc>
        <w:tc>
          <w:tcPr>
            <w:tcW w:w="5533" w:type="dxa"/>
            <w:noWrap w:val="0"/>
            <w:vAlign w:val="center"/>
          </w:tcPr>
          <w:p w14:paraId="590772DF">
            <w:pPr>
              <w:jc w:val="both"/>
              <w:rPr>
                <w:rFonts w:hint="eastAsia" w:eastAsia="宋体" w:cs="Times New Roman"/>
                <w:color w:val="000000"/>
                <w:lang w:val="en-US" w:eastAsia="zh-CN"/>
              </w:rPr>
            </w:pPr>
            <w:r>
              <w:rPr>
                <w:rFonts w:hint="eastAsia" w:eastAsia="宋体" w:cs="Times New Roman"/>
                <w:color w:val="000000"/>
                <w:lang w:val="en-US" w:eastAsia="zh-CN"/>
              </w:rPr>
              <w:t>Outre les dispositions de la loi sur les appels d'offres et des règlements d'application de la loi sur les appels d'offres, les documents de réponse de différents soumissionnaires seront considérés comme des offres non valables dans les cas suivants :</w:t>
            </w:r>
          </w:p>
          <w:p w14:paraId="1F535737">
            <w:pPr>
              <w:jc w:val="both"/>
              <w:rPr>
                <w:rFonts w:hint="eastAsia" w:eastAsia="宋体" w:cs="Times New Roman"/>
                <w:color w:val="000000"/>
                <w:lang w:val="en-US" w:eastAsia="zh-CN"/>
              </w:rPr>
            </w:pPr>
            <w:r>
              <w:rPr>
                <w:rFonts w:hint="eastAsia" w:eastAsia="宋体" w:cs="Times New Roman"/>
                <w:color w:val="000000"/>
                <w:lang w:val="en-US" w:eastAsia="zh-CN"/>
              </w:rPr>
              <w:t>Le responsable de l'unité est la même personne ou des unités différentes ayant des relations de contrôle ou de gestion ne peuvent pas participer à la réponse à un même projet ou à la réponse à un même projet de passation de marchés qui n'est pas divisé en sections d'appel d'offres. Le responsable de l'unité est le représentant légal.</w:t>
            </w:r>
          </w:p>
        </w:tc>
      </w:tr>
      <w:tr w14:paraId="1CAA9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3B001A47">
            <w:pPr>
              <w:jc w:val="center"/>
              <w:rPr>
                <w:rFonts w:ascii="宋体" w:hAnsi="宋体" w:eastAsia="宋体"/>
                <w:szCs w:val="21"/>
              </w:rPr>
            </w:pPr>
            <w:r>
              <w:rPr>
                <w:rFonts w:hint="eastAsia" w:ascii="宋体" w:hAnsi="宋体" w:eastAsia="宋体"/>
                <w:szCs w:val="21"/>
                <w:lang w:val="en-US" w:eastAsia="zh-CN"/>
              </w:rPr>
              <w:t>1</w:t>
            </w:r>
            <w:r>
              <w:rPr>
                <w:rFonts w:ascii="宋体" w:hAnsi="宋体" w:eastAsia="宋体"/>
                <w:szCs w:val="21"/>
              </w:rPr>
              <w:t>.1.</w:t>
            </w:r>
            <w:r>
              <w:rPr>
                <w:rFonts w:hint="eastAsia" w:ascii="宋体" w:hAnsi="宋体" w:eastAsia="宋体"/>
                <w:szCs w:val="21"/>
                <w:lang w:val="en-US" w:eastAsia="zh-CN"/>
              </w:rPr>
              <w:t>3</w:t>
            </w:r>
          </w:p>
        </w:tc>
        <w:tc>
          <w:tcPr>
            <w:tcW w:w="1122" w:type="dxa"/>
            <w:vMerge w:val="restart"/>
            <w:noWrap w:val="0"/>
            <w:vAlign w:val="center"/>
          </w:tcPr>
          <w:p w14:paraId="3EB985DA">
            <w:pPr>
              <w:jc w:val="both"/>
              <w:rPr>
                <w:rFonts w:hint="eastAsia" w:eastAsia="宋体" w:cs="Times New Roman"/>
                <w:color w:val="000000"/>
                <w:lang w:val="en-US" w:eastAsia="zh-CN"/>
              </w:rPr>
            </w:pPr>
            <w:r>
              <w:rPr>
                <w:rFonts w:hint="eastAsia" w:eastAsia="宋体" w:cs="Times New Roman"/>
                <w:color w:val="000000"/>
                <w:lang w:val="en-US" w:eastAsia="zh-CN"/>
              </w:rPr>
              <w:t>Critères d'éligibilité</w:t>
            </w:r>
          </w:p>
        </w:tc>
        <w:tc>
          <w:tcPr>
            <w:tcW w:w="1974" w:type="dxa"/>
            <w:noWrap w:val="0"/>
            <w:vAlign w:val="center"/>
          </w:tcPr>
          <w:p w14:paraId="383AFFD0">
            <w:pPr>
              <w:jc w:val="both"/>
              <w:rPr>
                <w:rFonts w:hint="eastAsia" w:eastAsia="宋体" w:cs="Times New Roman"/>
                <w:color w:val="000000"/>
                <w:lang w:val="en-US" w:eastAsia="zh-CN"/>
              </w:rPr>
            </w:pPr>
            <w:r>
              <w:rPr>
                <w:rFonts w:hint="eastAsia" w:eastAsia="宋体" w:cs="Times New Roman"/>
                <w:color w:val="000000"/>
                <w:lang w:val="en-US" w:eastAsia="zh-CN"/>
              </w:rPr>
              <w:t>licence d'exploitation</w:t>
            </w:r>
          </w:p>
        </w:tc>
        <w:tc>
          <w:tcPr>
            <w:tcW w:w="5533" w:type="dxa"/>
            <w:noWrap w:val="0"/>
            <w:vAlign w:val="center"/>
          </w:tcPr>
          <w:p w14:paraId="4FFF9DD6">
            <w:pPr>
              <w:jc w:val="both"/>
              <w:rPr>
                <w:rFonts w:hint="eastAsia" w:eastAsia="宋体" w:cs="Times New Roman"/>
                <w:color w:val="000000"/>
                <w:lang w:val="en-US" w:eastAsia="zh-CN"/>
              </w:rPr>
            </w:pPr>
            <w:r>
              <w:rPr>
                <w:rFonts w:hint="eastAsia" w:eastAsia="宋体" w:cs="Times New Roman"/>
                <w:color w:val="000000"/>
                <w:lang w:val="en-US" w:eastAsia="zh-CN"/>
              </w:rPr>
              <w:t>Disposer d'une licence d'exploitation en cours de validité</w:t>
            </w:r>
          </w:p>
        </w:tc>
      </w:tr>
      <w:tr w14:paraId="1BC71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68793C10">
            <w:pPr>
              <w:rPr>
                <w:rFonts w:ascii="宋体" w:hAnsi="宋体" w:eastAsia="宋体"/>
                <w:szCs w:val="21"/>
              </w:rPr>
            </w:pPr>
          </w:p>
        </w:tc>
        <w:tc>
          <w:tcPr>
            <w:tcW w:w="1122" w:type="dxa"/>
            <w:vMerge w:val="continue"/>
            <w:noWrap w:val="0"/>
            <w:vAlign w:val="center"/>
          </w:tcPr>
          <w:p w14:paraId="21E84972">
            <w:pPr>
              <w:jc w:val="both"/>
              <w:rPr>
                <w:rFonts w:hint="eastAsia" w:eastAsia="宋体" w:cs="Times New Roman"/>
                <w:color w:val="000000"/>
                <w:lang w:val="en-US" w:eastAsia="zh-CN"/>
              </w:rPr>
            </w:pPr>
          </w:p>
        </w:tc>
        <w:tc>
          <w:tcPr>
            <w:tcW w:w="1974" w:type="dxa"/>
            <w:noWrap w:val="0"/>
            <w:vAlign w:val="center"/>
          </w:tcPr>
          <w:p w14:paraId="4C9FB66C">
            <w:pPr>
              <w:jc w:val="both"/>
              <w:rPr>
                <w:rFonts w:hint="eastAsia" w:eastAsia="宋体" w:cs="Times New Roman"/>
                <w:color w:val="000000"/>
                <w:lang w:val="en-US" w:eastAsia="zh-CN"/>
              </w:rPr>
            </w:pPr>
            <w:r>
              <w:rPr>
                <w:rFonts w:hint="eastAsia" w:eastAsia="宋体" w:cs="Times New Roman"/>
                <w:color w:val="000000"/>
                <w:lang w:val="en-US" w:eastAsia="zh-CN"/>
              </w:rPr>
              <w:t>Exigences de qualification</w:t>
            </w:r>
          </w:p>
        </w:tc>
        <w:tc>
          <w:tcPr>
            <w:tcW w:w="5533" w:type="dxa"/>
            <w:noWrap w:val="0"/>
            <w:vAlign w:val="center"/>
          </w:tcPr>
          <w:p w14:paraId="3E018A4F">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1.8.</w:t>
            </w:r>
          </w:p>
        </w:tc>
      </w:tr>
      <w:tr w14:paraId="54335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B84053E">
            <w:pPr>
              <w:rPr>
                <w:rFonts w:ascii="宋体" w:hAnsi="宋体" w:eastAsia="宋体"/>
                <w:szCs w:val="21"/>
              </w:rPr>
            </w:pPr>
          </w:p>
        </w:tc>
        <w:tc>
          <w:tcPr>
            <w:tcW w:w="1122" w:type="dxa"/>
            <w:vMerge w:val="continue"/>
            <w:noWrap w:val="0"/>
            <w:vAlign w:val="center"/>
          </w:tcPr>
          <w:p w14:paraId="4DBED1A7">
            <w:pPr>
              <w:jc w:val="both"/>
              <w:rPr>
                <w:rFonts w:hint="eastAsia" w:eastAsia="宋体" w:cs="Times New Roman"/>
                <w:color w:val="000000"/>
                <w:lang w:val="en-US" w:eastAsia="zh-CN"/>
              </w:rPr>
            </w:pPr>
          </w:p>
        </w:tc>
        <w:tc>
          <w:tcPr>
            <w:tcW w:w="1974" w:type="dxa"/>
            <w:noWrap w:val="0"/>
            <w:vAlign w:val="center"/>
          </w:tcPr>
          <w:p w14:paraId="4D120CBB">
            <w:pPr>
              <w:jc w:val="both"/>
              <w:rPr>
                <w:rFonts w:hint="eastAsia" w:eastAsia="宋体" w:cs="Times New Roman"/>
                <w:color w:val="000000"/>
                <w:lang w:val="en-US" w:eastAsia="zh-CN"/>
              </w:rPr>
            </w:pPr>
            <w:r>
              <w:rPr>
                <w:rFonts w:hint="eastAsia" w:eastAsia="宋体" w:cs="Times New Roman"/>
                <w:color w:val="000000"/>
                <w:lang w:val="en-US" w:eastAsia="zh-CN"/>
              </w:rPr>
              <w:t>personne responsable</w:t>
            </w:r>
          </w:p>
        </w:tc>
        <w:tc>
          <w:tcPr>
            <w:tcW w:w="5533" w:type="dxa"/>
            <w:noWrap w:val="0"/>
            <w:vAlign w:val="center"/>
          </w:tcPr>
          <w:p w14:paraId="175AFF0B">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1.8.</w:t>
            </w:r>
          </w:p>
        </w:tc>
      </w:tr>
      <w:tr w14:paraId="1F842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66B64827">
            <w:pPr>
              <w:rPr>
                <w:rFonts w:ascii="宋体" w:hAnsi="宋体" w:eastAsia="宋体"/>
                <w:szCs w:val="21"/>
              </w:rPr>
            </w:pPr>
          </w:p>
        </w:tc>
        <w:tc>
          <w:tcPr>
            <w:tcW w:w="1122" w:type="dxa"/>
            <w:vMerge w:val="continue"/>
            <w:noWrap w:val="0"/>
            <w:vAlign w:val="center"/>
          </w:tcPr>
          <w:p w14:paraId="48B3C71B">
            <w:pPr>
              <w:jc w:val="both"/>
              <w:rPr>
                <w:rFonts w:hint="eastAsia" w:eastAsia="宋体" w:cs="Times New Roman"/>
                <w:color w:val="000000"/>
                <w:lang w:val="en-US" w:eastAsia="zh-CN"/>
              </w:rPr>
            </w:pPr>
          </w:p>
        </w:tc>
        <w:tc>
          <w:tcPr>
            <w:tcW w:w="1974" w:type="dxa"/>
            <w:noWrap w:val="0"/>
            <w:vAlign w:val="center"/>
          </w:tcPr>
          <w:p w14:paraId="181944A4">
            <w:pPr>
              <w:jc w:val="both"/>
              <w:rPr>
                <w:rFonts w:hint="eastAsia" w:eastAsia="宋体" w:cs="Times New Roman"/>
                <w:color w:val="000000"/>
                <w:lang w:val="en-US" w:eastAsia="zh-CN"/>
              </w:rPr>
            </w:pPr>
            <w:r>
              <w:rPr>
                <w:rFonts w:hint="eastAsia" w:eastAsia="宋体" w:cs="Times New Roman"/>
                <w:color w:val="000000"/>
                <w:lang w:val="en-US" w:eastAsia="zh-CN"/>
              </w:rPr>
              <w:t>Exigences de performance</w:t>
            </w:r>
          </w:p>
        </w:tc>
        <w:tc>
          <w:tcPr>
            <w:tcW w:w="5533" w:type="dxa"/>
            <w:noWrap w:val="0"/>
            <w:vAlign w:val="center"/>
          </w:tcPr>
          <w:p w14:paraId="1F12C7E9">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1.8.</w:t>
            </w:r>
          </w:p>
        </w:tc>
      </w:tr>
      <w:tr w14:paraId="5DDE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80A8264">
            <w:pPr>
              <w:rPr>
                <w:rFonts w:ascii="宋体" w:hAnsi="宋体" w:eastAsia="宋体"/>
                <w:szCs w:val="21"/>
              </w:rPr>
            </w:pPr>
          </w:p>
        </w:tc>
        <w:tc>
          <w:tcPr>
            <w:tcW w:w="1122" w:type="dxa"/>
            <w:vMerge w:val="continue"/>
            <w:noWrap w:val="0"/>
            <w:vAlign w:val="center"/>
          </w:tcPr>
          <w:p w14:paraId="068E6F59">
            <w:pPr>
              <w:jc w:val="both"/>
              <w:rPr>
                <w:rFonts w:hint="eastAsia" w:eastAsia="宋体" w:cs="Times New Roman"/>
                <w:color w:val="000000"/>
                <w:lang w:val="en-US" w:eastAsia="zh-CN"/>
              </w:rPr>
            </w:pPr>
          </w:p>
        </w:tc>
        <w:tc>
          <w:tcPr>
            <w:tcW w:w="1974" w:type="dxa"/>
            <w:noWrap w:val="0"/>
            <w:vAlign w:val="center"/>
          </w:tcPr>
          <w:p w14:paraId="1F381C86">
            <w:pPr>
              <w:jc w:val="both"/>
              <w:rPr>
                <w:rFonts w:hint="eastAsia" w:eastAsia="宋体" w:cs="Times New Roman"/>
                <w:color w:val="000000"/>
                <w:lang w:val="en-US" w:eastAsia="zh-CN"/>
              </w:rPr>
            </w:pPr>
            <w:r>
              <w:rPr>
                <w:rFonts w:hint="eastAsia" w:eastAsia="宋体" w:cs="Times New Roman"/>
                <w:color w:val="000000"/>
                <w:lang w:val="en-US" w:eastAsia="zh-CN"/>
              </w:rPr>
              <w:t>Exigences en matière de réputation</w:t>
            </w:r>
          </w:p>
        </w:tc>
        <w:tc>
          <w:tcPr>
            <w:tcW w:w="5533" w:type="dxa"/>
            <w:noWrap w:val="0"/>
            <w:vAlign w:val="center"/>
          </w:tcPr>
          <w:p w14:paraId="47D277FF">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1.8.</w:t>
            </w:r>
          </w:p>
        </w:tc>
      </w:tr>
      <w:tr w14:paraId="69D03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55CEDB4">
            <w:pPr>
              <w:rPr>
                <w:rFonts w:ascii="宋体" w:hAnsi="宋体" w:eastAsia="宋体"/>
                <w:szCs w:val="21"/>
              </w:rPr>
            </w:pPr>
          </w:p>
        </w:tc>
        <w:tc>
          <w:tcPr>
            <w:tcW w:w="1122" w:type="dxa"/>
            <w:vMerge w:val="continue"/>
            <w:noWrap w:val="0"/>
            <w:vAlign w:val="center"/>
          </w:tcPr>
          <w:p w14:paraId="188759F8">
            <w:pPr>
              <w:jc w:val="both"/>
              <w:rPr>
                <w:rFonts w:hint="eastAsia" w:eastAsia="宋体" w:cs="Times New Roman"/>
                <w:color w:val="000000"/>
                <w:lang w:val="en-US" w:eastAsia="zh-CN"/>
              </w:rPr>
            </w:pPr>
          </w:p>
        </w:tc>
        <w:tc>
          <w:tcPr>
            <w:tcW w:w="1974" w:type="dxa"/>
            <w:noWrap w:val="0"/>
            <w:vAlign w:val="center"/>
          </w:tcPr>
          <w:p w14:paraId="057CA4BB">
            <w:pPr>
              <w:jc w:val="both"/>
              <w:rPr>
                <w:rFonts w:hint="eastAsia" w:eastAsia="宋体" w:cs="Times New Roman"/>
                <w:color w:val="000000"/>
                <w:lang w:val="en-US" w:eastAsia="zh-CN"/>
              </w:rPr>
            </w:pPr>
            <w:r>
              <w:rPr>
                <w:rFonts w:hint="eastAsia" w:eastAsia="宋体" w:cs="Times New Roman"/>
                <w:color w:val="000000"/>
                <w:lang w:val="en-US" w:eastAsia="zh-CN"/>
              </w:rPr>
              <w:t>Autres exigences</w:t>
            </w:r>
          </w:p>
        </w:tc>
        <w:tc>
          <w:tcPr>
            <w:tcW w:w="5533" w:type="dxa"/>
            <w:noWrap w:val="0"/>
            <w:vAlign w:val="center"/>
          </w:tcPr>
          <w:p w14:paraId="279CE510">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1.8.</w:t>
            </w:r>
          </w:p>
        </w:tc>
      </w:tr>
      <w:tr w14:paraId="601D81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314DC4E">
            <w:pPr>
              <w:rPr>
                <w:rFonts w:ascii="宋体" w:hAnsi="宋体" w:eastAsia="宋体"/>
                <w:szCs w:val="21"/>
              </w:rPr>
            </w:pPr>
          </w:p>
        </w:tc>
        <w:tc>
          <w:tcPr>
            <w:tcW w:w="1122" w:type="dxa"/>
            <w:vMerge w:val="continue"/>
            <w:noWrap w:val="0"/>
            <w:vAlign w:val="center"/>
          </w:tcPr>
          <w:p w14:paraId="0EA1E4DC">
            <w:pPr>
              <w:jc w:val="both"/>
              <w:rPr>
                <w:rFonts w:hint="eastAsia" w:eastAsia="宋体" w:cs="Times New Roman"/>
                <w:color w:val="000000"/>
                <w:lang w:val="en-US" w:eastAsia="zh-CN"/>
              </w:rPr>
            </w:pPr>
          </w:p>
        </w:tc>
        <w:tc>
          <w:tcPr>
            <w:tcW w:w="1974" w:type="dxa"/>
            <w:noWrap w:val="0"/>
            <w:vAlign w:val="center"/>
          </w:tcPr>
          <w:p w14:paraId="5B2D762F">
            <w:pPr>
              <w:jc w:val="both"/>
              <w:rPr>
                <w:rFonts w:hint="eastAsia" w:eastAsia="宋体" w:cs="Times New Roman"/>
                <w:color w:val="000000"/>
                <w:lang w:val="en-US" w:eastAsia="zh-CN"/>
              </w:rPr>
            </w:pPr>
            <w:r>
              <w:rPr>
                <w:rFonts w:hint="eastAsia" w:eastAsia="宋体" w:cs="Times New Roman"/>
                <w:color w:val="000000"/>
                <w:lang w:val="en-US" w:eastAsia="zh-CN"/>
              </w:rPr>
              <w:t>Consortium Répondant</w:t>
            </w:r>
          </w:p>
        </w:tc>
        <w:tc>
          <w:tcPr>
            <w:tcW w:w="5533" w:type="dxa"/>
            <w:noWrap w:val="0"/>
            <w:vAlign w:val="center"/>
          </w:tcPr>
          <w:p w14:paraId="01929C63">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1.9.</w:t>
            </w:r>
          </w:p>
        </w:tc>
      </w:tr>
      <w:tr w14:paraId="33D22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79248E6">
            <w:pPr>
              <w:rPr>
                <w:rFonts w:ascii="宋体" w:hAnsi="宋体" w:eastAsia="宋体"/>
                <w:szCs w:val="21"/>
              </w:rPr>
            </w:pPr>
          </w:p>
        </w:tc>
        <w:tc>
          <w:tcPr>
            <w:tcW w:w="1122" w:type="dxa"/>
            <w:vMerge w:val="continue"/>
            <w:noWrap w:val="0"/>
            <w:vAlign w:val="center"/>
          </w:tcPr>
          <w:p w14:paraId="4A625EE7">
            <w:pPr>
              <w:jc w:val="both"/>
              <w:rPr>
                <w:rFonts w:hint="eastAsia" w:eastAsia="宋体" w:cs="Times New Roman"/>
                <w:color w:val="000000"/>
                <w:lang w:val="en-US" w:eastAsia="zh-CN"/>
              </w:rPr>
            </w:pPr>
          </w:p>
        </w:tc>
        <w:tc>
          <w:tcPr>
            <w:tcW w:w="1974" w:type="dxa"/>
            <w:noWrap w:val="0"/>
            <w:vAlign w:val="center"/>
          </w:tcPr>
          <w:p w14:paraId="1BD2ABBF">
            <w:pPr>
              <w:jc w:val="both"/>
              <w:rPr>
                <w:rFonts w:hint="eastAsia" w:eastAsia="宋体" w:cs="Times New Roman"/>
                <w:color w:val="000000"/>
                <w:lang w:val="en-US" w:eastAsia="zh-CN"/>
              </w:rPr>
            </w:pPr>
            <w:r>
              <w:rPr>
                <w:rFonts w:hint="eastAsia" w:eastAsia="宋体" w:cs="Times New Roman"/>
                <w:color w:val="000000"/>
                <w:lang w:val="en-US" w:eastAsia="zh-CN"/>
              </w:rPr>
              <w:t>Circonstances qui ne doivent pas exister pour le défendeur</w:t>
            </w:r>
          </w:p>
        </w:tc>
        <w:tc>
          <w:tcPr>
            <w:tcW w:w="5533" w:type="dxa"/>
            <w:noWrap w:val="0"/>
            <w:vAlign w:val="center"/>
          </w:tcPr>
          <w:p w14:paraId="667063F7">
            <w:pPr>
              <w:jc w:val="both"/>
              <w:rPr>
                <w:rFonts w:hint="eastAsia" w:eastAsia="宋体" w:cs="Times New Roman"/>
                <w:color w:val="000000"/>
                <w:lang w:val="en-US" w:eastAsia="zh-CN"/>
              </w:rPr>
            </w:pPr>
            <w:r>
              <w:rPr>
                <w:rFonts w:hint="eastAsia" w:eastAsia="宋体" w:cs="Times New Roman"/>
                <w:color w:val="000000"/>
                <w:lang w:val="en-US" w:eastAsia="zh-CN"/>
              </w:rPr>
              <w:t>Conformité aux dispositions du document d'appel d'offres</w:t>
            </w:r>
          </w:p>
        </w:tc>
      </w:tr>
      <w:tr w14:paraId="48203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63AEA76C">
            <w:pPr>
              <w:jc w:val="center"/>
              <w:rPr>
                <w:rFonts w:ascii="宋体" w:hAnsi="宋体" w:eastAsia="宋体"/>
                <w:szCs w:val="21"/>
              </w:rPr>
            </w:pPr>
            <w:r>
              <w:rPr>
                <w:rFonts w:hint="eastAsia" w:ascii="宋体" w:hAnsi="宋体" w:eastAsia="宋体"/>
                <w:szCs w:val="21"/>
                <w:lang w:val="en-US" w:eastAsia="zh-CN"/>
              </w:rPr>
              <w:t>1</w:t>
            </w:r>
            <w:r>
              <w:rPr>
                <w:rFonts w:ascii="宋体" w:hAnsi="宋体" w:eastAsia="宋体"/>
                <w:szCs w:val="21"/>
              </w:rPr>
              <w:t>.1.</w:t>
            </w:r>
            <w:r>
              <w:rPr>
                <w:rFonts w:hint="eastAsia" w:ascii="宋体" w:hAnsi="宋体" w:eastAsia="宋体"/>
                <w:szCs w:val="21"/>
                <w:lang w:val="en-US" w:eastAsia="zh-CN"/>
              </w:rPr>
              <w:t>4</w:t>
            </w:r>
          </w:p>
        </w:tc>
        <w:tc>
          <w:tcPr>
            <w:tcW w:w="1122" w:type="dxa"/>
            <w:vMerge w:val="restart"/>
            <w:noWrap w:val="0"/>
            <w:vAlign w:val="center"/>
          </w:tcPr>
          <w:p w14:paraId="76FF916C">
            <w:pPr>
              <w:jc w:val="both"/>
              <w:rPr>
                <w:rFonts w:hint="eastAsia" w:eastAsia="宋体" w:cs="Times New Roman"/>
                <w:color w:val="000000"/>
                <w:lang w:val="en-US" w:eastAsia="zh-CN"/>
              </w:rPr>
            </w:pPr>
            <w:r>
              <w:rPr>
                <w:rFonts w:hint="eastAsia" w:eastAsia="宋体" w:cs="Times New Roman"/>
                <w:color w:val="000000"/>
                <w:lang w:val="en-US" w:eastAsia="zh-CN"/>
              </w:rPr>
              <w:t>Critères d'évaluation de la réactivité</w:t>
            </w:r>
          </w:p>
        </w:tc>
        <w:tc>
          <w:tcPr>
            <w:tcW w:w="1974" w:type="dxa"/>
            <w:noWrap w:val="0"/>
            <w:vAlign w:val="center"/>
          </w:tcPr>
          <w:p w14:paraId="58CCA777">
            <w:pPr>
              <w:jc w:val="both"/>
              <w:rPr>
                <w:rFonts w:hint="eastAsia" w:eastAsia="宋体" w:cs="Times New Roman"/>
                <w:color w:val="000000"/>
                <w:lang w:val="en-US" w:eastAsia="zh-CN"/>
              </w:rPr>
            </w:pPr>
            <w:r>
              <w:rPr>
                <w:rFonts w:hint="eastAsia" w:eastAsia="宋体" w:cs="Times New Roman"/>
                <w:color w:val="000000"/>
                <w:lang w:val="en-US" w:eastAsia="zh-CN"/>
              </w:rPr>
              <w:t>Répondre aux offres</w:t>
            </w:r>
          </w:p>
        </w:tc>
        <w:tc>
          <w:tcPr>
            <w:tcW w:w="5533" w:type="dxa"/>
            <w:noWrap w:val="0"/>
            <w:vAlign w:val="center"/>
          </w:tcPr>
          <w:p w14:paraId="74A92179">
            <w:pPr>
              <w:jc w:val="both"/>
              <w:rPr>
                <w:rFonts w:hint="eastAsia" w:eastAsia="宋体" w:cs="Times New Roman"/>
                <w:color w:val="000000"/>
                <w:lang w:val="en-US" w:eastAsia="zh-CN"/>
              </w:rPr>
            </w:pPr>
            <w:r>
              <w:rPr>
                <w:rFonts w:hint="eastAsia" w:eastAsia="宋体" w:cs="Times New Roman"/>
                <w:color w:val="000000"/>
                <w:lang w:val="en-US" w:eastAsia="zh-CN"/>
              </w:rPr>
              <w:t>Conformité aux dispositions du document d'appel d'offres</w:t>
            </w:r>
          </w:p>
        </w:tc>
      </w:tr>
      <w:tr w14:paraId="7816F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C37DFF0">
            <w:pPr>
              <w:jc w:val="center"/>
              <w:rPr>
                <w:rFonts w:ascii="宋体" w:hAnsi="宋体" w:eastAsia="宋体"/>
                <w:szCs w:val="21"/>
              </w:rPr>
            </w:pPr>
          </w:p>
        </w:tc>
        <w:tc>
          <w:tcPr>
            <w:tcW w:w="1122" w:type="dxa"/>
            <w:vMerge w:val="continue"/>
            <w:noWrap w:val="0"/>
            <w:vAlign w:val="center"/>
          </w:tcPr>
          <w:p w14:paraId="12217B26">
            <w:pPr>
              <w:jc w:val="both"/>
              <w:rPr>
                <w:rFonts w:hint="eastAsia" w:eastAsia="宋体" w:cs="Times New Roman"/>
                <w:color w:val="000000"/>
                <w:lang w:val="en-US" w:eastAsia="zh-CN"/>
              </w:rPr>
            </w:pPr>
          </w:p>
        </w:tc>
        <w:tc>
          <w:tcPr>
            <w:tcW w:w="1974" w:type="dxa"/>
            <w:noWrap w:val="0"/>
            <w:vAlign w:val="center"/>
          </w:tcPr>
          <w:p w14:paraId="4E3918D8">
            <w:pPr>
              <w:jc w:val="both"/>
              <w:rPr>
                <w:rFonts w:hint="eastAsia" w:eastAsia="宋体" w:cs="Times New Roman"/>
                <w:color w:val="000000"/>
                <w:lang w:val="en-US" w:eastAsia="zh-CN"/>
              </w:rPr>
            </w:pPr>
            <w:r>
              <w:rPr>
                <w:rFonts w:hint="eastAsia" w:eastAsia="宋体" w:cs="Times New Roman"/>
                <w:color w:val="000000"/>
                <w:lang w:val="en-US" w:eastAsia="zh-CN"/>
              </w:rPr>
              <w:t>Contenu de la réponse</w:t>
            </w:r>
          </w:p>
        </w:tc>
        <w:tc>
          <w:tcPr>
            <w:tcW w:w="5533" w:type="dxa"/>
            <w:noWrap w:val="0"/>
            <w:vAlign w:val="center"/>
          </w:tcPr>
          <w:p w14:paraId="7B610C0B">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1.3.</w:t>
            </w:r>
          </w:p>
        </w:tc>
      </w:tr>
      <w:tr w14:paraId="074E5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58AA64D">
            <w:pPr>
              <w:jc w:val="center"/>
              <w:rPr>
                <w:rFonts w:ascii="宋体" w:hAnsi="宋体" w:eastAsia="宋体"/>
                <w:szCs w:val="21"/>
              </w:rPr>
            </w:pPr>
          </w:p>
        </w:tc>
        <w:tc>
          <w:tcPr>
            <w:tcW w:w="1122" w:type="dxa"/>
            <w:vMerge w:val="continue"/>
            <w:noWrap w:val="0"/>
            <w:vAlign w:val="center"/>
          </w:tcPr>
          <w:p w14:paraId="03CDA330">
            <w:pPr>
              <w:jc w:val="both"/>
              <w:rPr>
                <w:rFonts w:hint="eastAsia" w:eastAsia="宋体" w:cs="Times New Roman"/>
                <w:color w:val="000000"/>
                <w:lang w:val="en-US" w:eastAsia="zh-CN"/>
              </w:rPr>
            </w:pPr>
          </w:p>
        </w:tc>
        <w:tc>
          <w:tcPr>
            <w:tcW w:w="1974" w:type="dxa"/>
            <w:noWrap w:val="0"/>
            <w:vAlign w:val="center"/>
          </w:tcPr>
          <w:p w14:paraId="1D2E3FC1">
            <w:pPr>
              <w:jc w:val="both"/>
              <w:rPr>
                <w:rFonts w:hint="eastAsia" w:eastAsia="宋体" w:cs="Times New Roman"/>
                <w:color w:val="000000"/>
                <w:lang w:val="en-US" w:eastAsia="zh-CN"/>
              </w:rPr>
            </w:pPr>
            <w:r>
              <w:rPr>
                <w:rFonts w:hint="eastAsia" w:eastAsia="宋体" w:cs="Times New Roman"/>
                <w:color w:val="000000"/>
                <w:lang w:val="en-US" w:eastAsia="zh-CN"/>
              </w:rPr>
              <w:t>Durée du service</w:t>
            </w:r>
          </w:p>
        </w:tc>
        <w:tc>
          <w:tcPr>
            <w:tcW w:w="5533" w:type="dxa"/>
            <w:noWrap w:val="0"/>
            <w:vAlign w:val="center"/>
          </w:tcPr>
          <w:p w14:paraId="10356287">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1.4.</w:t>
            </w:r>
          </w:p>
        </w:tc>
      </w:tr>
      <w:tr w14:paraId="1BB6A1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35ACF4C">
            <w:pPr>
              <w:jc w:val="center"/>
              <w:rPr>
                <w:rFonts w:ascii="宋体" w:hAnsi="宋体" w:eastAsia="宋体"/>
                <w:szCs w:val="21"/>
              </w:rPr>
            </w:pPr>
          </w:p>
        </w:tc>
        <w:tc>
          <w:tcPr>
            <w:tcW w:w="1122" w:type="dxa"/>
            <w:vMerge w:val="continue"/>
            <w:noWrap w:val="0"/>
            <w:vAlign w:val="center"/>
          </w:tcPr>
          <w:p w14:paraId="51A058E4">
            <w:pPr>
              <w:jc w:val="both"/>
              <w:rPr>
                <w:rFonts w:hint="eastAsia" w:eastAsia="宋体" w:cs="Times New Roman"/>
                <w:color w:val="000000"/>
                <w:lang w:val="en-US" w:eastAsia="zh-CN"/>
              </w:rPr>
            </w:pPr>
          </w:p>
        </w:tc>
        <w:tc>
          <w:tcPr>
            <w:tcW w:w="1974" w:type="dxa"/>
            <w:noWrap w:val="0"/>
            <w:vAlign w:val="center"/>
          </w:tcPr>
          <w:p w14:paraId="71BC9AFD">
            <w:pPr>
              <w:jc w:val="both"/>
              <w:rPr>
                <w:rFonts w:hint="eastAsia" w:eastAsia="宋体" w:cs="Times New Roman"/>
                <w:color w:val="000000"/>
                <w:lang w:val="en-US" w:eastAsia="zh-CN"/>
              </w:rPr>
            </w:pPr>
            <w:r>
              <w:rPr>
                <w:rFonts w:hint="eastAsia" w:eastAsia="宋体" w:cs="Times New Roman"/>
                <w:color w:val="000000"/>
                <w:lang w:val="en-US" w:eastAsia="zh-CN"/>
              </w:rPr>
              <w:t>norme de qualité</w:t>
            </w:r>
          </w:p>
        </w:tc>
        <w:tc>
          <w:tcPr>
            <w:tcW w:w="5533" w:type="dxa"/>
            <w:noWrap w:val="0"/>
            <w:vAlign w:val="center"/>
          </w:tcPr>
          <w:p w14:paraId="41D7C101">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1.5.</w:t>
            </w:r>
          </w:p>
        </w:tc>
      </w:tr>
      <w:tr w14:paraId="4274D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344AA03">
            <w:pPr>
              <w:rPr>
                <w:rFonts w:ascii="宋体" w:hAnsi="宋体" w:eastAsia="宋体"/>
                <w:szCs w:val="21"/>
              </w:rPr>
            </w:pPr>
          </w:p>
        </w:tc>
        <w:tc>
          <w:tcPr>
            <w:tcW w:w="1122" w:type="dxa"/>
            <w:vMerge w:val="continue"/>
            <w:noWrap w:val="0"/>
            <w:vAlign w:val="center"/>
          </w:tcPr>
          <w:p w14:paraId="7F1E1EBC">
            <w:pPr>
              <w:jc w:val="both"/>
              <w:rPr>
                <w:rFonts w:hint="eastAsia" w:eastAsia="宋体" w:cs="Times New Roman"/>
                <w:color w:val="000000"/>
                <w:lang w:val="en-US" w:eastAsia="zh-CN"/>
              </w:rPr>
            </w:pPr>
          </w:p>
        </w:tc>
        <w:tc>
          <w:tcPr>
            <w:tcW w:w="1974" w:type="dxa"/>
            <w:noWrap w:val="0"/>
            <w:vAlign w:val="center"/>
          </w:tcPr>
          <w:p w14:paraId="7B72103E">
            <w:pPr>
              <w:jc w:val="both"/>
              <w:rPr>
                <w:rFonts w:hint="eastAsia" w:eastAsia="宋体" w:cs="Times New Roman"/>
                <w:color w:val="000000"/>
                <w:lang w:val="en-US" w:eastAsia="zh-CN"/>
              </w:rPr>
            </w:pPr>
            <w:r>
              <w:rPr>
                <w:rFonts w:hint="eastAsia" w:eastAsia="宋体" w:cs="Times New Roman"/>
                <w:color w:val="000000"/>
                <w:lang w:val="en-US" w:eastAsia="zh-CN"/>
              </w:rPr>
              <w:t>Période de validité du devis</w:t>
            </w:r>
          </w:p>
        </w:tc>
        <w:tc>
          <w:tcPr>
            <w:tcW w:w="5533" w:type="dxa"/>
            <w:noWrap w:val="0"/>
            <w:vAlign w:val="center"/>
          </w:tcPr>
          <w:p w14:paraId="7C6F7B71">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répondants".</w:t>
            </w:r>
          </w:p>
        </w:tc>
      </w:tr>
      <w:tr w14:paraId="35787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668001D">
            <w:pPr>
              <w:rPr>
                <w:rFonts w:ascii="宋体" w:hAnsi="宋体" w:eastAsia="宋体"/>
                <w:szCs w:val="21"/>
              </w:rPr>
            </w:pPr>
          </w:p>
        </w:tc>
        <w:tc>
          <w:tcPr>
            <w:tcW w:w="1122" w:type="dxa"/>
            <w:vMerge w:val="continue"/>
            <w:noWrap w:val="0"/>
            <w:vAlign w:val="center"/>
          </w:tcPr>
          <w:p w14:paraId="11CBAAB0">
            <w:pPr>
              <w:jc w:val="both"/>
              <w:rPr>
                <w:rFonts w:hint="eastAsia" w:eastAsia="宋体" w:cs="Times New Roman"/>
                <w:color w:val="000000"/>
                <w:lang w:val="en-US" w:eastAsia="zh-CN"/>
              </w:rPr>
            </w:pPr>
          </w:p>
        </w:tc>
        <w:tc>
          <w:tcPr>
            <w:tcW w:w="1974" w:type="dxa"/>
            <w:noWrap w:val="0"/>
            <w:vAlign w:val="center"/>
          </w:tcPr>
          <w:p w14:paraId="57943648">
            <w:pPr>
              <w:jc w:val="both"/>
              <w:rPr>
                <w:rFonts w:hint="eastAsia" w:eastAsia="宋体" w:cs="Times New Roman"/>
                <w:color w:val="000000"/>
                <w:lang w:val="en-US" w:eastAsia="zh-CN"/>
              </w:rPr>
            </w:pPr>
            <w:r>
              <w:rPr>
                <w:rFonts w:hint="eastAsia" w:eastAsia="宋体" w:cs="Times New Roman"/>
                <w:color w:val="000000"/>
                <w:lang w:val="en-US" w:eastAsia="zh-CN"/>
              </w:rPr>
              <w:t>Besoins en personnel</w:t>
            </w:r>
          </w:p>
        </w:tc>
        <w:tc>
          <w:tcPr>
            <w:tcW w:w="5533" w:type="dxa"/>
            <w:noWrap w:val="0"/>
            <w:vAlign w:val="center"/>
          </w:tcPr>
          <w:p w14:paraId="65A2E538">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II, "Exigences applicables aux donneurs d'ordre".</w:t>
            </w:r>
          </w:p>
        </w:tc>
      </w:tr>
      <w:tr w14:paraId="06B1FC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BC4BC38">
            <w:pPr>
              <w:rPr>
                <w:rFonts w:ascii="宋体" w:hAnsi="宋体" w:eastAsia="宋体"/>
                <w:szCs w:val="21"/>
              </w:rPr>
            </w:pPr>
          </w:p>
        </w:tc>
        <w:tc>
          <w:tcPr>
            <w:tcW w:w="1122" w:type="dxa"/>
            <w:vMerge w:val="continue"/>
            <w:noWrap w:val="0"/>
            <w:vAlign w:val="center"/>
          </w:tcPr>
          <w:p w14:paraId="2D410782">
            <w:pPr>
              <w:jc w:val="both"/>
              <w:rPr>
                <w:rFonts w:hint="eastAsia" w:eastAsia="宋体" w:cs="Times New Roman"/>
                <w:color w:val="000000"/>
                <w:lang w:val="en-US" w:eastAsia="zh-CN"/>
              </w:rPr>
            </w:pPr>
          </w:p>
        </w:tc>
        <w:tc>
          <w:tcPr>
            <w:tcW w:w="1974" w:type="dxa"/>
            <w:noWrap w:val="0"/>
            <w:vAlign w:val="center"/>
          </w:tcPr>
          <w:p w14:paraId="07187C31">
            <w:pPr>
              <w:jc w:val="both"/>
              <w:rPr>
                <w:rFonts w:hint="eastAsia" w:eastAsia="宋体" w:cs="Times New Roman"/>
                <w:color w:val="000000"/>
                <w:lang w:val="en-US" w:eastAsia="zh-CN"/>
              </w:rPr>
            </w:pPr>
            <w:r>
              <w:rPr>
                <w:rFonts w:hint="eastAsia" w:eastAsia="宋体" w:cs="Times New Roman"/>
                <w:color w:val="000000"/>
                <w:lang w:val="en-US" w:eastAsia="zh-CN"/>
              </w:rPr>
              <w:t>Équipements, matériaux ou instruments d'essai et équipements requis pour le service</w:t>
            </w:r>
          </w:p>
        </w:tc>
        <w:tc>
          <w:tcPr>
            <w:tcW w:w="5533" w:type="dxa"/>
            <w:noWrap w:val="0"/>
            <w:vAlign w:val="center"/>
          </w:tcPr>
          <w:p w14:paraId="026C57AA">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II, "Exigences applicables aux donneurs d'ordre".</w:t>
            </w:r>
          </w:p>
        </w:tc>
      </w:tr>
      <w:tr w14:paraId="3DBBB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48123C6C">
            <w:pPr>
              <w:rPr>
                <w:rFonts w:ascii="宋体" w:hAnsi="宋体" w:eastAsia="宋体"/>
                <w:szCs w:val="21"/>
              </w:rPr>
            </w:pPr>
          </w:p>
        </w:tc>
        <w:tc>
          <w:tcPr>
            <w:tcW w:w="1122" w:type="dxa"/>
            <w:vMerge w:val="continue"/>
            <w:noWrap w:val="0"/>
            <w:vAlign w:val="center"/>
          </w:tcPr>
          <w:p w14:paraId="5B08168A">
            <w:pPr>
              <w:jc w:val="both"/>
              <w:rPr>
                <w:rFonts w:hint="eastAsia" w:eastAsia="宋体" w:cs="Times New Roman"/>
                <w:color w:val="000000"/>
                <w:lang w:val="en-US" w:eastAsia="zh-CN"/>
              </w:rPr>
            </w:pPr>
          </w:p>
        </w:tc>
        <w:tc>
          <w:tcPr>
            <w:tcW w:w="1974" w:type="dxa"/>
            <w:noWrap w:val="0"/>
            <w:vAlign w:val="center"/>
          </w:tcPr>
          <w:p w14:paraId="5FFF133E">
            <w:pPr>
              <w:jc w:val="both"/>
              <w:rPr>
                <w:rFonts w:hint="eastAsia" w:eastAsia="宋体" w:cs="Times New Roman"/>
                <w:color w:val="000000"/>
                <w:lang w:val="en-US" w:eastAsia="zh-CN"/>
              </w:rPr>
            </w:pPr>
            <w:r>
              <w:rPr>
                <w:rFonts w:hint="eastAsia" w:eastAsia="宋体" w:cs="Times New Roman"/>
                <w:color w:val="000000"/>
                <w:lang w:val="en-US" w:eastAsia="zh-CN"/>
              </w:rPr>
              <w:t>droits et obligations</w:t>
            </w:r>
          </w:p>
        </w:tc>
        <w:tc>
          <w:tcPr>
            <w:tcW w:w="5533" w:type="dxa"/>
            <w:noWrap w:val="0"/>
            <w:vAlign w:val="center"/>
          </w:tcPr>
          <w:p w14:paraId="641AC590">
            <w:pPr>
              <w:jc w:val="both"/>
              <w:rPr>
                <w:rFonts w:hint="eastAsia" w:eastAsia="宋体" w:cs="Times New Roman"/>
                <w:color w:val="000000"/>
                <w:lang w:val="en-US" w:eastAsia="zh-CN"/>
              </w:rPr>
            </w:pPr>
            <w:r>
              <w:rPr>
                <w:rFonts w:hint="eastAsia" w:eastAsia="宋体" w:cs="Times New Roman"/>
                <w:color w:val="000000"/>
                <w:lang w:val="en-US" w:eastAsia="zh-CN"/>
              </w:rPr>
              <w:t>Conformité avec le chapitre III, "Conditions du contrat"</w:t>
            </w:r>
          </w:p>
        </w:tc>
      </w:tr>
      <w:tr w14:paraId="10732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1DEBA29">
            <w:pPr>
              <w:rPr>
                <w:rFonts w:ascii="宋体" w:hAnsi="宋体" w:eastAsia="宋体"/>
                <w:szCs w:val="21"/>
              </w:rPr>
            </w:pPr>
          </w:p>
        </w:tc>
        <w:tc>
          <w:tcPr>
            <w:tcW w:w="1122" w:type="dxa"/>
            <w:vMerge w:val="continue"/>
            <w:noWrap w:val="0"/>
            <w:vAlign w:val="center"/>
          </w:tcPr>
          <w:p w14:paraId="417AD9D6">
            <w:pPr>
              <w:jc w:val="both"/>
              <w:rPr>
                <w:rFonts w:hint="eastAsia" w:eastAsia="宋体" w:cs="Times New Roman"/>
                <w:color w:val="000000"/>
                <w:lang w:val="en-US" w:eastAsia="zh-CN"/>
              </w:rPr>
            </w:pPr>
          </w:p>
        </w:tc>
        <w:tc>
          <w:tcPr>
            <w:tcW w:w="1974" w:type="dxa"/>
            <w:noWrap w:val="0"/>
            <w:vAlign w:val="center"/>
          </w:tcPr>
          <w:p w14:paraId="5BA51F82">
            <w:pPr>
              <w:jc w:val="both"/>
              <w:rPr>
                <w:rFonts w:hint="eastAsia" w:eastAsia="宋体" w:cs="Times New Roman"/>
                <w:color w:val="000000"/>
                <w:lang w:val="en-US" w:eastAsia="zh-CN"/>
              </w:rPr>
            </w:pPr>
            <w:r>
              <w:rPr>
                <w:rFonts w:hint="eastAsia" w:eastAsia="宋体" w:cs="Times New Roman"/>
                <w:color w:val="000000"/>
                <w:lang w:val="en-US" w:eastAsia="zh-CN"/>
              </w:rPr>
              <w:t>Aperçu des services</w:t>
            </w:r>
          </w:p>
        </w:tc>
        <w:tc>
          <w:tcPr>
            <w:tcW w:w="5533" w:type="dxa"/>
            <w:noWrap w:val="0"/>
            <w:vAlign w:val="center"/>
          </w:tcPr>
          <w:p w14:paraId="36A0C5FD">
            <w:pPr>
              <w:jc w:val="both"/>
              <w:rPr>
                <w:rFonts w:hint="eastAsia" w:eastAsia="宋体" w:cs="Times New Roman"/>
                <w:color w:val="000000"/>
                <w:lang w:val="en-US" w:eastAsia="zh-CN"/>
              </w:rPr>
            </w:pPr>
            <w:r>
              <w:rPr>
                <w:rFonts w:hint="eastAsia" w:eastAsia="宋体" w:cs="Times New Roman"/>
                <w:color w:val="000000"/>
                <w:lang w:val="en-US" w:eastAsia="zh-CN"/>
              </w:rPr>
              <w:t>Conformité aux exigences de fond et aux conditions du chapitre II, "Exigences pour les donneurs d'ordre".</w:t>
            </w:r>
          </w:p>
        </w:tc>
      </w:tr>
      <w:tr w14:paraId="5578F0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14C9595D">
            <w:pPr>
              <w:rPr>
                <w:rFonts w:ascii="宋体" w:hAnsi="宋体" w:eastAsia="宋体"/>
                <w:szCs w:val="21"/>
              </w:rPr>
            </w:pPr>
          </w:p>
        </w:tc>
        <w:tc>
          <w:tcPr>
            <w:tcW w:w="1122" w:type="dxa"/>
            <w:vMerge w:val="continue"/>
            <w:noWrap w:val="0"/>
            <w:vAlign w:val="center"/>
          </w:tcPr>
          <w:p w14:paraId="6179750A">
            <w:pPr>
              <w:rPr>
                <w:rFonts w:ascii="宋体" w:hAnsi="宋体" w:eastAsia="宋体"/>
                <w:szCs w:val="21"/>
              </w:rPr>
            </w:pPr>
          </w:p>
        </w:tc>
        <w:tc>
          <w:tcPr>
            <w:tcW w:w="1974" w:type="dxa"/>
            <w:noWrap w:val="0"/>
            <w:vAlign w:val="center"/>
          </w:tcPr>
          <w:p w14:paraId="30AFC7BB">
            <w:pPr>
              <w:jc w:val="center"/>
              <w:rPr>
                <w:rFonts w:ascii="宋体" w:hAnsi="宋体" w:eastAsia="宋体"/>
                <w:szCs w:val="21"/>
              </w:rPr>
            </w:pPr>
            <w:r>
              <w:rPr>
                <w:rFonts w:ascii="宋体" w:hAnsi="宋体" w:eastAsia="宋体"/>
                <w:szCs w:val="21"/>
              </w:rPr>
              <w:t>……</w:t>
            </w:r>
          </w:p>
        </w:tc>
        <w:tc>
          <w:tcPr>
            <w:tcW w:w="5533" w:type="dxa"/>
            <w:noWrap w:val="0"/>
            <w:vAlign w:val="center"/>
          </w:tcPr>
          <w:p w14:paraId="24A9A81E">
            <w:pPr>
              <w:jc w:val="center"/>
              <w:rPr>
                <w:rFonts w:ascii="宋体" w:hAnsi="宋体" w:eastAsia="宋体"/>
                <w:szCs w:val="21"/>
              </w:rPr>
            </w:pPr>
            <w:r>
              <w:rPr>
                <w:rFonts w:ascii="宋体" w:hAnsi="宋体" w:eastAsia="宋体"/>
                <w:szCs w:val="21"/>
              </w:rPr>
              <w:t>……</w:t>
            </w:r>
          </w:p>
        </w:tc>
      </w:tr>
    </w:tbl>
    <w:p w14:paraId="71E36928">
      <w:pPr>
        <w:pStyle w:val="2"/>
        <w:pageBreakBefore w:val="0"/>
        <w:widowControl w:val="0"/>
        <w:numPr>
          <w:ilvl w:val="0"/>
          <w:numId w:val="5"/>
        </w:numPr>
        <w:kinsoku/>
        <w:wordWrap/>
        <w:overflowPunct/>
        <w:topLinePunct w:val="0"/>
        <w:autoSpaceDE/>
        <w:autoSpaceDN/>
        <w:bidi w:val="0"/>
        <w:adjustRightInd w:val="0"/>
        <w:snapToGrid w:val="0"/>
        <w:spacing w:before="0" w:after="0" w:line="360" w:lineRule="auto"/>
        <w:ind w:left="0" w:leftChars="0" w:right="0" w:rightChars="0" w:firstLine="0" w:firstLineChars="0"/>
        <w:jc w:val="center"/>
        <w:textAlignment w:val="auto"/>
        <w:rPr>
          <w:rFonts w:hint="eastAsia" w:ascii="宋体" w:hAnsi="宋体" w:eastAsia="宋体" w:cs="Times New Roman"/>
          <w:b/>
          <w:color w:val="auto"/>
          <w:sz w:val="28"/>
          <w:szCs w:val="28"/>
          <w:highlight w:val="none"/>
          <w:lang w:val="en-US" w:eastAsia="zh-CN"/>
        </w:rPr>
        <w:sectPr>
          <w:footerReference r:id="rId7" w:type="default"/>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bookmarkEnd w:id="58"/>
    <w:bookmarkEnd w:id="59"/>
    <w:p w14:paraId="7DD117D4">
      <w:pPr>
        <w:pStyle w:val="2"/>
        <w:pageBreakBefore w:val="0"/>
        <w:widowControl w:val="0"/>
        <w:numPr>
          <w:ilvl w:val="0"/>
          <w:numId w:val="5"/>
        </w:numPr>
        <w:kinsoku/>
        <w:wordWrap/>
        <w:overflowPunct/>
        <w:topLinePunct w:val="0"/>
        <w:autoSpaceDE/>
        <w:autoSpaceDN/>
        <w:bidi w:val="0"/>
        <w:adjustRightInd w:val="0"/>
        <w:snapToGrid w:val="0"/>
        <w:spacing w:before="0" w:after="0" w:line="360" w:lineRule="auto"/>
        <w:ind w:left="0" w:leftChars="0" w:right="0" w:rightChars="0" w:firstLine="0" w:firstLineChars="0"/>
        <w:jc w:val="center"/>
        <w:textAlignment w:val="auto"/>
        <w:rPr>
          <w:rFonts w:hint="eastAsia" w:ascii="宋体" w:hAnsi="宋体" w:eastAsia="宋体" w:cs="Times New Roman"/>
          <w:b/>
          <w:color w:val="auto"/>
          <w:sz w:val="28"/>
          <w:szCs w:val="28"/>
          <w:highlight w:val="none"/>
          <w:lang w:val="en-US" w:eastAsia="zh-CN"/>
        </w:rPr>
      </w:pPr>
      <w:bookmarkStart w:id="60" w:name="_Toc24556"/>
      <w:bookmarkStart w:id="61" w:name="_Toc22692"/>
      <w:r>
        <w:rPr>
          <w:rFonts w:hint="eastAsia" w:ascii="宋体" w:hAnsi="宋体" w:eastAsia="宋体" w:cs="Times New Roman"/>
          <w:b/>
          <w:color w:val="auto"/>
          <w:sz w:val="28"/>
          <w:szCs w:val="28"/>
          <w:highlight w:val="none"/>
          <w:lang w:val="en-US" w:eastAsia="zh-CN"/>
        </w:rPr>
        <w:t>委托人要求</w:t>
      </w:r>
      <w:bookmarkEnd w:id="60"/>
      <w:bookmarkEnd w:id="61"/>
    </w:p>
    <w:p w14:paraId="45CB3092">
      <w:pPr>
        <w:pStyle w:val="2"/>
        <w:pageBreakBefore w:val="0"/>
        <w:widowControl w:val="0"/>
        <w:numPr>
          <w:ilvl w:val="0"/>
          <w:numId w:val="0"/>
        </w:numPr>
        <w:kinsoku/>
        <w:wordWrap/>
        <w:overflowPunct/>
        <w:topLinePunct w:val="0"/>
        <w:autoSpaceDE/>
        <w:autoSpaceDN/>
        <w:bidi w:val="0"/>
        <w:adjustRightInd w:val="0"/>
        <w:snapToGrid w:val="0"/>
        <w:spacing w:before="0" w:after="0" w:line="360" w:lineRule="auto"/>
        <w:ind w:leftChars="0" w:right="0" w:rightChars="0" w:firstLine="3514" w:firstLineChars="1250"/>
        <w:jc w:val="both"/>
        <w:textAlignment w:val="auto"/>
        <w:rPr>
          <w:rFonts w:hint="eastAsia" w:ascii="宋体" w:hAnsi="宋体" w:eastAsia="宋体" w:cs="Times New Roman"/>
          <w:b/>
          <w:color w:val="auto"/>
          <w:sz w:val="28"/>
          <w:szCs w:val="28"/>
          <w:highlight w:val="none"/>
          <w:lang w:val="en-US" w:eastAsia="zh-CN"/>
        </w:rPr>
      </w:pPr>
      <w:r>
        <w:rPr>
          <w:rFonts w:hint="eastAsia" w:ascii="宋体" w:hAnsi="宋体" w:eastAsia="宋体" w:cs="Times New Roman"/>
          <w:b/>
          <w:color w:val="auto"/>
          <w:sz w:val="28"/>
          <w:szCs w:val="28"/>
          <w:highlight w:val="none"/>
          <w:lang w:val="en-US" w:eastAsia="zh-CN"/>
        </w:rPr>
        <w:t>Exigences du mandant</w:t>
      </w:r>
    </w:p>
    <w:p w14:paraId="20FA1F70">
      <w:pPr>
        <w:keepNext w:val="0"/>
        <w:keepLines w:val="0"/>
        <w:pageBreakBefore w:val="0"/>
        <w:widowControl w:val="0"/>
        <w:kinsoku/>
        <w:wordWrap/>
        <w:overflowPunct/>
        <w:topLinePunct w:val="0"/>
        <w:autoSpaceDE/>
        <w:autoSpaceDN/>
        <w:bidi w:val="0"/>
        <w:spacing w:line="360" w:lineRule="auto"/>
        <w:ind w:left="0" w:leftChars="0" w:right="0" w:rightChars="0"/>
        <w:textAlignment w:val="auto"/>
        <w:outlineLvl w:val="9"/>
        <w:rPr>
          <w:rFonts w:hint="eastAsia" w:ascii="Times New Roman" w:hAnsi="Times New Roman" w:eastAsia="宋体" w:cs="Times New Roman"/>
          <w:color w:val="auto"/>
          <w:kern w:val="2"/>
          <w:sz w:val="21"/>
          <w:szCs w:val="22"/>
          <w:highlight w:val="none"/>
          <w:lang w:val="fr-FR" w:eastAsia="zh-CN" w:bidi="ar-SA"/>
        </w:rPr>
      </w:pPr>
      <w:bookmarkStart w:id="62" w:name="_Toc5738295"/>
      <w:bookmarkStart w:id="63" w:name="_Toc482188637"/>
      <w:bookmarkStart w:id="64" w:name="_Toc107567059"/>
      <w:bookmarkStart w:id="65" w:name="_Toc6584790"/>
      <w:r>
        <w:rPr>
          <w:rFonts w:ascii="宋体" w:hAnsi="宋体" w:eastAsia="宋体"/>
          <w:bCs/>
          <w:color w:val="auto"/>
          <w:sz w:val="21"/>
          <w:szCs w:val="21"/>
          <w:highlight w:val="none"/>
        </w:rPr>
        <w:t>一、服务要求</w:t>
      </w:r>
      <w:bookmarkEnd w:id="62"/>
      <w:bookmarkEnd w:id="63"/>
      <w:bookmarkEnd w:id="64"/>
      <w:bookmarkEnd w:id="65"/>
      <w:r>
        <w:rPr>
          <w:rFonts w:hint="eastAsia" w:ascii="宋体" w:hAnsi="宋体" w:eastAsia="宋体"/>
          <w:bCs/>
          <w:color w:val="auto"/>
          <w:sz w:val="21"/>
          <w:szCs w:val="21"/>
          <w:highlight w:val="none"/>
        </w:rPr>
        <w:t xml:space="preserve"> </w:t>
      </w:r>
      <w:r>
        <w:rPr>
          <w:rFonts w:hint="eastAsia" w:ascii="Times New Roman" w:hAnsi="Times New Roman" w:eastAsia="宋体" w:cs="Times New Roman"/>
          <w:color w:val="auto"/>
          <w:kern w:val="2"/>
          <w:sz w:val="21"/>
          <w:szCs w:val="22"/>
          <w:highlight w:val="none"/>
          <w:lang w:val="fr-FR" w:eastAsia="zh-CN" w:bidi="ar-SA"/>
        </w:rPr>
        <w:t>Exigences du service</w:t>
      </w:r>
    </w:p>
    <w:p w14:paraId="664EEEC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ascii="Times New Roman" w:hAnsi="Times New Roman" w:eastAsia="宋体" w:cs="Times New Roman"/>
          <w:color w:val="auto"/>
          <w:kern w:val="2"/>
          <w:sz w:val="21"/>
          <w:szCs w:val="22"/>
          <w:highlight w:val="none"/>
          <w:lang w:val="fr-FR" w:eastAsia="zh-CN" w:bidi="ar-SA"/>
        </w:rPr>
      </w:pPr>
      <w:r>
        <w:rPr>
          <w:rFonts w:ascii="宋体" w:hAnsi="宋体" w:eastAsia="宋体"/>
          <w:color w:val="auto"/>
          <w:highlight w:val="none"/>
        </w:rPr>
        <w:t>1. 项目概况</w:t>
      </w:r>
      <w:r>
        <w:rPr>
          <w:rFonts w:hint="default" w:ascii="Times New Roman" w:hAnsi="Times New Roman" w:eastAsia="宋体" w:cs="Times New Roman"/>
          <w:color w:val="auto"/>
          <w:kern w:val="2"/>
          <w:sz w:val="21"/>
          <w:szCs w:val="22"/>
          <w:highlight w:val="none"/>
          <w:lang w:val="fr-FR" w:eastAsia="zh-CN" w:bidi="ar-SA"/>
        </w:rPr>
        <w:t>A</w:t>
      </w:r>
      <w:r>
        <w:rPr>
          <w:rFonts w:hint="eastAsia" w:ascii="Times New Roman" w:hAnsi="Times New Roman" w:eastAsia="宋体" w:cs="Times New Roman"/>
          <w:color w:val="auto"/>
          <w:kern w:val="2"/>
          <w:sz w:val="21"/>
          <w:szCs w:val="22"/>
          <w:highlight w:val="none"/>
          <w:lang w:val="fr-FR" w:eastAsia="zh-CN" w:bidi="ar-SA"/>
        </w:rPr>
        <w:t>perçu du projet</w:t>
      </w:r>
    </w:p>
    <w:p w14:paraId="1E4D4851">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color w:val="auto"/>
          <w:sz w:val="21"/>
          <w:szCs w:val="22"/>
          <w:highlight w:val="none"/>
          <w:lang w:val="fr-FR" w:eastAsia="zh-CN"/>
        </w:rPr>
      </w:pPr>
      <w:r>
        <w:rPr>
          <w:rFonts w:hint="eastAsia"/>
          <w:color w:val="auto"/>
          <w:sz w:val="21"/>
          <w:szCs w:val="22"/>
          <w:highlight w:val="none"/>
          <w:lang w:val="fr-FR" w:eastAsia="zh-CN"/>
        </w:rPr>
        <w:t>国家电投国际投资开发（几内亚）有限责任公司是一家在几内亚注册成立并持有特许权证的矿业公司，该公司与几内亚国家签署有矿业协议，以开发和利用其获得特许权的铝土矿区。</w:t>
      </w:r>
    </w:p>
    <w:p w14:paraId="35B8D16D">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color w:val="auto"/>
          <w:sz w:val="21"/>
          <w:szCs w:val="22"/>
          <w:highlight w:val="none"/>
          <w:lang w:val="fr-FR" w:eastAsia="zh-CN"/>
        </w:rPr>
      </w:pPr>
      <w:r>
        <w:rPr>
          <w:rFonts w:hint="eastAsia"/>
          <w:color w:val="auto"/>
          <w:sz w:val="21"/>
          <w:szCs w:val="22"/>
          <w:highlight w:val="none"/>
          <w:lang w:val="fr-FR" w:eastAsia="zh-CN"/>
        </w:rPr>
        <w:t>根据矿业协议及其在博法省的项目发展情况，国家电投国际投资开发(几内亚)有限责任公司成立了两个项目公司，即几内亚高丽亚矿山股份有限公司，负责铝土矿的开采[其特许权已授予国家电投国际投资开发(几内亚)有限责任公司]，以及几内亚维嘉港口股份有限公司，负责港口活动的开发管理及咨询培训。</w:t>
      </w:r>
    </w:p>
    <w:p w14:paraId="7C051997">
      <w:pPr>
        <w:pStyle w:val="20"/>
        <w:keepNext w:val="0"/>
        <w:keepLines w:val="0"/>
        <w:pageBreakBefore w:val="0"/>
        <w:widowControl w:val="0"/>
        <w:kinsoku/>
        <w:wordWrap/>
        <w:overflowPunct/>
        <w:topLinePunct w:val="0"/>
        <w:autoSpaceDE/>
        <w:autoSpaceDN/>
        <w:bidi w:val="0"/>
        <w:adjustRightInd/>
        <w:snapToGrid w:val="0"/>
        <w:spacing w:line="360" w:lineRule="auto"/>
        <w:ind w:firstLine="36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rPr>
        <w:t>SPIC International Investment &amp; Development(Guinea) Co.,Ltd</w:t>
      </w:r>
      <w:r>
        <w:rPr>
          <w:rFonts w:hint="eastAsia" w:ascii="Times New Roman" w:hAnsi="Times New Roman" w:eastAsia="宋体" w:cs="Times New Roman"/>
          <w:color w:val="auto"/>
          <w:sz w:val="21"/>
          <w:szCs w:val="22"/>
          <w:highlight w:val="none"/>
          <w:lang w:val="fr-FR" w:eastAsia="zh-CN"/>
        </w:rPr>
        <w:t xml:space="preserve"> est une société minière constituée et titulaire d'une concession en Guinée, qui a conclu une convention minière avec l'État guinéen pour le développement et l'exploitation des zones minières de bauxite pour lesquelles elle a obtenu une concession.</w:t>
      </w:r>
    </w:p>
    <w:p w14:paraId="60DD22A8">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 xml:space="preserve">Dans le cadre de la convention minière et du développement de son projet dans la préfecture de Bofa, </w:t>
      </w:r>
      <w:r>
        <w:rPr>
          <w:rFonts w:hint="eastAsia"/>
        </w:rPr>
        <w:t>SPIC International Investment &amp; Development(Guinea) Co.,Ltd</w:t>
      </w:r>
      <w:r>
        <w:rPr>
          <w:rFonts w:hint="eastAsia" w:ascii="Times New Roman" w:hAnsi="Times New Roman" w:eastAsia="宋体" w:cs="Times New Roman"/>
          <w:color w:val="auto"/>
          <w:sz w:val="21"/>
          <w:szCs w:val="22"/>
          <w:highlight w:val="none"/>
          <w:lang w:val="fr-FR" w:eastAsia="zh-CN"/>
        </w:rPr>
        <w:t xml:space="preserve"> a créé deux sociétés de projet, à savoir </w:t>
      </w:r>
      <w:r>
        <w:rPr>
          <w:rFonts w:hint="eastAsia"/>
        </w:rPr>
        <w:t>Guinea Colia Mining S.A.</w:t>
      </w:r>
      <w:r>
        <w:rPr>
          <w:rFonts w:hint="eastAsia" w:ascii="Times New Roman" w:hAnsi="Times New Roman" w:eastAsia="宋体" w:cs="Times New Roman"/>
          <w:color w:val="auto"/>
          <w:sz w:val="21"/>
          <w:szCs w:val="22"/>
          <w:highlight w:val="none"/>
          <w:lang w:val="fr-FR" w:eastAsia="zh-CN"/>
        </w:rPr>
        <w:t xml:space="preserve">, chargée de l'exploitation de la bauxite, et </w:t>
      </w:r>
      <w:r>
        <w:rPr>
          <w:rFonts w:hint="eastAsia"/>
        </w:rPr>
        <w:t>Guinea Port Verga S.A.</w:t>
      </w:r>
      <w:r>
        <w:rPr>
          <w:rFonts w:hint="eastAsia" w:ascii="Times New Roman" w:hAnsi="Times New Roman" w:eastAsia="宋体" w:cs="Times New Roman"/>
          <w:color w:val="auto"/>
          <w:sz w:val="21"/>
          <w:szCs w:val="22"/>
          <w:highlight w:val="none"/>
          <w:lang w:val="fr-FR" w:eastAsia="zh-CN"/>
        </w:rPr>
        <w:t>, chargée de la gestion du développement des activités portuaires et de la formation des consultants.</w:t>
      </w:r>
    </w:p>
    <w:p w14:paraId="7F8B99C0">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ascii="Times New Roman" w:hAnsi="Times New Roman" w:eastAsia="宋体" w:cs="Times New Roman"/>
          <w:color w:val="auto"/>
          <w:kern w:val="2"/>
          <w:sz w:val="21"/>
          <w:szCs w:val="22"/>
          <w:highlight w:val="none"/>
          <w:lang w:val="fr-FR" w:eastAsia="zh-CN" w:bidi="ar-SA"/>
        </w:rPr>
      </w:pPr>
      <w:r>
        <w:rPr>
          <w:rFonts w:hint="eastAsia" w:ascii="Times New Roman" w:hAnsi="Times New Roman" w:eastAsia="宋体" w:cs="Times New Roman"/>
          <w:color w:val="auto"/>
          <w:kern w:val="2"/>
          <w:sz w:val="21"/>
          <w:szCs w:val="22"/>
          <w:highlight w:val="none"/>
          <w:lang w:val="fr-FR" w:eastAsia="zh-CN" w:bidi="ar-SA"/>
        </w:rPr>
        <w:t>服务范围及内容Portée et contenu du service</w:t>
      </w:r>
    </w:p>
    <w:p w14:paraId="000676D3">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（1）根据客户要求完成铝土矿的出口的报关工作；</w:t>
      </w:r>
    </w:p>
    <w:p w14:paraId="13B2B490">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（2）根据客户的要求开展铝土矿出口税申报工作，帮助客户简化和办理税费付款程序，取得出口税申报及办理过程资料，获取完税证明；</w:t>
      </w:r>
    </w:p>
    <w:p w14:paraId="7815195F">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（3）工作内容包括但不限于与铝土矿出口有关的其他附带工作任务、谈判、相关的咨询和技术支撑；</w:t>
      </w:r>
    </w:p>
    <w:p w14:paraId="2FA1DFD3">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20" w:firstLineChars="100"/>
        <w:jc w:val="both"/>
        <w:textAlignment w:val="auto"/>
        <w:outlineLvl w:val="9"/>
        <w:rPr>
          <w:rFonts w:hint="eastAsia" w:ascii="宋体" w:hAnsi="宋体"/>
          <w:color w:val="auto"/>
          <w:highlight w:val="none"/>
          <w:lang w:val="en-US" w:eastAsia="zh-CN"/>
        </w:rPr>
      </w:pPr>
      <w:r>
        <w:rPr>
          <w:rFonts w:hint="eastAsia" w:ascii="宋体" w:hAnsi="宋体"/>
          <w:color w:val="auto"/>
          <w:kern w:val="0"/>
          <w:sz w:val="22"/>
          <w:szCs w:val="21"/>
          <w:highlight w:val="none"/>
          <w:lang w:val="en-US" w:eastAsia="zh-CN"/>
        </w:rPr>
        <w:t>（4）投标人</w:t>
      </w:r>
      <w:r>
        <w:rPr>
          <w:rFonts w:hint="eastAsia" w:ascii="宋体" w:hAnsi="宋体"/>
          <w:color w:val="auto"/>
          <w:kern w:val="0"/>
          <w:sz w:val="22"/>
          <w:szCs w:val="21"/>
          <w:highlight w:val="none"/>
        </w:rPr>
        <w:t>保证</w:t>
      </w:r>
      <w:r>
        <w:rPr>
          <w:rFonts w:hint="eastAsia" w:ascii="宋体" w:hAnsi="宋体"/>
          <w:color w:val="auto"/>
          <w:kern w:val="0"/>
          <w:sz w:val="22"/>
          <w:szCs w:val="21"/>
          <w:highlight w:val="none"/>
          <w:lang w:val="en-US" w:eastAsia="zh-CN"/>
        </w:rPr>
        <w:t>所有办理的手续和程序符合</w:t>
      </w:r>
      <w:r>
        <w:rPr>
          <w:rFonts w:hint="eastAsia" w:ascii="宋体" w:hAnsi="宋体"/>
          <w:color w:val="auto"/>
          <w:kern w:val="0"/>
          <w:sz w:val="22"/>
          <w:szCs w:val="21"/>
          <w:highlight w:val="none"/>
        </w:rPr>
        <w:t>几内亚现行法律法规和其他相关行政文件要求</w:t>
      </w:r>
      <w:r>
        <w:rPr>
          <w:rFonts w:hint="eastAsia" w:ascii="宋体" w:hAnsi="宋体" w:cs="Times New Roman"/>
          <w:color w:val="auto"/>
          <w:kern w:val="0"/>
          <w:sz w:val="22"/>
          <w:szCs w:val="21"/>
          <w:highlight w:val="none"/>
          <w:lang w:val="en-US" w:eastAsia="zh-CN" w:bidi="ar-SA"/>
        </w:rPr>
        <w:t>。</w:t>
      </w:r>
    </w:p>
    <w:p w14:paraId="54B43F2B">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(1) remplir la déclaration en douane pour l'exportation de bauxite conformément aux exigences des clients</w:t>
      </w:r>
    </w:p>
    <w:p w14:paraId="4337A4AF">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(2) Effectuer le travail de déclaration des taxes à l'exportation de bauxite conformément aux exigences du client, aider le client à simplifier et à gérer la procédure de paiement des taxes, obtenir les informations relatives à la déclaration des taxes à l'exportation et au processus de gestion, et obtenir le certificat d'achèvement des taxes ;</w:t>
      </w:r>
    </w:p>
    <w:p w14:paraId="74052714">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(3) Le travail comprend, sans s'y limiter, d'autres tâches accessoires, des négociations, des consultations et un soutien technique liés à l'exportation de bauxite ;</w:t>
      </w:r>
    </w:p>
    <w:p w14:paraId="6EE49856">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(4) Le soumissionnaire s'assure que toutes les formalités et procédures traitées sont conformes aux lois et règlements guinéens en vigueur et aux autres documents administratifs pertinents.</w:t>
      </w:r>
    </w:p>
    <w:p w14:paraId="2578E9AC">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right="0" w:rightChars="0"/>
        <w:textAlignment w:val="auto"/>
        <w:outlineLvl w:val="9"/>
        <w:rPr>
          <w:rFonts w:ascii="宋体" w:hAnsi="宋体" w:eastAsia="宋体"/>
          <w:color w:val="auto"/>
          <w:highlight w:val="none"/>
        </w:rPr>
      </w:pPr>
      <w:r>
        <w:rPr>
          <w:rFonts w:ascii="宋体" w:hAnsi="宋体" w:eastAsia="宋体"/>
          <w:color w:val="auto"/>
          <w:highlight w:val="none"/>
        </w:rPr>
        <w:t>服务依据</w:t>
      </w:r>
      <w:r>
        <w:rPr>
          <w:rFonts w:hint="default" w:ascii="Times New Roman" w:hAnsi="Times New Roman" w:eastAsia="宋体" w:cs="Times New Roman"/>
          <w:color w:val="auto"/>
          <w:kern w:val="2"/>
          <w:sz w:val="21"/>
          <w:szCs w:val="22"/>
          <w:highlight w:val="none"/>
          <w:lang w:val="fr-FR" w:eastAsia="zh-CN" w:bidi="ar-SA"/>
        </w:rPr>
        <w:t>B</w:t>
      </w:r>
      <w:r>
        <w:rPr>
          <w:rFonts w:hint="eastAsia" w:ascii="Times New Roman" w:hAnsi="Times New Roman" w:eastAsia="宋体" w:cs="Times New Roman"/>
          <w:color w:val="auto"/>
          <w:kern w:val="2"/>
          <w:sz w:val="21"/>
          <w:szCs w:val="22"/>
          <w:highlight w:val="none"/>
          <w:lang w:val="fr-FR" w:eastAsia="zh-CN" w:bidi="ar-SA"/>
        </w:rPr>
        <w:t>ase du service</w:t>
      </w:r>
    </w:p>
    <w:p w14:paraId="4AC259B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服务合同及几内亚国家相关规范及标准。</w:t>
      </w:r>
    </w:p>
    <w:p w14:paraId="4EFD6782">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Les contrats de service et les normes et standards pertinents de l'État guinéen.</w:t>
      </w:r>
    </w:p>
    <w:p w14:paraId="227C2DE3">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ascii="宋体" w:hAnsi="宋体" w:eastAsia="宋体"/>
          <w:color w:val="auto"/>
          <w:highlight w:val="none"/>
          <w:lang w:val="en-US" w:eastAsia="zh-CN"/>
        </w:rPr>
      </w:pPr>
      <w:r>
        <w:rPr>
          <w:rFonts w:ascii="宋体" w:hAnsi="宋体" w:eastAsia="宋体"/>
          <w:color w:val="auto"/>
          <w:highlight w:val="none"/>
        </w:rPr>
        <w:t>服务人员</w:t>
      </w:r>
      <w:r>
        <w:rPr>
          <w:rFonts w:hint="eastAsia" w:ascii="宋体" w:hAnsi="宋体" w:eastAsia="宋体"/>
          <w:color w:val="auto"/>
          <w:highlight w:val="none"/>
          <w:lang w:val="en-US" w:eastAsia="zh-CN"/>
        </w:rPr>
        <w:t>要求</w:t>
      </w:r>
      <w:r>
        <w:rPr>
          <w:rFonts w:hint="default" w:ascii="Times New Roman" w:hAnsi="Times New Roman" w:eastAsia="宋体" w:cs="Times New Roman"/>
          <w:color w:val="auto"/>
          <w:kern w:val="2"/>
          <w:sz w:val="21"/>
          <w:szCs w:val="22"/>
          <w:highlight w:val="none"/>
          <w:lang w:val="fr-FR" w:eastAsia="zh-CN" w:bidi="ar-SA"/>
        </w:rPr>
        <w:t>E</w:t>
      </w:r>
      <w:r>
        <w:rPr>
          <w:rFonts w:hint="eastAsia" w:ascii="Times New Roman" w:hAnsi="Times New Roman" w:eastAsia="宋体" w:cs="Times New Roman"/>
          <w:color w:val="auto"/>
          <w:kern w:val="2"/>
          <w:sz w:val="21"/>
          <w:szCs w:val="22"/>
          <w:highlight w:val="none"/>
          <w:lang w:val="en-US" w:eastAsia="zh-CN" w:bidi="ar-SA"/>
        </w:rPr>
        <w:t>xigences en matière de personnel de service</w:t>
      </w:r>
    </w:p>
    <w:p w14:paraId="01CB640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kern w:val="2"/>
          <w:sz w:val="21"/>
          <w:szCs w:val="22"/>
          <w:highlight w:val="none"/>
          <w:lang w:val="en-US" w:eastAsia="zh-CN" w:bidi="ar-SA"/>
        </w:rPr>
      </w:pPr>
      <w:bookmarkStart w:id="66" w:name="_Toc107567060"/>
      <w:bookmarkStart w:id="67" w:name="_Toc5738296"/>
      <w:bookmarkStart w:id="68" w:name="_Toc482188638"/>
      <w:bookmarkStart w:id="69" w:name="_Toc6584791"/>
      <w:r>
        <w:rPr>
          <w:rFonts w:hint="eastAsia" w:ascii="宋体" w:hAnsi="宋体" w:eastAsia="宋体"/>
          <w:color w:val="auto"/>
          <w:highlight w:val="none"/>
          <w:lang w:val="en-US" w:eastAsia="zh-CN"/>
        </w:rPr>
        <w:t>无</w:t>
      </w:r>
      <w:r>
        <w:rPr>
          <w:rFonts w:hint="default" w:ascii="Times New Roman" w:hAnsi="Times New Roman" w:eastAsia="宋体" w:cs="Times New Roman"/>
          <w:color w:val="auto"/>
          <w:kern w:val="2"/>
          <w:sz w:val="21"/>
          <w:szCs w:val="22"/>
          <w:highlight w:val="none"/>
          <w:lang w:val="fr-FR" w:eastAsia="zh-CN" w:bidi="ar-SA"/>
        </w:rPr>
        <w:t>Aucun</w:t>
      </w:r>
    </w:p>
    <w:p w14:paraId="7FE42568">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二、</w:t>
      </w:r>
      <w:r>
        <w:rPr>
          <w:rFonts w:hint="eastAsia" w:ascii="Times New Roman" w:hAnsi="Times New Roman" w:eastAsia="宋体"/>
          <w:color w:val="auto"/>
          <w:sz w:val="21"/>
          <w:szCs w:val="21"/>
          <w:highlight w:val="none"/>
          <w:lang w:val="en-US" w:eastAsia="zh-CN"/>
        </w:rPr>
        <w:t>服务技术</w:t>
      </w:r>
      <w:r>
        <w:rPr>
          <w:rFonts w:ascii="Times New Roman" w:hAnsi="Times New Roman" w:eastAsia="宋体"/>
          <w:color w:val="auto"/>
          <w:sz w:val="21"/>
          <w:szCs w:val="21"/>
          <w:highlight w:val="none"/>
        </w:rPr>
        <w:t>标准</w:t>
      </w:r>
      <w:bookmarkEnd w:id="66"/>
      <w:bookmarkEnd w:id="67"/>
      <w:bookmarkEnd w:id="68"/>
      <w:bookmarkEnd w:id="69"/>
      <w:r>
        <w:rPr>
          <w:rFonts w:hint="eastAsia" w:ascii="Times New Roman" w:hAnsi="Times New Roman" w:eastAsia="宋体"/>
          <w:color w:val="auto"/>
          <w:sz w:val="21"/>
          <w:szCs w:val="21"/>
          <w:highlight w:val="none"/>
          <w:lang w:val="en-US" w:eastAsia="zh-CN"/>
        </w:rPr>
        <w:t>和要求Normes et exigences techniques du service</w:t>
      </w:r>
    </w:p>
    <w:p w14:paraId="7FF71C9E">
      <w:pPr>
        <w:numPr>
          <w:ilvl w:val="0"/>
          <w:numId w:val="0"/>
        </w:numPr>
        <w:spacing w:line="360" w:lineRule="auto"/>
        <w:ind w:firstLine="420" w:firstLineChars="200"/>
        <w:rPr>
          <w:rFonts w:hint="eastAsia" w:ascii="Times New Roman" w:hAnsi="Times New Roman"/>
          <w:color w:val="auto"/>
          <w:szCs w:val="21"/>
          <w:highlight w:val="none"/>
          <w:lang w:val="en-US" w:eastAsia="zh-CN"/>
        </w:rPr>
      </w:pPr>
      <w:bookmarkStart w:id="70" w:name="_Toc482188639"/>
      <w:bookmarkStart w:id="71" w:name="_Toc107567062"/>
      <w:bookmarkStart w:id="72" w:name="_Toc482188640"/>
      <w:bookmarkStart w:id="73" w:name="_Toc5738298"/>
      <w:bookmarkStart w:id="74" w:name="_Toc6584793"/>
      <w:r>
        <w:rPr>
          <w:rFonts w:hint="eastAsia" w:ascii="Times New Roman" w:hAnsi="Times New Roman"/>
          <w:color w:val="auto"/>
          <w:szCs w:val="21"/>
          <w:highlight w:val="none"/>
          <w:lang w:val="en-US" w:eastAsia="zh-CN"/>
        </w:rPr>
        <w:t>（1）代理按照由客户确认并由签署的</w:t>
      </w:r>
      <w:r>
        <w:rPr>
          <w:rFonts w:hint="eastAsia"/>
          <w:color w:val="auto"/>
          <w:szCs w:val="21"/>
          <w:highlight w:val="none"/>
          <w:lang w:val="en-US" w:eastAsia="zh-CN"/>
        </w:rPr>
        <w:t>到港</w:t>
      </w:r>
      <w:r>
        <w:rPr>
          <w:rFonts w:hint="eastAsia" w:ascii="Times New Roman" w:hAnsi="Times New Roman"/>
          <w:color w:val="auto"/>
          <w:szCs w:val="21"/>
          <w:highlight w:val="none"/>
          <w:lang w:val="en-US" w:eastAsia="zh-CN"/>
        </w:rPr>
        <w:t>通知进行铝土矿出口临时申报</w:t>
      </w:r>
      <w:r>
        <w:rPr>
          <w:rFonts w:hint="eastAsia"/>
          <w:color w:val="auto"/>
          <w:szCs w:val="21"/>
          <w:highlight w:val="none"/>
          <w:lang w:val="en-US" w:eastAsia="zh-CN"/>
        </w:rPr>
        <w:t>。</w:t>
      </w:r>
    </w:p>
    <w:p w14:paraId="686F1A85">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（2）代理</w:t>
      </w:r>
      <w:r>
        <w:rPr>
          <w:rFonts w:hint="eastAsia"/>
          <w:color w:val="auto"/>
          <w:szCs w:val="21"/>
          <w:highlight w:val="none"/>
          <w:lang w:val="en-US" w:eastAsia="zh-CN"/>
        </w:rPr>
        <w:t>负责</w:t>
      </w:r>
      <w:r>
        <w:rPr>
          <w:rFonts w:hint="eastAsia" w:ascii="Times New Roman" w:hAnsi="Times New Roman"/>
          <w:color w:val="auto"/>
          <w:szCs w:val="21"/>
          <w:highlight w:val="none"/>
          <w:lang w:val="en-US" w:eastAsia="zh-CN"/>
        </w:rPr>
        <w:t>解决铝土矿出口的装货和</w:t>
      </w:r>
      <w:r>
        <w:rPr>
          <w:rFonts w:hint="eastAsia"/>
          <w:color w:val="auto"/>
          <w:szCs w:val="21"/>
          <w:highlight w:val="none"/>
          <w:lang w:val="en-US" w:eastAsia="zh-CN"/>
        </w:rPr>
        <w:t>清关</w:t>
      </w:r>
      <w:r>
        <w:rPr>
          <w:rFonts w:hint="eastAsia" w:ascii="Times New Roman" w:hAnsi="Times New Roman"/>
          <w:color w:val="auto"/>
          <w:szCs w:val="21"/>
          <w:highlight w:val="none"/>
          <w:lang w:val="en-US" w:eastAsia="zh-CN"/>
        </w:rPr>
        <w:t>期间所有的行政</w:t>
      </w:r>
      <w:r>
        <w:rPr>
          <w:rFonts w:hint="eastAsia"/>
          <w:color w:val="auto"/>
          <w:szCs w:val="21"/>
          <w:highlight w:val="none"/>
          <w:lang w:val="en-US" w:eastAsia="zh-CN"/>
        </w:rPr>
        <w:t>、海关、地矿部方</w:t>
      </w:r>
      <w:r>
        <w:rPr>
          <w:rFonts w:hint="eastAsia" w:ascii="Times New Roman" w:hAnsi="Times New Roman"/>
          <w:color w:val="auto"/>
          <w:szCs w:val="21"/>
          <w:highlight w:val="none"/>
          <w:lang w:val="en-US" w:eastAsia="zh-CN"/>
        </w:rPr>
        <w:t>面的问题</w:t>
      </w:r>
      <w:r>
        <w:rPr>
          <w:rFonts w:hint="eastAsia"/>
          <w:color w:val="auto"/>
          <w:szCs w:val="21"/>
          <w:highlight w:val="none"/>
          <w:lang w:val="en-US" w:eastAsia="zh-CN"/>
        </w:rPr>
        <w:t>。</w:t>
      </w:r>
    </w:p>
    <w:p w14:paraId="64BD64CC">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（3）</w:t>
      </w:r>
      <w:r>
        <w:rPr>
          <w:rFonts w:hint="eastAsia"/>
          <w:color w:val="auto"/>
          <w:szCs w:val="21"/>
          <w:highlight w:val="none"/>
          <w:lang w:val="en-US" w:eastAsia="zh-CN"/>
        </w:rPr>
        <w:t>代理负责经过客户确认的出口铝土矿的税务申报、跟踪、办理并拿到文件原件，并</w:t>
      </w:r>
      <w:r>
        <w:rPr>
          <w:rFonts w:hint="eastAsia" w:ascii="Times New Roman" w:hAnsi="Times New Roman"/>
          <w:color w:val="auto"/>
          <w:szCs w:val="21"/>
          <w:highlight w:val="none"/>
          <w:lang w:val="en-US" w:eastAsia="zh-CN"/>
        </w:rPr>
        <w:t>能够达到并通过几内亚政府和相关部门的要求。</w:t>
      </w:r>
    </w:p>
    <w:p w14:paraId="041B15B6">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（4）</w:t>
      </w:r>
      <w:r>
        <w:rPr>
          <w:rFonts w:hint="eastAsia"/>
          <w:color w:val="auto"/>
          <w:szCs w:val="21"/>
          <w:highlight w:val="none"/>
          <w:lang w:val="en-US" w:eastAsia="zh-CN"/>
        </w:rPr>
        <w:t>保证客户出口铝土矿期间的申报、报关等流程符合几内亚</w:t>
      </w:r>
      <w:r>
        <w:rPr>
          <w:rFonts w:hint="eastAsia" w:ascii="Times New Roman" w:hAnsi="Times New Roman"/>
          <w:color w:val="auto"/>
          <w:szCs w:val="21"/>
          <w:highlight w:val="none"/>
          <w:lang w:val="en-US" w:eastAsia="zh-CN"/>
        </w:rPr>
        <w:t>组织政府有关部门</w:t>
      </w:r>
      <w:r>
        <w:rPr>
          <w:rFonts w:hint="eastAsia"/>
          <w:color w:val="auto"/>
          <w:szCs w:val="21"/>
          <w:highlight w:val="none"/>
          <w:lang w:val="en-US" w:eastAsia="zh-CN"/>
        </w:rPr>
        <w:t>要求，并对新政策给予客户技术咨询，协同客户一起解决出口期间遇到的困难。</w:t>
      </w:r>
    </w:p>
    <w:p w14:paraId="5CCB931C">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default" w:ascii="Times New Roman" w:hAnsi="Times New Roman" w:eastAsia="宋体" w:cs="Times New Roman"/>
          <w:color w:val="auto"/>
          <w:sz w:val="21"/>
          <w:szCs w:val="22"/>
          <w:highlight w:val="none"/>
          <w:lang w:val="en-US" w:eastAsia="zh-CN"/>
        </w:rPr>
      </w:pPr>
      <w:r>
        <w:rPr>
          <w:rFonts w:hint="eastAsia" w:ascii="Times New Roman" w:hAnsi="Times New Roman" w:eastAsia="宋体" w:cs="Times New Roman"/>
          <w:color w:val="auto"/>
          <w:sz w:val="21"/>
          <w:szCs w:val="22"/>
          <w:highlight w:val="none"/>
          <w:lang w:val="fr-FR" w:eastAsia="zh-CN"/>
        </w:rPr>
        <w:t xml:space="preserve">(1) L'agent effectue la déclaration temporaire d'exportation de bauxite conformément à l'avis d'arrivée confirmé et signé par le client </w:t>
      </w:r>
      <w:r>
        <w:rPr>
          <w:rFonts w:hint="eastAsia" w:cs="Times New Roman"/>
          <w:color w:val="auto"/>
          <w:sz w:val="21"/>
          <w:szCs w:val="22"/>
          <w:highlight w:val="none"/>
          <w:lang w:val="en-US" w:eastAsia="zh-CN"/>
        </w:rPr>
        <w:t>.</w:t>
      </w:r>
    </w:p>
    <w:p w14:paraId="3090A47F">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default"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 xml:space="preserve">(2) L'agent est responsable de la résolution de tous les problèmes administratifs, douaniers et du </w:t>
      </w:r>
      <w:r>
        <w:rPr>
          <w:rFonts w:hint="eastAsia" w:cs="Times New Roman"/>
          <w:color w:val="auto"/>
          <w:sz w:val="21"/>
          <w:szCs w:val="22"/>
          <w:highlight w:val="none"/>
          <w:lang w:val="en-US" w:eastAsia="zh-CN"/>
        </w:rPr>
        <w:t xml:space="preserve">MMG </w:t>
      </w:r>
      <w:r>
        <w:rPr>
          <w:rFonts w:hint="eastAsia" w:ascii="Times New Roman" w:hAnsi="Times New Roman" w:eastAsia="宋体" w:cs="Times New Roman"/>
          <w:color w:val="auto"/>
          <w:sz w:val="21"/>
          <w:szCs w:val="22"/>
          <w:highlight w:val="none"/>
          <w:lang w:val="fr-FR" w:eastAsia="zh-CN"/>
        </w:rPr>
        <w:t xml:space="preserve">pendant le chargement et le dédouanement de l'exportation de bauxite </w:t>
      </w:r>
      <w:r>
        <w:rPr>
          <w:rFonts w:hint="default" w:cs="Times New Roman"/>
          <w:color w:val="auto"/>
          <w:sz w:val="21"/>
          <w:szCs w:val="22"/>
          <w:highlight w:val="none"/>
          <w:lang w:val="fr-FR" w:eastAsia="zh-CN"/>
        </w:rPr>
        <w:t>.</w:t>
      </w:r>
    </w:p>
    <w:p w14:paraId="46719B97">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(3) L'agent est responsable de la déclaration fiscale</w:t>
      </w:r>
      <w:r>
        <w:rPr>
          <w:rFonts w:hint="eastAsia" w:cs="Times New Roman"/>
          <w:color w:val="auto"/>
          <w:sz w:val="21"/>
          <w:szCs w:val="22"/>
          <w:highlight w:val="none"/>
          <w:lang w:val="en-US" w:eastAsia="zh-CN"/>
        </w:rPr>
        <w:t xml:space="preserve"> de bauxite（taxe </w:t>
      </w:r>
      <w:r>
        <w:rPr>
          <w:rFonts w:hint="default" w:cs="Times New Roman"/>
          <w:color w:val="auto"/>
          <w:sz w:val="21"/>
          <w:szCs w:val="22"/>
          <w:highlight w:val="none"/>
          <w:lang w:val="fr-FR" w:eastAsia="zh-CN"/>
        </w:rPr>
        <w:t>minière</w:t>
      </w:r>
      <w:r>
        <w:rPr>
          <w:rFonts w:hint="eastAsia" w:cs="Times New Roman"/>
          <w:color w:val="auto"/>
          <w:sz w:val="21"/>
          <w:szCs w:val="22"/>
          <w:highlight w:val="none"/>
          <w:lang w:val="en-US" w:eastAsia="zh-CN"/>
        </w:rPr>
        <w:t>）</w:t>
      </w:r>
      <w:r>
        <w:rPr>
          <w:rFonts w:hint="eastAsia" w:ascii="Times New Roman" w:hAnsi="Times New Roman" w:eastAsia="宋体" w:cs="Times New Roman"/>
          <w:color w:val="auto"/>
          <w:sz w:val="21"/>
          <w:szCs w:val="22"/>
          <w:highlight w:val="none"/>
          <w:lang w:val="fr-FR" w:eastAsia="zh-CN"/>
        </w:rPr>
        <w:t xml:space="preserve">, du suivi et du traitement de la bauxite exportée confirmée par le client </w:t>
      </w:r>
      <w:r>
        <w:rPr>
          <w:rFonts w:hint="eastAsia" w:cs="Times New Roman"/>
          <w:color w:val="auto"/>
          <w:sz w:val="21"/>
          <w:szCs w:val="22"/>
          <w:highlight w:val="none"/>
          <w:lang w:val="en-US" w:eastAsia="zh-CN"/>
        </w:rPr>
        <w:t xml:space="preserve">et </w:t>
      </w:r>
      <w:r>
        <w:rPr>
          <w:rFonts w:hint="eastAsia"/>
          <w:color w:val="auto"/>
          <w:sz w:val="21"/>
          <w:szCs w:val="22"/>
          <w:highlight w:val="none"/>
          <w:lang w:val="fr-FR"/>
        </w:rPr>
        <w:t>de l'obtention des documents originaux pour l'exportation de bauxite</w:t>
      </w:r>
      <w:r>
        <w:rPr>
          <w:rFonts w:hint="eastAsia"/>
          <w:color w:val="auto"/>
          <w:sz w:val="21"/>
          <w:szCs w:val="22"/>
          <w:highlight w:val="none"/>
          <w:lang w:val="en-US" w:eastAsia="zh-CN"/>
        </w:rPr>
        <w:t xml:space="preserve"> </w:t>
      </w:r>
      <w:r>
        <w:rPr>
          <w:rFonts w:hint="eastAsia" w:ascii="Times New Roman" w:hAnsi="Times New Roman" w:eastAsia="宋体" w:cs="Times New Roman"/>
          <w:color w:val="auto"/>
          <w:sz w:val="21"/>
          <w:szCs w:val="22"/>
          <w:highlight w:val="none"/>
          <w:lang w:val="fr-FR" w:eastAsia="zh-CN"/>
        </w:rPr>
        <w:t>et capable de répondre et de satisfaire aux exigences du gouvernement guinéen et des départements concernés.</w:t>
      </w:r>
    </w:p>
    <w:p w14:paraId="062245EE">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left"/>
        <w:textAlignment w:val="auto"/>
        <w:outlineLvl w:val="9"/>
        <w:rPr>
          <w:rFonts w:hint="eastAsia" w:ascii="Times New Roman" w:hAnsi="Times New Roman" w:eastAsia="宋体"/>
          <w:color w:val="auto"/>
          <w:sz w:val="21"/>
          <w:szCs w:val="21"/>
          <w:highlight w:val="none"/>
          <w:lang w:val="en-US" w:eastAsia="zh-CN"/>
        </w:rPr>
      </w:pPr>
      <w:r>
        <w:rPr>
          <w:rFonts w:hint="eastAsia" w:ascii="Times New Roman" w:hAnsi="Times New Roman" w:eastAsia="宋体" w:cs="Times New Roman"/>
          <w:color w:val="auto"/>
          <w:sz w:val="21"/>
          <w:szCs w:val="22"/>
          <w:highlight w:val="none"/>
          <w:lang w:val="fr-FR" w:eastAsia="zh-CN"/>
        </w:rPr>
        <w:t>(4) S'assurer que le processus de déclaration et de dédouanement de la bauxite exportée par le client répond aux exigences du gouvernement guinéen, fournir des conseils techniques au client sur les nouvelles politiques et collaborer avec le client pour résoudre les difficultés rencontrées au cours de la période d'exportation.</w:t>
      </w:r>
      <w:bookmarkEnd w:id="70"/>
    </w:p>
    <w:p w14:paraId="01BEEB7C">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lang w:val="en-US" w:eastAsia="zh-CN"/>
        </w:rPr>
        <w:t>三</w:t>
      </w:r>
      <w:r>
        <w:rPr>
          <w:rFonts w:ascii="Times New Roman" w:hAnsi="Times New Roman" w:eastAsia="宋体"/>
          <w:color w:val="auto"/>
          <w:sz w:val="21"/>
          <w:szCs w:val="21"/>
          <w:highlight w:val="none"/>
        </w:rPr>
        <w:t>、委托人</w:t>
      </w:r>
      <w:bookmarkEnd w:id="71"/>
      <w:bookmarkEnd w:id="72"/>
      <w:bookmarkEnd w:id="73"/>
      <w:bookmarkEnd w:id="74"/>
      <w:r>
        <w:rPr>
          <w:rFonts w:hint="eastAsia" w:ascii="Times New Roman" w:hAnsi="Times New Roman" w:eastAsia="宋体"/>
          <w:color w:val="auto"/>
          <w:sz w:val="21"/>
          <w:szCs w:val="21"/>
          <w:highlight w:val="none"/>
        </w:rPr>
        <w:t>提供的设备、设施</w:t>
      </w:r>
      <w:r>
        <w:rPr>
          <w:rFonts w:hint="default"/>
          <w:color w:val="auto"/>
          <w:sz w:val="21"/>
          <w:szCs w:val="21"/>
          <w:highlight w:val="none"/>
          <w:lang w:val="fr-FR"/>
        </w:rPr>
        <w:t>E</w:t>
      </w:r>
      <w:r>
        <w:rPr>
          <w:rFonts w:hint="eastAsia" w:ascii="Times New Roman" w:hAnsi="Times New Roman" w:eastAsia="宋体"/>
          <w:color w:val="auto"/>
          <w:sz w:val="21"/>
          <w:szCs w:val="21"/>
          <w:highlight w:val="none"/>
        </w:rPr>
        <w:t>uipements et installations fournis par le mandant</w:t>
      </w:r>
    </w:p>
    <w:p w14:paraId="124DA1D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color w:val="auto"/>
          <w:highlight w:val="none"/>
          <w:lang w:val="fr-FR" w:eastAsia="zh-CN"/>
        </w:rPr>
      </w:pPr>
      <w:bookmarkStart w:id="75" w:name="_Toc482188644"/>
      <w:r>
        <w:rPr>
          <w:rFonts w:hint="eastAsia" w:ascii="宋体" w:hAnsi="宋体"/>
          <w:color w:val="auto"/>
          <w:highlight w:val="none"/>
          <w:lang w:val="en-US" w:eastAsia="zh-CN"/>
        </w:rPr>
        <w:t>无</w:t>
      </w:r>
      <w:r>
        <w:rPr>
          <w:rFonts w:hint="default" w:ascii="Times New Roman" w:hAnsi="宋体" w:cs="Times New Roman"/>
          <w:color w:val="auto"/>
          <w:highlight w:val="none"/>
          <w:lang w:val="fr-FR" w:eastAsia="zh-CN"/>
        </w:rPr>
        <w:t>Aucun</w:t>
      </w:r>
    </w:p>
    <w:p w14:paraId="5DC4B27C">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ascii="Times New Roman" w:hAnsi="Times New Roman" w:eastAsia="宋体"/>
          <w:color w:val="auto"/>
          <w:sz w:val="21"/>
          <w:szCs w:val="21"/>
          <w:highlight w:val="none"/>
        </w:rPr>
      </w:pPr>
      <w:bookmarkStart w:id="76" w:name="_Toc6584794"/>
      <w:bookmarkStart w:id="77" w:name="_Toc107567063"/>
      <w:bookmarkStart w:id="78" w:name="_Toc5738299"/>
      <w:r>
        <w:rPr>
          <w:rFonts w:ascii="Times New Roman" w:hAnsi="Times New Roman" w:eastAsia="宋体"/>
          <w:color w:val="auto"/>
          <w:sz w:val="21"/>
          <w:szCs w:val="21"/>
          <w:highlight w:val="none"/>
        </w:rPr>
        <w:t>五、委托人提供的便利条件</w:t>
      </w:r>
      <w:bookmarkEnd w:id="75"/>
      <w:bookmarkEnd w:id="76"/>
      <w:bookmarkEnd w:id="77"/>
      <w:bookmarkEnd w:id="78"/>
      <w:r>
        <w:rPr>
          <w:rFonts w:hint="eastAsia" w:ascii="Times New Roman" w:hAnsi="Times New Roman" w:eastAsia="宋体"/>
          <w:color w:val="auto"/>
          <w:sz w:val="21"/>
          <w:szCs w:val="21"/>
          <w:highlight w:val="none"/>
        </w:rPr>
        <w:t>Moyens mis à disposition par le mandant</w:t>
      </w:r>
    </w:p>
    <w:p w14:paraId="05970ACA">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left"/>
        <w:textAlignment w:val="auto"/>
        <w:outlineLvl w:val="9"/>
        <w:rPr>
          <w:rFonts w:hint="eastAsia" w:ascii="宋体" w:hAnsi="宋体"/>
          <w:color w:val="auto"/>
          <w:highlight w:val="none"/>
          <w:lang w:val="en-US" w:eastAsia="zh-CN"/>
        </w:rPr>
      </w:pPr>
      <w:bookmarkStart w:id="79" w:name="_Toc5738300"/>
      <w:bookmarkStart w:id="80" w:name="_Toc6584795"/>
      <w:bookmarkStart w:id="81" w:name="_Toc482188645"/>
      <w:bookmarkStart w:id="82" w:name="_Toc107567064"/>
      <w:r>
        <w:rPr>
          <w:rFonts w:hint="eastAsia" w:ascii="宋体" w:hAnsi="宋体"/>
          <w:color w:val="auto"/>
          <w:highlight w:val="none"/>
          <w:lang w:val="en-US" w:eastAsia="zh-CN"/>
        </w:rPr>
        <w:t>无</w:t>
      </w:r>
      <w:r>
        <w:rPr>
          <w:rFonts w:hint="default" w:ascii="Times New Roman" w:hAnsi="宋体" w:cs="Times New Roman"/>
          <w:color w:val="auto"/>
          <w:highlight w:val="none"/>
          <w:lang w:val="fr-FR" w:eastAsia="zh-CN"/>
        </w:rPr>
        <w:t>Aucun</w:t>
      </w:r>
    </w:p>
    <w:p w14:paraId="2C2621A8">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六、服务人需要自备的工作条件</w:t>
      </w:r>
      <w:bookmarkEnd w:id="79"/>
      <w:bookmarkEnd w:id="80"/>
      <w:bookmarkEnd w:id="81"/>
      <w:bookmarkEnd w:id="82"/>
      <w:r>
        <w:rPr>
          <w:rFonts w:hint="eastAsia" w:ascii="Times New Roman" w:hAnsi="Times New Roman" w:eastAsia="宋体"/>
          <w:color w:val="auto"/>
          <w:sz w:val="21"/>
          <w:szCs w:val="21"/>
          <w:highlight w:val="none"/>
        </w:rPr>
        <w:t>Le prestataire de services doit préparer ses propres conditions de travail</w:t>
      </w:r>
    </w:p>
    <w:p w14:paraId="429E6CA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宋体" w:hAnsi="宋体"/>
          <w:color w:val="auto"/>
          <w:highlight w:val="none"/>
          <w:lang w:val="en-US" w:eastAsia="zh-CN"/>
        </w:rPr>
      </w:pPr>
      <w:bookmarkStart w:id="83" w:name="_Toc482188646"/>
      <w:r>
        <w:rPr>
          <w:rFonts w:hint="eastAsia" w:ascii="宋体" w:hAnsi="宋体"/>
          <w:color w:val="auto"/>
          <w:highlight w:val="none"/>
          <w:lang w:val="en-US" w:eastAsia="zh-CN"/>
        </w:rPr>
        <w:t>根据谈判文件工作需要，自行准备</w:t>
      </w:r>
      <w:r>
        <w:rPr>
          <w:rFonts w:hint="eastAsia" w:ascii="Times New Roman" w:hAnsi="Times New Roman" w:eastAsia="宋体" w:cs="Times New Roman"/>
          <w:color w:val="auto"/>
          <w:sz w:val="21"/>
          <w:szCs w:val="21"/>
          <w:highlight w:val="none"/>
          <w:lang w:val="en-US" w:eastAsia="zh-CN"/>
        </w:rPr>
        <w:t>Préparées par le prestataire lui-même en fonction des besoins du document d'appel d'offres.</w:t>
      </w:r>
    </w:p>
    <w:p w14:paraId="4B6A6A4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ascii="宋体" w:hAnsi="宋体" w:eastAsia="宋体"/>
          <w:color w:val="auto"/>
          <w:highlight w:val="none"/>
        </w:rPr>
      </w:pPr>
      <w:r>
        <w:rPr>
          <w:rFonts w:ascii="宋体" w:hAnsi="宋体" w:eastAsia="宋体"/>
          <w:color w:val="auto"/>
          <w:highlight w:val="none"/>
        </w:rPr>
        <w:t>……</w:t>
      </w:r>
    </w:p>
    <w:p w14:paraId="177DB0DA">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ascii="Times New Roman" w:hAnsi="Times New Roman" w:eastAsia="宋体"/>
          <w:color w:val="auto"/>
          <w:sz w:val="21"/>
          <w:szCs w:val="21"/>
          <w:highlight w:val="none"/>
        </w:rPr>
      </w:pPr>
      <w:bookmarkStart w:id="84" w:name="_Toc107567065"/>
      <w:bookmarkStart w:id="85" w:name="_Toc5738301"/>
      <w:bookmarkStart w:id="86" w:name="_Toc6584796"/>
      <w:r>
        <w:rPr>
          <w:rFonts w:ascii="Times New Roman" w:hAnsi="Times New Roman" w:eastAsia="宋体"/>
          <w:color w:val="auto"/>
          <w:sz w:val="21"/>
          <w:szCs w:val="21"/>
          <w:highlight w:val="none"/>
        </w:rPr>
        <w:t>七、委托人的其他要求</w:t>
      </w:r>
      <w:bookmarkEnd w:id="83"/>
      <w:bookmarkEnd w:id="84"/>
      <w:bookmarkEnd w:id="85"/>
      <w:bookmarkEnd w:id="86"/>
      <w:r>
        <w:rPr>
          <w:rFonts w:hint="eastAsia" w:ascii="Times New Roman" w:hAnsi="Times New Roman" w:eastAsia="宋体"/>
          <w:color w:val="auto"/>
          <w:sz w:val="21"/>
          <w:szCs w:val="21"/>
          <w:highlight w:val="none"/>
        </w:rPr>
        <w:t>Autres exigences du mandant</w:t>
      </w:r>
    </w:p>
    <w:p w14:paraId="0CB5867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ascii="宋体" w:hAnsi="宋体" w:eastAsia="宋体"/>
          <w:color w:val="auto"/>
          <w:highlight w:val="none"/>
        </w:rPr>
      </w:pPr>
      <w:r>
        <w:rPr>
          <w:rFonts w:hint="eastAsia" w:ascii="宋体" w:hAnsi="宋体"/>
          <w:color w:val="auto"/>
          <w:highlight w:val="none"/>
          <w:lang w:val="en-US" w:eastAsia="zh-CN"/>
        </w:rPr>
        <w:t>无</w:t>
      </w:r>
      <w:r>
        <w:rPr>
          <w:rFonts w:hint="default" w:ascii="Times New Roman" w:hAnsi="宋体" w:cs="Times New Roman"/>
          <w:color w:val="auto"/>
          <w:highlight w:val="none"/>
          <w:lang w:val="fr-FR" w:eastAsia="zh-CN"/>
        </w:rPr>
        <w:t>Aucun</w:t>
      </w:r>
    </w:p>
    <w:p w14:paraId="513658B3">
      <w:pPr>
        <w:widowControl/>
        <w:jc w:val="left"/>
        <w:rPr>
          <w:rFonts w:ascii="宋体" w:hAnsi="宋体" w:eastAsia="宋体"/>
          <w:color w:val="auto"/>
          <w:highlight w:val="none"/>
        </w:rPr>
      </w:pPr>
    </w:p>
    <w:p w14:paraId="5524DC4C">
      <w:pPr>
        <w:widowControl/>
        <w:jc w:val="left"/>
        <w:rPr>
          <w:rFonts w:ascii="宋体" w:hAnsi="宋体" w:eastAsia="宋体"/>
          <w:color w:val="auto"/>
          <w:highlight w:val="none"/>
        </w:rPr>
      </w:pPr>
    </w:p>
    <w:p w14:paraId="7FC362E8">
      <w:pPr>
        <w:spacing w:line="400" w:lineRule="exact"/>
        <w:jc w:val="center"/>
        <w:rPr>
          <w:rFonts w:ascii="宋体" w:hAnsi="宋体"/>
          <w:color w:val="auto"/>
          <w:highlight w:val="none"/>
        </w:rPr>
      </w:pPr>
    </w:p>
    <w:p w14:paraId="539501A3">
      <w:pPr>
        <w:outlineLvl w:val="9"/>
        <w:rPr>
          <w:rFonts w:hint="default"/>
          <w:color w:val="auto"/>
          <w:highlight w:val="none"/>
          <w:lang w:val="en-US" w:eastAsia="zh-CN"/>
        </w:rPr>
      </w:pPr>
    </w:p>
    <w:p w14:paraId="5A09EAD8">
      <w:pPr>
        <w:pStyle w:val="2"/>
        <w:adjustRightInd w:val="0"/>
        <w:snapToGrid w:val="0"/>
        <w:spacing w:before="0" w:after="0" w:line="360" w:lineRule="auto"/>
        <w:jc w:val="center"/>
        <w:rPr>
          <w:rFonts w:ascii="宋体" w:hAnsi="宋体" w:eastAsia="宋体"/>
          <w:b/>
          <w:color w:val="auto"/>
          <w:sz w:val="28"/>
          <w:szCs w:val="28"/>
          <w:highlight w:val="none"/>
        </w:rPr>
        <w:sectPr>
          <w:footerReference r:id="rId8" w:type="default"/>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bookmarkStart w:id="87" w:name="_Toc13119"/>
    </w:p>
    <w:p w14:paraId="046A9F77">
      <w:pPr>
        <w:pStyle w:val="2"/>
        <w:adjustRightInd w:val="0"/>
        <w:snapToGrid w:val="0"/>
        <w:spacing w:before="0" w:after="0" w:line="360" w:lineRule="auto"/>
        <w:jc w:val="center"/>
        <w:rPr>
          <w:rFonts w:hint="default"/>
          <w:b w:val="0"/>
          <w:bCs/>
          <w:color w:val="auto"/>
          <w:highlight w:val="none"/>
          <w:lang w:val="en-US" w:eastAsia="zh-CN"/>
        </w:rPr>
      </w:pPr>
      <w:r>
        <w:rPr>
          <w:rFonts w:ascii="宋体" w:hAnsi="宋体" w:eastAsia="宋体"/>
          <w:b/>
          <w:color w:val="auto"/>
          <w:sz w:val="28"/>
          <w:szCs w:val="28"/>
          <w:highlight w:val="none"/>
        </w:rPr>
        <w:t>第</w:t>
      </w:r>
      <w:r>
        <w:rPr>
          <w:rFonts w:hint="eastAsia" w:ascii="宋体" w:hAnsi="宋体" w:eastAsia="宋体"/>
          <w:b/>
          <w:color w:val="auto"/>
          <w:sz w:val="28"/>
          <w:szCs w:val="28"/>
          <w:highlight w:val="none"/>
          <w:lang w:val="en-US" w:eastAsia="zh-CN"/>
        </w:rPr>
        <w:t>三</w:t>
      </w:r>
      <w:r>
        <w:rPr>
          <w:rFonts w:ascii="宋体" w:hAnsi="宋体" w:eastAsia="宋体"/>
          <w:b/>
          <w:color w:val="auto"/>
          <w:sz w:val="28"/>
          <w:szCs w:val="28"/>
          <w:highlight w:val="none"/>
        </w:rPr>
        <w:t xml:space="preserve">章 </w:t>
      </w:r>
      <w:r>
        <w:rPr>
          <w:rFonts w:hint="eastAsia" w:ascii="宋体" w:hAnsi="宋体" w:eastAsia="宋体" w:cs="Times New Roman"/>
          <w:b/>
          <w:color w:val="auto"/>
          <w:sz w:val="28"/>
          <w:szCs w:val="28"/>
          <w:highlight w:val="none"/>
          <w:lang w:val="en-US" w:eastAsia="zh-CN"/>
        </w:rPr>
        <w:t>合同</w:t>
      </w:r>
      <w:bookmarkEnd w:id="87"/>
    </w:p>
    <w:p w14:paraId="5E247757">
      <w:pPr>
        <w:spacing w:line="360" w:lineRule="auto"/>
        <w:ind w:firstLine="422" w:firstLineChars="200"/>
        <w:jc w:val="center"/>
        <w:rPr>
          <w:rFonts w:ascii="Times New Roman" w:hAnsi="Times New Roman"/>
          <w:b/>
          <w:color w:val="auto"/>
          <w:szCs w:val="21"/>
          <w:highlight w:val="none"/>
          <w:lang w:val="fr-FR"/>
        </w:rPr>
      </w:pPr>
      <w:bookmarkStart w:id="88" w:name="_Toc19582"/>
      <w:bookmarkStart w:id="89" w:name="_Toc15382"/>
      <w:r>
        <w:rPr>
          <w:rFonts w:hint="eastAsia"/>
          <w:b/>
          <w:color w:val="auto"/>
          <w:szCs w:val="21"/>
          <w:highlight w:val="none"/>
          <w:lang w:val="en-US" w:eastAsia="zh-CN"/>
        </w:rPr>
        <w:t xml:space="preserve">铝土矿出口代理合同 </w:t>
      </w:r>
    </w:p>
    <w:p w14:paraId="0260095A">
      <w:pPr>
        <w:spacing w:line="360" w:lineRule="auto"/>
        <w:ind w:firstLine="422" w:firstLineChars="200"/>
        <w:jc w:val="center"/>
        <w:rPr>
          <w:rFonts w:hint="eastAsia"/>
          <w:b/>
          <w:color w:val="auto"/>
          <w:szCs w:val="21"/>
          <w:highlight w:val="none"/>
          <w:lang w:val="en-US" w:eastAsia="zh-CN"/>
        </w:rPr>
      </w:pPr>
      <w:r>
        <w:rPr>
          <w:rFonts w:hint="eastAsia" w:ascii="Times New Roman" w:hAnsi="Times New Roman"/>
          <w:b/>
          <w:color w:val="auto"/>
          <w:szCs w:val="21"/>
          <w:highlight w:val="none"/>
          <w:lang w:val="fr-FR"/>
        </w:rPr>
        <w:t>Contrat</w:t>
      </w:r>
      <w:r>
        <w:rPr>
          <w:rFonts w:hint="eastAsia"/>
          <w:b/>
          <w:color w:val="auto"/>
          <w:szCs w:val="21"/>
          <w:highlight w:val="none"/>
          <w:lang w:val="en-US" w:eastAsia="zh-CN"/>
        </w:rPr>
        <w:t xml:space="preserve"> </w:t>
      </w:r>
      <w:r>
        <w:rPr>
          <w:rFonts w:hint="eastAsia" w:ascii="Times New Roman" w:hAnsi="Times New Roman"/>
          <w:b/>
          <w:color w:val="auto"/>
          <w:szCs w:val="21"/>
          <w:highlight w:val="none"/>
          <w:lang w:val="fr-FR"/>
        </w:rPr>
        <w:t>de</w:t>
      </w:r>
      <w:r>
        <w:rPr>
          <w:rFonts w:hint="eastAsia"/>
          <w:b/>
          <w:color w:val="auto"/>
          <w:szCs w:val="21"/>
          <w:highlight w:val="none"/>
          <w:lang w:val="en-US" w:eastAsia="zh-CN"/>
        </w:rPr>
        <w:t xml:space="preserve"> </w:t>
      </w:r>
      <w:r>
        <w:rPr>
          <w:rFonts w:hint="eastAsia" w:ascii="Times New Roman" w:hAnsi="Times New Roman"/>
          <w:b/>
          <w:color w:val="auto"/>
          <w:szCs w:val="21"/>
          <w:highlight w:val="none"/>
          <w:lang w:val="fr-FR"/>
        </w:rPr>
        <w:t>prestation transit</w:t>
      </w:r>
      <w:r>
        <w:rPr>
          <w:rFonts w:hint="eastAsia"/>
          <w:b/>
          <w:color w:val="auto"/>
          <w:szCs w:val="21"/>
          <w:highlight w:val="none"/>
          <w:lang w:val="en-US" w:eastAsia="zh-CN"/>
        </w:rPr>
        <w:t xml:space="preserve"> </w:t>
      </w:r>
    </w:p>
    <w:p w14:paraId="429C8AD6">
      <w:pPr>
        <w:spacing w:line="360" w:lineRule="auto"/>
        <w:ind w:firstLine="422" w:firstLineChars="200"/>
        <w:jc w:val="center"/>
        <w:rPr>
          <w:rFonts w:ascii="Times New Roman" w:hAnsi="Times New Roman"/>
          <w:color w:val="auto"/>
          <w:szCs w:val="21"/>
          <w:highlight w:val="none"/>
          <w:lang w:val="fr-FR"/>
        </w:rPr>
      </w:pPr>
      <w:r>
        <w:rPr>
          <w:rFonts w:hint="eastAsia"/>
          <w:b/>
          <w:color w:val="auto"/>
          <w:szCs w:val="21"/>
          <w:highlight w:val="none"/>
        </w:rPr>
        <w:t>Exportation</w:t>
      </w:r>
      <w:r>
        <w:rPr>
          <w:rFonts w:hint="eastAsia"/>
          <w:b/>
          <w:color w:val="auto"/>
          <w:szCs w:val="21"/>
          <w:highlight w:val="none"/>
          <w:lang w:val="en-US" w:eastAsia="zh-CN"/>
        </w:rPr>
        <w:t xml:space="preserve"> </w:t>
      </w:r>
      <w:r>
        <w:rPr>
          <w:rFonts w:hint="eastAsia"/>
          <w:b/>
          <w:color w:val="auto"/>
          <w:szCs w:val="21"/>
          <w:highlight w:val="none"/>
        </w:rPr>
        <w:t>de la</w:t>
      </w:r>
      <w:r>
        <w:rPr>
          <w:rFonts w:hint="eastAsia"/>
          <w:b/>
          <w:color w:val="auto"/>
          <w:szCs w:val="21"/>
          <w:highlight w:val="none"/>
          <w:lang w:eastAsia="zh-CN"/>
        </w:rPr>
        <w:t xml:space="preserve"> </w:t>
      </w:r>
      <w:r>
        <w:rPr>
          <w:rFonts w:hint="eastAsia"/>
          <w:b/>
          <w:color w:val="auto"/>
          <w:szCs w:val="21"/>
          <w:highlight w:val="none"/>
        </w:rPr>
        <w:t>bauxite</w:t>
      </w:r>
    </w:p>
    <w:p w14:paraId="5692E9F1">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委托方</w:t>
      </w:r>
      <w:r>
        <w:rPr>
          <w:rFonts w:ascii="Times New Roman" w:hAnsi="Times New Roman"/>
          <w:color w:val="auto"/>
          <w:szCs w:val="21"/>
          <w:highlight w:val="none"/>
          <w:lang w:val="fr-FR"/>
        </w:rPr>
        <w:t>（</w:t>
      </w:r>
      <w:r>
        <w:rPr>
          <w:rFonts w:ascii="Times New Roman" w:hAnsi="Times New Roman"/>
          <w:color w:val="auto"/>
          <w:szCs w:val="21"/>
          <w:highlight w:val="none"/>
        </w:rPr>
        <w:t>甲方</w:t>
      </w:r>
      <w:r>
        <w:rPr>
          <w:rFonts w:ascii="Times New Roman" w:hAnsi="Times New Roman"/>
          <w:color w:val="auto"/>
          <w:szCs w:val="21"/>
          <w:highlight w:val="none"/>
          <w:lang w:val="fr-FR"/>
        </w:rPr>
        <w:t>）：</w:t>
      </w:r>
      <w:r>
        <w:rPr>
          <w:rFonts w:hint="eastAsia" w:ascii="Times New Roman" w:hAnsi="Times New Roman"/>
          <w:color w:val="auto"/>
          <w:szCs w:val="21"/>
          <w:highlight w:val="none"/>
        </w:rPr>
        <w:t>几内亚高丽亚矿山股份有限公司</w:t>
      </w:r>
    </w:p>
    <w:p w14:paraId="7374652B">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Partie A: Guinea Colia Mining S.A.</w:t>
      </w:r>
    </w:p>
    <w:p w14:paraId="4AC552E3">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受托方</w:t>
      </w:r>
      <w:r>
        <w:rPr>
          <w:rFonts w:ascii="Times New Roman" w:hAnsi="Times New Roman"/>
          <w:color w:val="auto"/>
          <w:szCs w:val="21"/>
          <w:highlight w:val="none"/>
          <w:lang w:val="fr-FR"/>
        </w:rPr>
        <w:t>（</w:t>
      </w:r>
      <w:r>
        <w:rPr>
          <w:rFonts w:ascii="Times New Roman" w:hAnsi="Times New Roman"/>
          <w:color w:val="auto"/>
          <w:szCs w:val="21"/>
          <w:highlight w:val="none"/>
        </w:rPr>
        <w:t>乙方</w:t>
      </w:r>
      <w:r>
        <w:rPr>
          <w:rFonts w:ascii="Times New Roman" w:hAnsi="Times New Roman"/>
          <w:color w:val="auto"/>
          <w:szCs w:val="21"/>
          <w:highlight w:val="none"/>
          <w:lang w:val="fr-FR"/>
        </w:rPr>
        <w:t>）：</w:t>
      </w:r>
    </w:p>
    <w:p w14:paraId="10A4EE61">
      <w:pPr>
        <w:spacing w:line="360" w:lineRule="auto"/>
        <w:ind w:firstLine="420" w:firstLineChars="200"/>
        <w:rPr>
          <w:rFonts w:hint="default" w:ascii="Times New Roman" w:hAnsi="Times New Roman"/>
          <w:color w:val="auto"/>
          <w:szCs w:val="21"/>
          <w:highlight w:val="none"/>
        </w:rPr>
      </w:pPr>
      <w:r>
        <w:rPr>
          <w:rFonts w:ascii="Times New Roman" w:hAnsi="Times New Roman"/>
          <w:color w:val="auto"/>
          <w:szCs w:val="21"/>
          <w:highlight w:val="none"/>
          <w:lang w:val="fr-FR"/>
        </w:rPr>
        <w:t>Partie B :</w:t>
      </w:r>
      <w:r>
        <w:rPr>
          <w:rFonts w:hint="default" w:ascii="Times New Roman" w:hAnsi="Times New Roman"/>
          <w:color w:val="auto"/>
          <w:szCs w:val="21"/>
          <w:highlight w:val="none"/>
        </w:rPr>
        <w:t xml:space="preserve"> </w:t>
      </w:r>
    </w:p>
    <w:p w14:paraId="6A83440C">
      <w:pPr>
        <w:spacing w:line="360" w:lineRule="auto"/>
        <w:ind w:firstLine="420" w:firstLineChars="200"/>
        <w:rPr>
          <w:rFonts w:ascii="Times New Roman" w:hAnsi="Times New Roman"/>
          <w:color w:val="auto"/>
          <w:szCs w:val="21"/>
          <w:highlight w:val="none"/>
          <w:lang w:val="fr-FR"/>
        </w:rPr>
      </w:pPr>
      <w:r>
        <w:rPr>
          <w:rFonts w:hint="eastAsia" w:ascii="Times New Roman" w:hAnsi="Times New Roman"/>
          <w:color w:val="auto"/>
          <w:szCs w:val="21"/>
          <w:highlight w:val="none"/>
        </w:rPr>
        <w:t>鉴于甲方在矿业开发项目范围内出口铝土矿，接受了乙方的投标。为了明确甲、乙双方的权利和义务，经友好协商，在遵循平等、自愿、公平和诚信的原则下，在真实、充分的表达各自意愿的基础上，签订本合同。</w:t>
      </w:r>
    </w:p>
    <w:p w14:paraId="4E9CFC3B">
      <w:pPr>
        <w:spacing w:line="360" w:lineRule="auto"/>
        <w:ind w:firstLine="420" w:firstLineChars="200"/>
        <w:rPr>
          <w:rFonts w:ascii="Times New Roman" w:hAnsi="Times New Roman"/>
          <w:bCs/>
          <w:color w:val="auto"/>
          <w:szCs w:val="21"/>
          <w:highlight w:val="none"/>
          <w:lang w:val="fr-FR"/>
        </w:rPr>
      </w:pPr>
      <w:r>
        <w:rPr>
          <w:rFonts w:hint="eastAsia" w:ascii="Times New Roman" w:hAnsi="Times New Roman"/>
          <w:color w:val="auto"/>
          <w:szCs w:val="21"/>
          <w:highlight w:val="none"/>
          <w:lang w:val="fr-FR"/>
        </w:rPr>
        <w:t>Considérant que la partie A</w:t>
      </w:r>
      <w:r>
        <w:rPr>
          <w:rFonts w:hint="eastAsia"/>
          <w:color w:val="auto"/>
          <w:szCs w:val="21"/>
          <w:highlight w:val="none"/>
          <w:lang w:val="en-US" w:eastAsia="zh-CN"/>
        </w:rPr>
        <w:t xml:space="preserve"> </w:t>
      </w:r>
      <w:r>
        <w:rPr>
          <w:rFonts w:hint="eastAsia" w:ascii="Times New Roman" w:hAnsi="Times New Roman"/>
          <w:color w:val="auto"/>
          <w:szCs w:val="21"/>
          <w:highlight w:val="none"/>
          <w:lang w:val="fr-FR"/>
        </w:rPr>
        <w:t>exporte de la bauxite dans le cadre du projet de développement minier, et qu'elle a accepté l'appel d'offres de la partie B. Afin de clarifier les droits et obligations de la partie A et de la partie B, le présent contrat est signé après des négociations amicales, conformément aux principes d'égalité, de volontariat, d'équité et de bonne foi, et sur la base de l'expression réelle et complète de leurs volontés respectives.</w:t>
      </w:r>
    </w:p>
    <w:p w14:paraId="4D7501B4">
      <w:pPr>
        <w:numPr>
          <w:ilvl w:val="0"/>
          <w:numId w:val="8"/>
        </w:numPr>
        <w:spacing w:line="360" w:lineRule="auto"/>
        <w:ind w:left="0" w:firstLine="422" w:firstLineChars="200"/>
        <w:rPr>
          <w:rFonts w:hint="eastAsia" w:ascii="Times New Roman" w:hAnsi="Times New Roman" w:eastAsia="宋体"/>
          <w:b/>
          <w:color w:val="auto"/>
          <w:szCs w:val="21"/>
          <w:highlight w:val="none"/>
          <w:lang w:val="fr-FR"/>
        </w:rPr>
      </w:pPr>
      <w:r>
        <w:rPr>
          <w:rFonts w:hint="eastAsia" w:ascii="Times New Roman" w:hAnsi="Times New Roman" w:eastAsia="宋体"/>
          <w:b/>
          <w:color w:val="auto"/>
          <w:szCs w:val="21"/>
          <w:highlight w:val="none"/>
        </w:rPr>
        <w:t>工作内容和要求</w:t>
      </w:r>
    </w:p>
    <w:p w14:paraId="4EB86A50">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Article 1 Contenu et exigences de travail</w:t>
      </w:r>
    </w:p>
    <w:p w14:paraId="4EAEDDBC">
      <w:pPr>
        <w:numPr>
          <w:ilvl w:val="0"/>
          <w:numId w:val="9"/>
        </w:numPr>
        <w:spacing w:line="360" w:lineRule="auto"/>
        <w:ind w:left="-2" w:leftChars="0" w:firstLine="422" w:firstLineChars="0"/>
        <w:rPr>
          <w:rFonts w:ascii="Times New Roman" w:hAnsi="Times New Roman"/>
          <w:b/>
          <w:color w:val="auto"/>
          <w:szCs w:val="21"/>
          <w:highlight w:val="none"/>
          <w:lang w:val="fr-FR"/>
        </w:rPr>
      </w:pPr>
      <w:r>
        <w:rPr>
          <w:rFonts w:ascii="Times New Roman" w:hAnsi="Times New Roman"/>
          <w:b/>
          <w:color w:val="auto"/>
          <w:szCs w:val="21"/>
          <w:highlight w:val="none"/>
        </w:rPr>
        <w:t>服务范围</w:t>
      </w:r>
      <w:r>
        <w:rPr>
          <w:rFonts w:hint="eastAsia" w:ascii="Times New Roman" w:hAnsi="Times New Roman"/>
          <w:b/>
          <w:color w:val="auto"/>
          <w:szCs w:val="21"/>
          <w:highlight w:val="none"/>
        </w:rPr>
        <w:t xml:space="preserve"> :Champ d'application </w:t>
      </w:r>
    </w:p>
    <w:p w14:paraId="7BC822F2">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（1）根据客户要求完成铝土矿的出口的报关工作；</w:t>
      </w:r>
    </w:p>
    <w:p w14:paraId="4E4A0ADC">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（2）根据客户的要求开展铝土矿出口税申报工作，帮助客户简化和办理税费付款程序，取得出口税申报及办理过程资料，获取完税证明；</w:t>
      </w:r>
    </w:p>
    <w:p w14:paraId="249CECBF">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（3）工作内容包括但不限于与铝土矿出口有关的其他附带工作任务、谈判、相关的咨询和技术支撑；</w:t>
      </w:r>
    </w:p>
    <w:p w14:paraId="15D69270">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20" w:firstLineChars="100"/>
        <w:jc w:val="both"/>
        <w:textAlignment w:val="auto"/>
        <w:outlineLvl w:val="9"/>
        <w:rPr>
          <w:rFonts w:hint="eastAsia" w:ascii="宋体" w:hAnsi="宋体"/>
          <w:color w:val="auto"/>
          <w:highlight w:val="none"/>
          <w:lang w:val="en-US" w:eastAsia="zh-CN"/>
        </w:rPr>
      </w:pPr>
      <w:r>
        <w:rPr>
          <w:rFonts w:hint="eastAsia" w:ascii="宋体" w:hAnsi="宋体"/>
          <w:color w:val="auto"/>
          <w:kern w:val="0"/>
          <w:sz w:val="22"/>
          <w:szCs w:val="21"/>
          <w:highlight w:val="none"/>
          <w:lang w:val="en-US" w:eastAsia="zh-CN"/>
        </w:rPr>
        <w:t>（4）投标人</w:t>
      </w:r>
      <w:r>
        <w:rPr>
          <w:rFonts w:hint="eastAsia" w:ascii="宋体" w:hAnsi="宋体"/>
          <w:color w:val="auto"/>
          <w:kern w:val="0"/>
          <w:sz w:val="22"/>
          <w:szCs w:val="21"/>
          <w:highlight w:val="none"/>
        </w:rPr>
        <w:t>保证</w:t>
      </w:r>
      <w:r>
        <w:rPr>
          <w:rFonts w:hint="eastAsia" w:ascii="宋体" w:hAnsi="宋体"/>
          <w:color w:val="auto"/>
          <w:kern w:val="0"/>
          <w:sz w:val="22"/>
          <w:szCs w:val="21"/>
          <w:highlight w:val="none"/>
          <w:lang w:val="en-US" w:eastAsia="zh-CN"/>
        </w:rPr>
        <w:t>所有办理的手续和程序符合</w:t>
      </w:r>
      <w:r>
        <w:rPr>
          <w:rFonts w:hint="eastAsia" w:ascii="宋体" w:hAnsi="宋体"/>
          <w:color w:val="auto"/>
          <w:kern w:val="0"/>
          <w:sz w:val="22"/>
          <w:szCs w:val="21"/>
          <w:highlight w:val="none"/>
        </w:rPr>
        <w:t>几内亚现行法律法规和其他相关行政文件要求</w:t>
      </w:r>
      <w:r>
        <w:rPr>
          <w:rFonts w:hint="eastAsia" w:ascii="宋体" w:hAnsi="宋体" w:cs="Times New Roman"/>
          <w:color w:val="auto"/>
          <w:kern w:val="0"/>
          <w:sz w:val="22"/>
          <w:szCs w:val="21"/>
          <w:highlight w:val="none"/>
          <w:lang w:val="en-US" w:eastAsia="zh-CN" w:bidi="ar-SA"/>
        </w:rPr>
        <w:t>。</w:t>
      </w:r>
    </w:p>
    <w:p w14:paraId="24E8B7DA">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(1) remplir la déclaration en douane pour l'exportation de bauxite conformément aux exigences des clients</w:t>
      </w:r>
    </w:p>
    <w:p w14:paraId="0184D70D">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(2) Effectuer le travail de déclaration des taxes à l'exportation de bauxite conformément aux exigences du client, aider le client à simplifier et à gérer la procédure de paiement des taxes, obtenir les informations relatives à la déclaration des taxes à l'exportation et au processus de gestion, et obtenir le certificat d'achèvement des taxes ;</w:t>
      </w:r>
    </w:p>
    <w:p w14:paraId="3D7C6C81">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(3) Le travail comprend, sans s'y limiter, d'autres tâches accessoires, des négociations, des consultations et un soutien technique liés à l'exportation de bauxite ;</w:t>
      </w:r>
    </w:p>
    <w:p w14:paraId="0EA2B67E">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(4) Le soumissionnaire s'assure que toutes les formalités et procédures traitées sont conformes aux lois et règlements guinéens en vigueur et aux autres documents administratifs pertinents.</w:t>
      </w:r>
    </w:p>
    <w:p w14:paraId="03989525">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Voir le chapitre 2, Exigences principales, pour plus d'informations.</w:t>
      </w:r>
    </w:p>
    <w:p w14:paraId="75422CF2">
      <w:pPr>
        <w:pStyle w:val="21"/>
        <w:rPr>
          <w:rFonts w:hint="eastAsia"/>
          <w:lang w:val="fr-FR" w:eastAsia="zh-CN"/>
        </w:rPr>
      </w:pPr>
    </w:p>
    <w:p w14:paraId="2A865556">
      <w:pPr>
        <w:numPr>
          <w:ilvl w:val="0"/>
          <w:numId w:val="9"/>
        </w:numPr>
        <w:spacing w:line="360" w:lineRule="auto"/>
        <w:ind w:left="-2" w:leftChars="0" w:firstLine="422" w:firstLineChars="0"/>
        <w:rPr>
          <w:rFonts w:ascii="Times New Roman" w:hAnsi="Times New Roman"/>
          <w:b/>
          <w:color w:val="auto"/>
          <w:szCs w:val="21"/>
          <w:highlight w:val="none"/>
          <w:lang w:val="fr-FR"/>
        </w:rPr>
      </w:pPr>
      <w:r>
        <w:rPr>
          <w:rFonts w:ascii="Times New Roman" w:hAnsi="Times New Roman"/>
          <w:b/>
          <w:color w:val="auto"/>
          <w:szCs w:val="21"/>
          <w:highlight w:val="none"/>
        </w:rPr>
        <w:t>服务要求：</w:t>
      </w:r>
      <w:r>
        <w:rPr>
          <w:rFonts w:hint="eastAsia" w:ascii="Times New Roman" w:hAnsi="Times New Roman"/>
          <w:b/>
          <w:color w:val="auto"/>
          <w:szCs w:val="21"/>
          <w:highlight w:val="none"/>
        </w:rPr>
        <w:t>Exigences relatives aux services</w:t>
      </w:r>
    </w:p>
    <w:p w14:paraId="309F95F4">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（1）</w:t>
      </w:r>
      <w:r>
        <w:rPr>
          <w:rFonts w:hint="eastAsia"/>
          <w:color w:val="auto"/>
          <w:szCs w:val="21"/>
          <w:highlight w:val="none"/>
          <w:lang w:val="en-US" w:eastAsia="zh-CN"/>
        </w:rPr>
        <w:t>乙方</w:t>
      </w:r>
      <w:r>
        <w:rPr>
          <w:rFonts w:hint="eastAsia" w:ascii="Times New Roman" w:hAnsi="Times New Roman"/>
          <w:color w:val="auto"/>
          <w:szCs w:val="21"/>
          <w:highlight w:val="none"/>
          <w:lang w:val="en-US" w:eastAsia="zh-CN"/>
        </w:rPr>
        <w:t>按照</w:t>
      </w:r>
      <w:r>
        <w:rPr>
          <w:rFonts w:hint="eastAsia"/>
          <w:color w:val="auto"/>
          <w:szCs w:val="21"/>
          <w:highlight w:val="none"/>
          <w:lang w:val="en-US" w:eastAsia="zh-CN"/>
        </w:rPr>
        <w:t>甲方</w:t>
      </w:r>
      <w:r>
        <w:rPr>
          <w:rFonts w:hint="eastAsia" w:ascii="Times New Roman" w:hAnsi="Times New Roman"/>
          <w:color w:val="auto"/>
          <w:szCs w:val="21"/>
          <w:highlight w:val="none"/>
          <w:lang w:val="en-US" w:eastAsia="zh-CN"/>
        </w:rPr>
        <w:t>确认并由签署的到港通知进行铝土矿出口临时申报。</w:t>
      </w:r>
    </w:p>
    <w:p w14:paraId="372C2FD3">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（2）</w:t>
      </w:r>
      <w:r>
        <w:rPr>
          <w:rFonts w:hint="eastAsia"/>
          <w:color w:val="auto"/>
          <w:szCs w:val="21"/>
          <w:highlight w:val="none"/>
          <w:lang w:val="en-US" w:eastAsia="zh-CN"/>
        </w:rPr>
        <w:t>乙方</w:t>
      </w:r>
      <w:r>
        <w:rPr>
          <w:rFonts w:hint="eastAsia" w:ascii="Times New Roman" w:hAnsi="Times New Roman"/>
          <w:color w:val="auto"/>
          <w:szCs w:val="21"/>
          <w:highlight w:val="none"/>
          <w:lang w:val="en-US" w:eastAsia="zh-CN"/>
        </w:rPr>
        <w:t>负责解决铝土矿出口的装货和清关期间所有的行政、海关、地矿部方面的问题。</w:t>
      </w:r>
    </w:p>
    <w:p w14:paraId="1D1403F4">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（3）</w:t>
      </w:r>
      <w:r>
        <w:rPr>
          <w:rFonts w:hint="eastAsia"/>
          <w:color w:val="auto"/>
          <w:szCs w:val="21"/>
          <w:highlight w:val="none"/>
          <w:lang w:val="en-US" w:eastAsia="zh-CN"/>
        </w:rPr>
        <w:t>乙方</w:t>
      </w:r>
      <w:r>
        <w:rPr>
          <w:rFonts w:hint="eastAsia" w:ascii="Times New Roman" w:hAnsi="Times New Roman"/>
          <w:color w:val="auto"/>
          <w:szCs w:val="21"/>
          <w:highlight w:val="none"/>
          <w:lang w:val="en-US" w:eastAsia="zh-CN"/>
        </w:rPr>
        <w:t>负责经过</w:t>
      </w:r>
      <w:r>
        <w:rPr>
          <w:rFonts w:hint="eastAsia"/>
          <w:color w:val="auto"/>
          <w:szCs w:val="21"/>
          <w:highlight w:val="none"/>
          <w:lang w:val="en-US" w:eastAsia="zh-CN"/>
        </w:rPr>
        <w:t>甲方</w:t>
      </w:r>
      <w:r>
        <w:rPr>
          <w:rFonts w:hint="eastAsia" w:ascii="Times New Roman" w:hAnsi="Times New Roman"/>
          <w:color w:val="auto"/>
          <w:szCs w:val="21"/>
          <w:highlight w:val="none"/>
          <w:lang w:val="en-US" w:eastAsia="zh-CN"/>
        </w:rPr>
        <w:t>确认的出口铝土矿的税务申报、跟踪、办理并</w:t>
      </w:r>
      <w:r>
        <w:rPr>
          <w:rFonts w:hint="eastAsia"/>
          <w:color w:val="auto"/>
          <w:szCs w:val="21"/>
          <w:highlight w:val="none"/>
          <w:lang w:val="en-US" w:eastAsia="zh-CN"/>
        </w:rPr>
        <w:t>拿到文件原件，且</w:t>
      </w:r>
      <w:r>
        <w:rPr>
          <w:rFonts w:hint="eastAsia" w:ascii="Times New Roman" w:hAnsi="Times New Roman"/>
          <w:color w:val="auto"/>
          <w:szCs w:val="21"/>
          <w:highlight w:val="none"/>
          <w:lang w:val="en-US" w:eastAsia="zh-CN"/>
        </w:rPr>
        <w:t>能够达到并通过几内亚政府和相关部门的要求。</w:t>
      </w:r>
    </w:p>
    <w:p w14:paraId="340A4DF4">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（4）保证</w:t>
      </w:r>
      <w:r>
        <w:rPr>
          <w:rFonts w:hint="eastAsia"/>
          <w:color w:val="auto"/>
          <w:szCs w:val="21"/>
          <w:highlight w:val="none"/>
          <w:lang w:val="en-US" w:eastAsia="zh-CN"/>
        </w:rPr>
        <w:t>甲方</w:t>
      </w:r>
      <w:r>
        <w:rPr>
          <w:rFonts w:hint="eastAsia" w:ascii="Times New Roman" w:hAnsi="Times New Roman"/>
          <w:color w:val="auto"/>
          <w:szCs w:val="21"/>
          <w:highlight w:val="none"/>
          <w:lang w:val="en-US" w:eastAsia="zh-CN"/>
        </w:rPr>
        <w:t>出口铝土矿期间的申报、清关等流程符合几内亚组织政府有关部门要求，并对新政策给予</w:t>
      </w:r>
      <w:r>
        <w:rPr>
          <w:rFonts w:hint="eastAsia"/>
          <w:color w:val="auto"/>
          <w:szCs w:val="21"/>
          <w:highlight w:val="none"/>
          <w:lang w:val="en-US" w:eastAsia="zh-CN"/>
        </w:rPr>
        <w:t>甲方</w:t>
      </w:r>
      <w:r>
        <w:rPr>
          <w:rFonts w:hint="eastAsia" w:ascii="Times New Roman" w:hAnsi="Times New Roman"/>
          <w:color w:val="auto"/>
          <w:szCs w:val="21"/>
          <w:highlight w:val="none"/>
          <w:lang w:val="en-US" w:eastAsia="zh-CN"/>
        </w:rPr>
        <w:t>技术咨询，协同</w:t>
      </w:r>
      <w:r>
        <w:rPr>
          <w:rFonts w:hint="eastAsia"/>
          <w:color w:val="auto"/>
          <w:szCs w:val="21"/>
          <w:highlight w:val="none"/>
          <w:lang w:val="en-US" w:eastAsia="zh-CN"/>
        </w:rPr>
        <w:t>甲方</w:t>
      </w:r>
      <w:r>
        <w:rPr>
          <w:rFonts w:hint="eastAsia" w:ascii="Times New Roman" w:hAnsi="Times New Roman"/>
          <w:color w:val="auto"/>
          <w:szCs w:val="21"/>
          <w:highlight w:val="none"/>
          <w:lang w:val="en-US" w:eastAsia="zh-CN"/>
        </w:rPr>
        <w:t>一起解决出口期间遇到的困难。</w:t>
      </w:r>
    </w:p>
    <w:p w14:paraId="41CFE210">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(1) L</w:t>
      </w:r>
      <w:r>
        <w:rPr>
          <w:rFonts w:hint="default" w:cs="Times New Roman"/>
          <w:color w:val="auto"/>
          <w:sz w:val="21"/>
          <w:szCs w:val="22"/>
          <w:highlight w:val="none"/>
          <w:lang w:val="fr-FR" w:eastAsia="zh-CN"/>
        </w:rPr>
        <w:t>a partie B</w:t>
      </w:r>
      <w:r>
        <w:rPr>
          <w:rFonts w:hint="eastAsia" w:ascii="Times New Roman" w:hAnsi="Times New Roman" w:eastAsia="宋体" w:cs="Times New Roman"/>
          <w:color w:val="auto"/>
          <w:sz w:val="21"/>
          <w:szCs w:val="22"/>
          <w:highlight w:val="none"/>
          <w:lang w:val="fr-FR" w:eastAsia="zh-CN"/>
        </w:rPr>
        <w:t xml:space="preserve"> effectue la déclaration temporaire d'exportation de bauxite conformément à l'avis d'arrivée confirmé et signé par</w:t>
      </w:r>
      <w:r>
        <w:rPr>
          <w:rFonts w:hint="eastAsia" w:cs="Times New Roman"/>
          <w:color w:val="auto"/>
          <w:sz w:val="21"/>
          <w:szCs w:val="22"/>
          <w:highlight w:val="none"/>
          <w:lang w:val="en-US" w:eastAsia="zh-CN"/>
        </w:rPr>
        <w:t xml:space="preserve"> </w:t>
      </w:r>
      <w:r>
        <w:rPr>
          <w:rFonts w:hint="eastAsia" w:ascii="Times New Roman" w:hAnsi="Times New Roman" w:eastAsia="宋体" w:cs="Times New Roman"/>
          <w:color w:val="auto"/>
          <w:sz w:val="21"/>
          <w:szCs w:val="22"/>
          <w:highlight w:val="none"/>
          <w:lang w:val="fr-FR" w:eastAsia="zh-CN"/>
        </w:rPr>
        <w:t>la Partie A .</w:t>
      </w:r>
    </w:p>
    <w:p w14:paraId="45DE5CCB">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(2) L</w:t>
      </w:r>
      <w:r>
        <w:rPr>
          <w:rFonts w:hint="default" w:cs="Times New Roman"/>
          <w:color w:val="auto"/>
          <w:sz w:val="21"/>
          <w:szCs w:val="22"/>
          <w:highlight w:val="none"/>
          <w:lang w:val="fr-FR" w:eastAsia="zh-CN"/>
        </w:rPr>
        <w:t>a partie B</w:t>
      </w:r>
      <w:r>
        <w:rPr>
          <w:rFonts w:hint="eastAsia" w:ascii="Times New Roman" w:hAnsi="Times New Roman" w:eastAsia="宋体" w:cs="Times New Roman"/>
          <w:color w:val="auto"/>
          <w:sz w:val="21"/>
          <w:szCs w:val="22"/>
          <w:highlight w:val="none"/>
          <w:lang w:val="fr-FR" w:eastAsia="zh-CN"/>
        </w:rPr>
        <w:t xml:space="preserve"> est responsable de la résolution de tous les problèmes administratifs, douaniers et du MMG pendant le chargement et le dédouanement de l'exportation de bauxite .</w:t>
      </w:r>
    </w:p>
    <w:p w14:paraId="5E7DF537">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 xml:space="preserve">(4) S'assurer que le processus de déclaration et de dédouanement de la bauxite exportée par la Partie A répond aux exigences du gouvernement guinéen, fournir des conseils techniques </w:t>
      </w:r>
      <w:r>
        <w:rPr>
          <w:rFonts w:hint="default" w:cs="Times New Roman"/>
          <w:color w:val="auto"/>
          <w:sz w:val="21"/>
          <w:szCs w:val="22"/>
          <w:highlight w:val="none"/>
          <w:lang w:val="fr-FR" w:eastAsia="zh-CN"/>
        </w:rPr>
        <w:t xml:space="preserve">à </w:t>
      </w:r>
      <w:r>
        <w:rPr>
          <w:rFonts w:hint="eastAsia" w:ascii="Times New Roman" w:hAnsi="Times New Roman" w:eastAsia="宋体" w:cs="Times New Roman"/>
          <w:color w:val="auto"/>
          <w:sz w:val="21"/>
          <w:szCs w:val="22"/>
          <w:highlight w:val="none"/>
          <w:lang w:val="fr-FR" w:eastAsia="zh-CN"/>
        </w:rPr>
        <w:t>la Partie A sur les nouvelles politiques et collaborer avec la Partie A pour résoudre les difficultés rencontrées au cours de la période d'exportation.</w:t>
      </w:r>
    </w:p>
    <w:p w14:paraId="22F1FA1E">
      <w:pPr>
        <w:numPr>
          <w:ilvl w:val="0"/>
          <w:numId w:val="8"/>
        </w:numPr>
        <w:spacing w:line="360" w:lineRule="auto"/>
        <w:ind w:left="0" w:firstLine="422" w:firstLineChars="200"/>
        <w:rPr>
          <w:rFonts w:ascii="Times New Roman" w:hAnsi="Times New Roman"/>
          <w:b/>
          <w:color w:val="auto"/>
          <w:szCs w:val="21"/>
          <w:highlight w:val="none"/>
          <w:lang w:val="fr-FR"/>
        </w:rPr>
      </w:pPr>
      <w:r>
        <w:rPr>
          <w:rFonts w:hint="eastAsia" w:ascii="Times New Roman" w:hAnsi="Times New Roman"/>
          <w:b/>
          <w:color w:val="auto"/>
          <w:szCs w:val="21"/>
          <w:highlight w:val="none"/>
        </w:rPr>
        <w:t>合同期限</w:t>
      </w:r>
    </w:p>
    <w:p w14:paraId="58C2D578">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Article 2 Durée du contrat</w:t>
      </w:r>
    </w:p>
    <w:p w14:paraId="7688F661">
      <w:pPr>
        <w:numPr>
          <w:ilvl w:val="0"/>
          <w:numId w:val="0"/>
        </w:num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 xml:space="preserve"> </w:t>
      </w:r>
      <w:r>
        <w:rPr>
          <w:rFonts w:ascii="Times New Roman" w:hAnsi="Times New Roman"/>
          <w:color w:val="auto"/>
          <w:szCs w:val="21"/>
          <w:highlight w:val="none"/>
        </w:rPr>
        <w:t>合同期限为自</w:t>
      </w:r>
      <w:r>
        <w:rPr>
          <w:rFonts w:hint="eastAsia" w:ascii="Times New Roman" w:hAnsi="Times New Roman"/>
          <w:color w:val="auto"/>
          <w:szCs w:val="21"/>
          <w:highlight w:val="none"/>
        </w:rPr>
        <w:t>本合同生效之日起</w:t>
      </w:r>
      <w:r>
        <w:rPr>
          <w:rFonts w:hint="eastAsia"/>
          <w:color w:val="auto"/>
          <w:szCs w:val="21"/>
          <w:highlight w:val="none"/>
          <w:lang w:val="en-US" w:eastAsia="zh-CN"/>
        </w:rPr>
        <w:t>至双方权利义务履行完毕</w:t>
      </w:r>
      <w:r>
        <w:rPr>
          <w:rFonts w:hint="eastAsia" w:ascii="Times New Roman" w:hAnsi="Times New Roman"/>
          <w:color w:val="auto"/>
          <w:szCs w:val="21"/>
          <w:highlight w:val="none"/>
          <w:lang w:val="en-US" w:eastAsia="zh-CN"/>
        </w:rPr>
        <w:t>，合同</w:t>
      </w:r>
      <w:r>
        <w:rPr>
          <w:rFonts w:hint="eastAsia"/>
          <w:color w:val="auto"/>
          <w:szCs w:val="21"/>
          <w:highlight w:val="none"/>
          <w:lang w:val="en-US" w:eastAsia="zh-CN"/>
        </w:rPr>
        <w:t>服务期限为2年</w:t>
      </w:r>
      <w:r>
        <w:rPr>
          <w:rFonts w:ascii="Times New Roman" w:hAnsi="Times New Roman"/>
          <w:color w:val="auto"/>
          <w:szCs w:val="21"/>
          <w:highlight w:val="none"/>
        </w:rPr>
        <w:t>。</w:t>
      </w:r>
    </w:p>
    <w:p w14:paraId="49338F6F">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szCs w:val="21"/>
          <w:highlight w:val="none"/>
          <w:lang w:val="fr-FR" w:eastAsia="zh-CN" w:bidi="ar-SA"/>
        </w:rPr>
      </w:pPr>
      <w:r>
        <w:rPr>
          <w:rFonts w:hint="eastAsia" w:ascii="Times New Roman" w:hAnsi="Times New Roman" w:eastAsia="宋体" w:cs="Times New Roman"/>
          <w:color w:val="auto"/>
          <w:kern w:val="2"/>
          <w:sz w:val="21"/>
          <w:szCs w:val="21"/>
          <w:highlight w:val="none"/>
          <w:lang w:val="fr-FR" w:eastAsia="zh-CN" w:bidi="ar-SA"/>
        </w:rPr>
        <w:t xml:space="preserve">La durée du contrat commence à compter de sa date d'entrée en vigueur et se prolonge jusqu'à l'exécution intégrale des droits et obligations des deux parties ; la période de prestation des services prévue est de deux ans.     </w:t>
      </w:r>
    </w:p>
    <w:p w14:paraId="72A366B2">
      <w:pPr>
        <w:numPr>
          <w:ilvl w:val="0"/>
          <w:numId w:val="8"/>
        </w:numPr>
        <w:spacing w:line="360" w:lineRule="auto"/>
        <w:ind w:left="0"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rPr>
        <w:t>费用结算与支付</w:t>
      </w:r>
    </w:p>
    <w:p w14:paraId="272DEE95">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3</w:t>
      </w:r>
      <w:r>
        <w:rPr>
          <w:rFonts w:ascii="Times New Roman" w:hAnsi="Times New Roman"/>
          <w:b/>
          <w:color w:val="auto"/>
          <w:szCs w:val="21"/>
          <w:highlight w:val="none"/>
          <w:lang w:val="fr-FR"/>
        </w:rPr>
        <w:t xml:space="preserve"> Règlement et paiement des frais </w:t>
      </w:r>
    </w:p>
    <w:p w14:paraId="0DAD80F6">
      <w:pPr>
        <w:numPr>
          <w:ilvl w:val="0"/>
          <w:numId w:val="10"/>
        </w:numPr>
        <w:spacing w:line="360" w:lineRule="auto"/>
        <w:ind w:firstLine="420" w:firstLineChars="200"/>
        <w:rPr>
          <w:rFonts w:ascii="Times New Roman" w:hAnsi="Times New Roman"/>
          <w:color w:val="FF0000"/>
          <w:szCs w:val="21"/>
          <w:highlight w:val="none"/>
        </w:rPr>
      </w:pPr>
      <w:r>
        <w:rPr>
          <w:rFonts w:hint="eastAsia"/>
          <w:color w:val="auto"/>
          <w:szCs w:val="21"/>
          <w:highlight w:val="none"/>
          <w:lang w:val="en-US" w:eastAsia="zh-CN"/>
        </w:rPr>
        <w:t>本合同为固定单价合同，不含增值税价格为_____几郎/干吨</w:t>
      </w:r>
      <w:r>
        <w:rPr>
          <w:rFonts w:hint="default"/>
          <w:color w:val="auto"/>
          <w:szCs w:val="21"/>
          <w:highlight w:val="none"/>
          <w:lang w:val="fr-FR" w:eastAsia="zh-CN"/>
        </w:rPr>
        <w:t xml:space="preserve">, </w:t>
      </w:r>
      <w:r>
        <w:rPr>
          <w:rFonts w:hint="eastAsia"/>
          <w:color w:val="auto"/>
          <w:szCs w:val="21"/>
          <w:highlight w:val="none"/>
          <w:lang w:val="en-US" w:eastAsia="zh-CN"/>
        </w:rPr>
        <w:t>价格为包干价，包括铝土矿出口税申报服务费、矿石出口装船期间政府官员正常的活动费，乙方的利润等与完成出口税有关的一切费用</w:t>
      </w:r>
      <w:r>
        <w:rPr>
          <w:rFonts w:ascii="Times New Roman" w:hAnsi="Times New Roman"/>
          <w:color w:val="auto"/>
          <w:szCs w:val="21"/>
          <w:highlight w:val="none"/>
        </w:rPr>
        <w:t>。</w:t>
      </w:r>
    </w:p>
    <w:p w14:paraId="50900485">
      <w:pPr>
        <w:spacing w:line="360" w:lineRule="auto"/>
        <w:ind w:firstLine="420" w:firstLineChars="200"/>
        <w:rPr>
          <w:rFonts w:ascii="Times New Roman" w:hAnsi="Times New Roman" w:eastAsia="宋体"/>
          <w:color w:val="auto"/>
          <w:szCs w:val="21"/>
          <w:highlight w:val="none"/>
          <w:lang w:val="fr-FR"/>
        </w:rPr>
      </w:pPr>
      <w:r>
        <w:rPr>
          <w:rFonts w:hint="eastAsia" w:ascii="Times New Roman" w:hAnsi="Times New Roman" w:eastAsia="宋体"/>
          <w:color w:val="auto"/>
          <w:szCs w:val="21"/>
          <w:highlight w:val="none"/>
          <w:lang w:val="fr-FR"/>
        </w:rPr>
        <w:t xml:space="preserve"> Ce contrat est un contrat à prix unitaire fixe, hors TVA, au prix de _____ </w:t>
      </w:r>
      <w:r>
        <w:rPr>
          <w:rFonts w:hint="eastAsia"/>
          <w:color w:val="auto"/>
          <w:szCs w:val="21"/>
          <w:highlight w:val="none"/>
          <w:lang w:val="en-US" w:eastAsia="zh-CN"/>
        </w:rPr>
        <w:t>GNF</w:t>
      </w:r>
      <w:r>
        <w:rPr>
          <w:rFonts w:hint="eastAsia" w:ascii="Times New Roman" w:hAnsi="Times New Roman" w:eastAsia="宋体"/>
          <w:color w:val="auto"/>
          <w:szCs w:val="21"/>
          <w:highlight w:val="none"/>
          <w:lang w:val="fr-FR"/>
        </w:rPr>
        <w:t>/</w:t>
      </w:r>
      <w:r>
        <w:rPr>
          <w:rFonts w:hint="eastAsia"/>
          <w:color w:val="auto"/>
          <w:szCs w:val="21"/>
          <w:highlight w:val="none"/>
          <w:lang w:val="en-US" w:eastAsia="zh-CN"/>
        </w:rPr>
        <w:t>DMT</w:t>
      </w:r>
      <w:r>
        <w:rPr>
          <w:rFonts w:hint="eastAsia" w:ascii="Times New Roman" w:hAnsi="Times New Roman" w:eastAsia="宋体"/>
          <w:color w:val="auto"/>
          <w:szCs w:val="21"/>
          <w:highlight w:val="none"/>
          <w:lang w:val="fr-FR"/>
        </w:rPr>
        <w:t>,y compris les services de déclaration de la taxe à l'exportation de bauxite, les activités normales des fonctionnaires pendant le chargement du minerai à bord du navire, le bénéfice de la partie B et les autres coûts liés à l'acquittement de la taxe à l'exportation.</w:t>
      </w:r>
    </w:p>
    <w:p w14:paraId="13202CE9">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lang w:val="fr-FR"/>
        </w:rPr>
        <w:t xml:space="preserve">  </w:t>
      </w:r>
      <w:r>
        <w:rPr>
          <w:rFonts w:ascii="Times New Roman" w:hAnsi="Times New Roman"/>
          <w:color w:val="auto"/>
          <w:szCs w:val="21"/>
          <w:highlight w:val="none"/>
        </w:rPr>
        <w:t xml:space="preserve">（二） </w:t>
      </w:r>
      <w:r>
        <w:rPr>
          <w:rFonts w:hint="eastAsia"/>
          <w:color w:val="auto"/>
          <w:szCs w:val="21"/>
          <w:highlight w:val="none"/>
          <w:lang w:val="en-US" w:eastAsia="zh-CN"/>
        </w:rPr>
        <w:t>付款方式</w:t>
      </w:r>
      <w:r>
        <w:rPr>
          <w:rFonts w:ascii="Times New Roman" w:hAnsi="Times New Roman"/>
          <w:color w:val="auto"/>
          <w:szCs w:val="21"/>
          <w:highlight w:val="none"/>
        </w:rPr>
        <w:t>。</w:t>
      </w:r>
    </w:p>
    <w:p w14:paraId="1739CCD9">
      <w:pPr>
        <w:numPr>
          <w:ilvl w:val="0"/>
          <w:numId w:val="0"/>
        </w:numPr>
        <w:spacing w:line="360" w:lineRule="auto"/>
        <w:ind w:firstLine="420" w:firstLineChars="200"/>
        <w:rPr>
          <w:rFonts w:hint="eastAsia" w:ascii="Times New Roman" w:hAnsi="Times New Roman" w:eastAsia="宋体"/>
          <w:color w:val="auto"/>
          <w:szCs w:val="21"/>
          <w:highlight w:val="none"/>
          <w:lang w:val="en-US" w:eastAsia="zh-CN"/>
        </w:rPr>
      </w:pPr>
      <w:r>
        <w:rPr>
          <w:rFonts w:hint="eastAsia"/>
          <w:color w:val="auto"/>
          <w:szCs w:val="21"/>
          <w:highlight w:val="none"/>
          <w:lang w:val="en-US" w:eastAsia="zh-CN"/>
        </w:rPr>
        <w:t>甲方</w:t>
      </w:r>
      <w:r>
        <w:rPr>
          <w:rFonts w:hint="eastAsia" w:ascii="Times New Roman" w:hAnsi="Times New Roman" w:eastAsia="宋体"/>
          <w:color w:val="auto"/>
          <w:szCs w:val="21"/>
          <w:highlight w:val="none"/>
          <w:lang w:val="en-US" w:eastAsia="zh-CN"/>
        </w:rPr>
        <w:t>在收到</w:t>
      </w:r>
      <w:r>
        <w:rPr>
          <w:rFonts w:hint="eastAsia"/>
          <w:color w:val="auto"/>
          <w:szCs w:val="21"/>
          <w:highlight w:val="none"/>
          <w:lang w:val="en-US" w:eastAsia="zh-CN"/>
        </w:rPr>
        <w:t>乙方</w:t>
      </w:r>
      <w:r>
        <w:rPr>
          <w:rFonts w:hint="eastAsia" w:ascii="Times New Roman" w:hAnsi="Times New Roman" w:eastAsia="宋体"/>
          <w:color w:val="auto"/>
          <w:szCs w:val="21"/>
          <w:highlight w:val="none"/>
          <w:lang w:val="en-US" w:eastAsia="zh-CN"/>
        </w:rPr>
        <w:t>发送的所有清关文件的盖章原件</w:t>
      </w:r>
      <w:r>
        <w:rPr>
          <w:rFonts w:hint="eastAsia"/>
          <w:color w:val="auto"/>
          <w:szCs w:val="21"/>
          <w:highlight w:val="none"/>
          <w:lang w:val="en-US" w:eastAsia="zh-CN"/>
        </w:rPr>
        <w:t>、完税证明原件</w:t>
      </w:r>
      <w:r>
        <w:rPr>
          <w:rFonts w:hint="eastAsia" w:ascii="Times New Roman" w:hAnsi="Times New Roman" w:eastAsia="宋体"/>
          <w:color w:val="auto"/>
          <w:szCs w:val="21"/>
          <w:highlight w:val="none"/>
          <w:lang w:val="en-US" w:eastAsia="zh-CN"/>
        </w:rPr>
        <w:t>及发票，并确认无误后，在合理期限内支付发票所载款项。如</w:t>
      </w:r>
      <w:r>
        <w:rPr>
          <w:rFonts w:hint="eastAsia"/>
          <w:color w:val="auto"/>
          <w:szCs w:val="21"/>
          <w:highlight w:val="none"/>
          <w:lang w:val="en-US" w:eastAsia="zh-CN"/>
        </w:rPr>
        <w:t>甲方</w:t>
      </w:r>
      <w:r>
        <w:rPr>
          <w:rFonts w:hint="eastAsia" w:ascii="Times New Roman" w:hAnsi="Times New Roman" w:eastAsia="宋体"/>
          <w:color w:val="auto"/>
          <w:szCs w:val="21"/>
          <w:highlight w:val="none"/>
          <w:lang w:val="en-US" w:eastAsia="zh-CN"/>
        </w:rPr>
        <w:t>方未收到下述全部文件，</w:t>
      </w:r>
      <w:r>
        <w:rPr>
          <w:rFonts w:hint="eastAsia"/>
          <w:color w:val="auto"/>
          <w:szCs w:val="21"/>
          <w:highlight w:val="none"/>
          <w:lang w:val="en-US" w:eastAsia="zh-CN"/>
        </w:rPr>
        <w:t>甲方</w:t>
      </w:r>
      <w:r>
        <w:rPr>
          <w:rFonts w:hint="eastAsia" w:ascii="Times New Roman" w:hAnsi="Times New Roman" w:eastAsia="宋体"/>
          <w:color w:val="auto"/>
          <w:szCs w:val="21"/>
          <w:highlight w:val="none"/>
          <w:lang w:val="en-US" w:eastAsia="zh-CN"/>
        </w:rPr>
        <w:t>有权要求</w:t>
      </w:r>
      <w:r>
        <w:rPr>
          <w:rFonts w:hint="eastAsia"/>
          <w:color w:val="auto"/>
          <w:szCs w:val="21"/>
          <w:highlight w:val="none"/>
          <w:lang w:val="en-US" w:eastAsia="zh-CN"/>
        </w:rPr>
        <w:t>乙方</w:t>
      </w:r>
      <w:r>
        <w:rPr>
          <w:rFonts w:hint="eastAsia" w:ascii="Times New Roman" w:hAnsi="Times New Roman" w:eastAsia="宋体"/>
          <w:color w:val="auto"/>
          <w:szCs w:val="21"/>
          <w:highlight w:val="none"/>
          <w:lang w:val="en-US" w:eastAsia="zh-CN"/>
        </w:rPr>
        <w:t>方补充相关文件。因此导致付款时间延迟的</w:t>
      </w:r>
      <w:r>
        <w:rPr>
          <w:rFonts w:hint="eastAsia"/>
          <w:color w:val="auto"/>
          <w:szCs w:val="21"/>
          <w:highlight w:val="none"/>
          <w:lang w:val="en-US" w:eastAsia="zh-CN"/>
        </w:rPr>
        <w:t>甲方</w:t>
      </w:r>
      <w:r>
        <w:rPr>
          <w:rFonts w:hint="eastAsia" w:ascii="Times New Roman" w:hAnsi="Times New Roman" w:eastAsia="宋体"/>
          <w:color w:val="auto"/>
          <w:szCs w:val="21"/>
          <w:highlight w:val="none"/>
          <w:lang w:val="en-US" w:eastAsia="zh-CN"/>
        </w:rPr>
        <w:t>不承担延迟付款的相关责任。</w:t>
      </w:r>
    </w:p>
    <w:p w14:paraId="4CADF8E3">
      <w:pPr>
        <w:numPr>
          <w:ilvl w:val="0"/>
          <w:numId w:val="0"/>
        </w:numPr>
        <w:spacing w:line="360" w:lineRule="auto"/>
        <w:ind w:firstLine="420" w:firstLineChars="200"/>
        <w:rPr>
          <w:rFonts w:hint="default" w:ascii="Times New Roman" w:hAnsi="Times New Roman" w:eastAsia="宋体"/>
          <w:color w:val="auto"/>
          <w:szCs w:val="21"/>
          <w:highlight w:val="none"/>
          <w:lang w:val="en-US" w:eastAsia="zh-CN"/>
        </w:rPr>
      </w:pPr>
      <w:r>
        <w:rPr>
          <w:rFonts w:hint="eastAsia"/>
          <w:color w:val="auto"/>
          <w:szCs w:val="21"/>
          <w:highlight w:val="none"/>
        </w:rPr>
        <w:t>以下为申请付款的原始文件列表</w:t>
      </w:r>
      <w:r>
        <w:rPr>
          <w:rFonts w:hint="eastAsia"/>
          <w:color w:val="auto"/>
          <w:szCs w:val="21"/>
          <w:highlight w:val="none"/>
          <w:lang w:eastAsia="zh-CN"/>
        </w:rPr>
        <w:t>：</w:t>
      </w:r>
    </w:p>
    <w:p w14:paraId="1D812333">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en-US" w:eastAsia="zh-CN"/>
        </w:rPr>
      </w:pPr>
      <w:r>
        <w:rPr>
          <w:rFonts w:hint="eastAsia" w:ascii="Times New Roman" w:hAnsi="Times New Roman" w:eastAsia="宋体" w:cs="Times New Roman"/>
          <w:color w:val="auto"/>
          <w:sz w:val="21"/>
          <w:szCs w:val="22"/>
          <w:highlight w:val="none"/>
          <w:lang w:val="en-US" w:eastAsia="zh-CN"/>
        </w:rPr>
        <w:t>La Partie A paiera les factures dans un délai raisonnable après avoir reçu les documents originaux estampillés, les quittances originales et les factures envoyées par le mandataire et après avoir confirmé qu'ils sont corrects. Si la Partie A ne reçoit pas tous les documents suivants, il a le droit de demander à l</w:t>
      </w:r>
      <w:r>
        <w:rPr>
          <w:rFonts w:hint="default" w:eastAsia="宋体" w:cs="Times New Roman"/>
          <w:color w:val="auto"/>
          <w:sz w:val="21"/>
          <w:szCs w:val="22"/>
          <w:highlight w:val="none"/>
          <w:lang w:val="fr-FR" w:eastAsia="zh-CN"/>
        </w:rPr>
        <w:t>a partie B</w:t>
      </w:r>
      <w:r>
        <w:rPr>
          <w:rFonts w:hint="eastAsia" w:ascii="Times New Roman" w:hAnsi="Times New Roman" w:eastAsia="宋体" w:cs="Times New Roman"/>
          <w:color w:val="auto"/>
          <w:sz w:val="21"/>
          <w:szCs w:val="22"/>
          <w:highlight w:val="none"/>
          <w:lang w:val="en-US" w:eastAsia="zh-CN"/>
        </w:rPr>
        <w:t xml:space="preserve"> de compléter les documents pertinents. L</w:t>
      </w:r>
      <w:r>
        <w:rPr>
          <w:rFonts w:hint="eastAsia" w:eastAsia="宋体"/>
          <w:color w:val="auto"/>
          <w:sz w:val="21"/>
          <w:szCs w:val="22"/>
          <w:highlight w:val="none"/>
        </w:rPr>
        <w:t>a Partie A</w:t>
      </w:r>
      <w:r>
        <w:rPr>
          <w:rFonts w:hint="eastAsia" w:ascii="Times New Roman" w:hAnsi="Times New Roman" w:eastAsia="宋体" w:cs="Times New Roman"/>
          <w:color w:val="auto"/>
          <w:sz w:val="21"/>
          <w:szCs w:val="22"/>
          <w:highlight w:val="none"/>
          <w:lang w:val="en-US" w:eastAsia="zh-CN"/>
        </w:rPr>
        <w:t xml:space="preserve"> ne sera pas responsable de tout retard de paiement dû à un tel retard..</w:t>
      </w:r>
    </w:p>
    <w:p w14:paraId="38352B99">
      <w:pPr>
        <w:numPr>
          <w:ilvl w:val="0"/>
          <w:numId w:val="0"/>
        </w:numPr>
        <w:spacing w:line="360" w:lineRule="auto"/>
        <w:ind w:firstLine="420" w:firstLineChars="200"/>
        <w:rPr>
          <w:rFonts w:hint="eastAsia" w:eastAsia="宋体"/>
          <w:color w:val="auto"/>
          <w:szCs w:val="22"/>
          <w:highlight w:val="none"/>
          <w:u w:val="none"/>
          <w:lang w:val="en-US" w:eastAsia="zh-CN"/>
        </w:rPr>
      </w:pPr>
      <w:r>
        <w:rPr>
          <w:rFonts w:hint="eastAsia" w:eastAsia="宋体"/>
          <w:color w:val="auto"/>
          <w:szCs w:val="22"/>
          <w:highlight w:val="none"/>
          <w:u w:val="none"/>
        </w:rPr>
        <w:t>La liste des documents originaux et les demandes pour le paiement ci-après</w:t>
      </w:r>
      <w:r>
        <w:rPr>
          <w:rFonts w:hint="eastAsia" w:eastAsia="宋体"/>
          <w:color w:val="auto"/>
          <w:szCs w:val="22"/>
          <w:highlight w:val="none"/>
          <w:u w:val="none"/>
          <w:lang w:val="en-US" w:eastAsia="zh-CN"/>
        </w:rPr>
        <w:t>:</w:t>
      </w:r>
    </w:p>
    <w:p w14:paraId="26F40842">
      <w:pPr>
        <w:pStyle w:val="20"/>
        <w:numPr>
          <w:ilvl w:val="0"/>
          <w:numId w:val="11"/>
        </w:numPr>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La quittance originale</w:t>
      </w:r>
    </w:p>
    <w:p w14:paraId="7A67CFB8">
      <w:pPr>
        <w:pStyle w:val="20"/>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完税证明原件</w:t>
      </w:r>
    </w:p>
    <w:p w14:paraId="4E9F91AD">
      <w:pPr>
        <w:pStyle w:val="20"/>
        <w:numPr>
          <w:ilvl w:val="0"/>
          <w:numId w:val="11"/>
        </w:numPr>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Le bulletin de liquitation cacheté par la Douane</w:t>
      </w:r>
    </w:p>
    <w:p w14:paraId="4696F3DE">
      <w:pPr>
        <w:pStyle w:val="20"/>
        <w:spacing w:line="360" w:lineRule="auto"/>
        <w:ind w:firstLine="420" w:firstLineChars="200"/>
        <w:jc w:val="both"/>
        <w:rPr>
          <w:rFonts w:hint="eastAsia" w:eastAsia="宋体"/>
          <w:color w:val="auto"/>
          <w:sz w:val="21"/>
          <w:szCs w:val="22"/>
          <w:highlight w:val="none"/>
          <w:u w:val="none"/>
          <w:lang w:val="en-US" w:eastAsia="zh-CN"/>
        </w:rPr>
      </w:pPr>
      <w:r>
        <w:rPr>
          <w:rFonts w:hint="eastAsia" w:eastAsia="宋体"/>
          <w:color w:val="auto"/>
          <w:sz w:val="21"/>
          <w:szCs w:val="22"/>
          <w:highlight w:val="none"/>
          <w:u w:val="none"/>
          <w:lang w:val="en-US"/>
        </w:rPr>
        <w:t>海关盖章的</w:t>
      </w:r>
      <w:r>
        <w:rPr>
          <w:rFonts w:hint="eastAsia" w:eastAsia="宋体"/>
          <w:color w:val="auto"/>
          <w:sz w:val="21"/>
          <w:szCs w:val="22"/>
          <w:highlight w:val="none"/>
          <w:u w:val="none"/>
          <w:lang w:val="en-US" w:eastAsia="zh-CN"/>
        </w:rPr>
        <w:t>税单清算表</w:t>
      </w:r>
    </w:p>
    <w:p w14:paraId="684FB4C0">
      <w:pPr>
        <w:pStyle w:val="20"/>
        <w:numPr>
          <w:ilvl w:val="0"/>
          <w:numId w:val="11"/>
        </w:numPr>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Le tableau d'évaluation des bauxites cacheté par la Douane ou MMG</w:t>
      </w:r>
    </w:p>
    <w:p w14:paraId="76CE16ED">
      <w:pPr>
        <w:pStyle w:val="20"/>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海关</w:t>
      </w:r>
      <w:r>
        <w:rPr>
          <w:rFonts w:hint="eastAsia" w:eastAsia="宋体"/>
          <w:color w:val="auto"/>
          <w:sz w:val="21"/>
          <w:szCs w:val="22"/>
          <w:highlight w:val="none"/>
          <w:u w:val="none"/>
          <w:lang w:val="en-US" w:eastAsia="zh-CN"/>
        </w:rPr>
        <w:t>或地矿部</w:t>
      </w:r>
      <w:r>
        <w:rPr>
          <w:rFonts w:hint="eastAsia" w:eastAsia="宋体"/>
          <w:color w:val="auto"/>
          <w:sz w:val="21"/>
          <w:szCs w:val="22"/>
          <w:highlight w:val="none"/>
          <w:u w:val="none"/>
          <w:lang w:val="en-US"/>
        </w:rPr>
        <w:t>盖章的吨税表</w:t>
      </w:r>
    </w:p>
    <w:p w14:paraId="12E101E8">
      <w:pPr>
        <w:pStyle w:val="20"/>
        <w:numPr>
          <w:ilvl w:val="0"/>
          <w:numId w:val="11"/>
        </w:numPr>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Bordereau de liaison</w:t>
      </w:r>
    </w:p>
    <w:p w14:paraId="245D0C33">
      <w:pPr>
        <w:pStyle w:val="20"/>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汇款单</w:t>
      </w:r>
    </w:p>
    <w:p w14:paraId="77AE319B">
      <w:pPr>
        <w:pStyle w:val="20"/>
        <w:numPr>
          <w:ilvl w:val="0"/>
          <w:numId w:val="11"/>
        </w:numPr>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La déclaration definitive cachetee par la Douane</w:t>
      </w:r>
    </w:p>
    <w:p w14:paraId="2C7BC1FF">
      <w:pPr>
        <w:pStyle w:val="20"/>
        <w:spacing w:line="360" w:lineRule="auto"/>
        <w:ind w:firstLine="420" w:firstLineChars="200"/>
        <w:jc w:val="both"/>
        <w:rPr>
          <w:rFonts w:hint="eastAsia" w:eastAsia="宋体"/>
          <w:color w:val="auto"/>
          <w:sz w:val="21"/>
          <w:szCs w:val="22"/>
          <w:highlight w:val="none"/>
          <w:u w:val="none"/>
          <w:lang w:val="en-US" w:eastAsia="zh-CN"/>
        </w:rPr>
      </w:pPr>
      <w:r>
        <w:rPr>
          <w:rFonts w:hint="default" w:eastAsia="宋体"/>
          <w:color w:val="auto"/>
          <w:sz w:val="21"/>
          <w:szCs w:val="22"/>
          <w:highlight w:val="none"/>
          <w:u w:val="none"/>
          <w:lang w:val="fr-FR"/>
        </w:rPr>
        <w:t>海关盖章的最终申报单</w:t>
      </w:r>
    </w:p>
    <w:p w14:paraId="080E27DE">
      <w:pPr>
        <w:pStyle w:val="21"/>
        <w:spacing w:line="360" w:lineRule="auto"/>
        <w:ind w:left="420" w:leftChars="200" w:firstLine="0" w:firstLineChars="0"/>
        <w:jc w:val="both"/>
        <w:rPr>
          <w:rFonts w:hint="default" w:eastAsia="宋体"/>
          <w:color w:val="auto"/>
          <w:sz w:val="21"/>
          <w:szCs w:val="22"/>
          <w:highlight w:val="none"/>
          <w:u w:val="none"/>
        </w:rPr>
      </w:pPr>
      <w:r>
        <w:rPr>
          <w:rFonts w:hint="default" w:eastAsia="宋体"/>
          <w:color w:val="auto"/>
          <w:sz w:val="21"/>
          <w:szCs w:val="22"/>
          <w:highlight w:val="none"/>
          <w:u w:val="none"/>
        </w:rPr>
        <w:t>一旦满足付款条件，</w:t>
      </w:r>
      <w:r>
        <w:rPr>
          <w:rFonts w:hint="eastAsia" w:eastAsia="宋体"/>
          <w:color w:val="auto"/>
          <w:sz w:val="21"/>
          <w:szCs w:val="22"/>
          <w:highlight w:val="none"/>
          <w:u w:val="none"/>
          <w:lang w:eastAsia="zh-CN"/>
        </w:rPr>
        <w:t>甲方</w:t>
      </w:r>
      <w:r>
        <w:rPr>
          <w:rFonts w:hint="default" w:eastAsia="宋体"/>
          <w:color w:val="auto"/>
          <w:sz w:val="21"/>
          <w:szCs w:val="22"/>
          <w:highlight w:val="none"/>
          <w:u w:val="none"/>
        </w:rPr>
        <w:t>将通过银行转账向以下账户支付费用：</w:t>
      </w:r>
    </w:p>
    <w:p w14:paraId="2883DF17">
      <w:pPr>
        <w:pStyle w:val="21"/>
        <w:spacing w:line="360" w:lineRule="auto"/>
        <w:ind w:left="420" w:leftChars="200" w:firstLine="0" w:firstLineChars="0"/>
        <w:jc w:val="both"/>
        <w:rPr>
          <w:rFonts w:hint="eastAsia" w:eastAsia="宋体"/>
          <w:color w:val="auto"/>
          <w:sz w:val="21"/>
          <w:szCs w:val="22"/>
          <w:highlight w:val="none"/>
          <w:u w:val="none"/>
          <w:lang w:val="en-US" w:eastAsia="zh-CN"/>
        </w:rPr>
      </w:pPr>
      <w:r>
        <w:rPr>
          <w:rFonts w:hint="eastAsia" w:eastAsia="宋体"/>
          <w:color w:val="auto"/>
          <w:sz w:val="21"/>
          <w:szCs w:val="22"/>
          <w:highlight w:val="none"/>
          <w:u w:val="none"/>
          <w:lang w:val="en-US" w:eastAsia="zh-CN"/>
        </w:rPr>
        <w:t>银行账号：</w:t>
      </w:r>
    </w:p>
    <w:p w14:paraId="095C324E">
      <w:pPr>
        <w:pStyle w:val="21"/>
        <w:spacing w:line="360" w:lineRule="auto"/>
        <w:ind w:left="420" w:leftChars="200" w:firstLine="0" w:firstLineChars="0"/>
        <w:jc w:val="both"/>
        <w:rPr>
          <w:rFonts w:hint="default" w:eastAsia="宋体"/>
          <w:color w:val="auto"/>
          <w:sz w:val="21"/>
          <w:szCs w:val="22"/>
          <w:highlight w:val="none"/>
          <w:u w:val="none"/>
          <w:lang w:val="en-US" w:eastAsia="zh-CN"/>
        </w:rPr>
      </w:pPr>
      <w:r>
        <w:rPr>
          <w:rFonts w:hint="eastAsia" w:eastAsia="宋体"/>
          <w:color w:val="auto"/>
          <w:sz w:val="21"/>
          <w:szCs w:val="22"/>
          <w:highlight w:val="none"/>
          <w:u w:val="none"/>
          <w:lang w:val="en-US" w:eastAsia="zh-CN"/>
        </w:rPr>
        <w:t>银行名称：</w:t>
      </w:r>
    </w:p>
    <w:p w14:paraId="186C6195">
      <w:pPr>
        <w:numPr>
          <w:ilvl w:val="0"/>
          <w:numId w:val="0"/>
        </w:numPr>
        <w:ind w:firstLine="420" w:firstLineChars="200"/>
        <w:rPr>
          <w:rFonts w:hint="eastAsia" w:eastAsia="宋体"/>
          <w:color w:val="auto"/>
          <w:sz w:val="21"/>
          <w:szCs w:val="22"/>
          <w:highlight w:val="none"/>
          <w:u w:val="none"/>
          <w:lang w:val="en-US" w:eastAsia="zh-CN"/>
        </w:rPr>
      </w:pPr>
      <w:r>
        <w:rPr>
          <w:rFonts w:hint="eastAsia" w:eastAsia="宋体"/>
          <w:color w:val="auto"/>
          <w:sz w:val="21"/>
          <w:szCs w:val="22"/>
          <w:highlight w:val="none"/>
          <w:u w:val="none"/>
          <w:lang w:val="en-US" w:eastAsia="zh-CN"/>
        </w:rPr>
        <w:t>Quand les conditions de paiement sont satisfaites,</w:t>
      </w:r>
      <w:r>
        <w:rPr>
          <w:rFonts w:hint="eastAsia" w:eastAsia="宋体"/>
          <w:color w:val="auto"/>
          <w:szCs w:val="22"/>
          <w:highlight w:val="none"/>
          <w:u w:val="none"/>
        </w:rPr>
        <w:t>la Partie A</w:t>
      </w:r>
      <w:r>
        <w:rPr>
          <w:rFonts w:hint="eastAsia" w:eastAsia="宋体"/>
          <w:color w:val="auto"/>
          <w:sz w:val="21"/>
          <w:szCs w:val="22"/>
          <w:highlight w:val="none"/>
          <w:u w:val="none"/>
          <w:lang w:val="en-US" w:eastAsia="zh-CN"/>
        </w:rPr>
        <w:t xml:space="preserve"> payera le frais par virement bancaire dans le compte suivant:</w:t>
      </w:r>
    </w:p>
    <w:p w14:paraId="0CF6F563">
      <w:pPr>
        <w:pStyle w:val="21"/>
        <w:spacing w:line="360" w:lineRule="auto"/>
        <w:ind w:left="420" w:leftChars="200" w:firstLine="0" w:firstLineChars="0"/>
        <w:jc w:val="both"/>
        <w:rPr>
          <w:rFonts w:hint="default" w:eastAsia="宋体"/>
          <w:color w:val="auto"/>
          <w:sz w:val="21"/>
          <w:szCs w:val="22"/>
          <w:highlight w:val="none"/>
          <w:u w:val="none"/>
          <w:lang w:val="en-US" w:eastAsia="zh-CN"/>
        </w:rPr>
      </w:pPr>
      <w:r>
        <w:rPr>
          <w:rFonts w:hint="default" w:eastAsia="宋体"/>
          <w:color w:val="auto"/>
          <w:sz w:val="21"/>
          <w:szCs w:val="22"/>
          <w:highlight w:val="none"/>
        </w:rPr>
        <w:t>Numéro de compte bancaire :</w:t>
      </w:r>
    </w:p>
    <w:p w14:paraId="756600F5">
      <w:pPr>
        <w:pStyle w:val="21"/>
        <w:spacing w:line="360" w:lineRule="auto"/>
        <w:ind w:left="420" w:leftChars="200" w:firstLine="0" w:firstLineChars="0"/>
        <w:jc w:val="both"/>
        <w:rPr>
          <w:rFonts w:hint="default" w:eastAsia="宋体"/>
          <w:color w:val="auto"/>
          <w:sz w:val="21"/>
          <w:szCs w:val="22"/>
          <w:highlight w:val="none"/>
          <w:u w:val="none"/>
          <w:lang w:val="en-US" w:eastAsia="zh-CN"/>
        </w:rPr>
      </w:pPr>
      <w:r>
        <w:rPr>
          <w:rFonts w:hint="default" w:eastAsia="宋体"/>
          <w:color w:val="auto"/>
          <w:sz w:val="21"/>
          <w:szCs w:val="22"/>
          <w:highlight w:val="none"/>
        </w:rPr>
        <w:t>Nom de la banque :</w:t>
      </w:r>
    </w:p>
    <w:p w14:paraId="56AF5273">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权利义务</w:t>
      </w:r>
    </w:p>
    <w:p w14:paraId="5F6A4954">
      <w:pPr>
        <w:spacing w:line="360" w:lineRule="auto"/>
        <w:ind w:firstLine="422" w:firstLineChars="200"/>
        <w:rPr>
          <w:rFonts w:ascii="Times New Roman" w:hAnsi="Times New Roman"/>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4</w:t>
      </w:r>
      <w:r>
        <w:rPr>
          <w:rFonts w:ascii="Times New Roman" w:hAnsi="Times New Roman"/>
          <w:b/>
          <w:color w:val="auto"/>
          <w:szCs w:val="21"/>
          <w:highlight w:val="none"/>
          <w:lang w:val="fr-FR"/>
        </w:rPr>
        <w:t xml:space="preserve"> Droits et obligations </w:t>
      </w:r>
    </w:p>
    <w:p w14:paraId="10CA2374">
      <w:pPr>
        <w:numPr>
          <w:ilvl w:val="0"/>
          <w:numId w:val="12"/>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甲方权利义务：</w:t>
      </w:r>
    </w:p>
    <w:p w14:paraId="53ED56BC">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Droits et obligations de la Partie A :</w:t>
      </w:r>
    </w:p>
    <w:p w14:paraId="2CFA37F7">
      <w:pPr>
        <w:numPr>
          <w:ilvl w:val="0"/>
          <w:numId w:val="13"/>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甲方有权对乙方的合同执行过程进行检查、监督、考核。</w:t>
      </w:r>
    </w:p>
    <w:p w14:paraId="03F0D5F5">
      <w:pPr>
        <w:spacing w:line="360" w:lineRule="auto"/>
        <w:ind w:firstLine="420" w:firstLineChars="200"/>
        <w:rPr>
          <w:rFonts w:ascii="Times New Roman" w:hAnsi="Times New Roman"/>
          <w:bCs/>
          <w:color w:val="auto"/>
          <w:szCs w:val="21"/>
          <w:highlight w:val="none"/>
          <w:lang w:val="fr-FR"/>
        </w:rPr>
      </w:pPr>
      <w:r>
        <w:rPr>
          <w:rFonts w:ascii="Times New Roman" w:hAnsi="Times New Roman"/>
          <w:bCs/>
          <w:color w:val="auto"/>
          <w:szCs w:val="21"/>
          <w:highlight w:val="none"/>
          <w:lang w:val="fr-FR"/>
        </w:rPr>
        <w:t>La Partie A a le droit d'inspecter, de superviser et d'évaluer le processus d'exécution du contrat de la Partie B.</w:t>
      </w:r>
    </w:p>
    <w:p w14:paraId="28124CD5">
      <w:pPr>
        <w:numPr>
          <w:ilvl w:val="0"/>
          <w:numId w:val="13"/>
        </w:numPr>
        <w:spacing w:line="360" w:lineRule="auto"/>
        <w:ind w:left="0" w:firstLine="420" w:firstLineChars="200"/>
        <w:rPr>
          <w:rFonts w:ascii="Times New Roman" w:hAnsi="Times New Roman"/>
          <w:color w:val="auto"/>
          <w:szCs w:val="21"/>
          <w:highlight w:val="none"/>
          <w:lang w:val="fr-FR"/>
        </w:rPr>
      </w:pPr>
      <w:r>
        <w:rPr>
          <w:rFonts w:hint="eastAsia"/>
          <w:color w:val="auto"/>
          <w:szCs w:val="21"/>
          <w:highlight w:val="none"/>
        </w:rPr>
        <w:t>如果因</w:t>
      </w:r>
      <w:r>
        <w:rPr>
          <w:rFonts w:hint="eastAsia"/>
          <w:color w:val="auto"/>
          <w:szCs w:val="21"/>
          <w:highlight w:val="none"/>
          <w:lang w:val="en-US" w:eastAsia="zh-CN"/>
        </w:rPr>
        <w:t>乙方</w:t>
      </w:r>
      <w:r>
        <w:rPr>
          <w:rFonts w:hint="eastAsia"/>
          <w:color w:val="auto"/>
          <w:szCs w:val="21"/>
          <w:highlight w:val="none"/>
        </w:rPr>
        <w:t>违反几内亚当地法律法规或有隐瞒、欺诈行为导致客</w:t>
      </w:r>
      <w:r>
        <w:rPr>
          <w:rFonts w:hint="eastAsia"/>
          <w:color w:val="auto"/>
          <w:szCs w:val="21"/>
          <w:highlight w:val="none"/>
          <w:lang w:val="en-US" w:eastAsia="zh-CN"/>
        </w:rPr>
        <w:t>甲方</w:t>
      </w:r>
      <w:r>
        <w:rPr>
          <w:rFonts w:hint="eastAsia"/>
          <w:color w:val="auto"/>
          <w:szCs w:val="21"/>
          <w:highlight w:val="none"/>
        </w:rPr>
        <w:t>遭受损失或被几内亚税 务局等其它政府机构处罚</w:t>
      </w:r>
      <w:r>
        <w:rPr>
          <w:rFonts w:hint="eastAsia"/>
          <w:color w:val="auto"/>
          <w:szCs w:val="21"/>
          <w:highlight w:val="none"/>
          <w:lang w:eastAsia="zh-CN"/>
        </w:rPr>
        <w:t>，</w:t>
      </w:r>
      <w:r>
        <w:rPr>
          <w:rFonts w:hint="eastAsia"/>
          <w:color w:val="auto"/>
          <w:szCs w:val="21"/>
          <w:highlight w:val="none"/>
          <w:lang w:val="en-US" w:eastAsia="zh-CN"/>
        </w:rPr>
        <w:t>乙方</w:t>
      </w:r>
      <w:r>
        <w:rPr>
          <w:rFonts w:hint="eastAsia"/>
          <w:color w:val="auto"/>
          <w:szCs w:val="21"/>
          <w:highlight w:val="none"/>
        </w:rPr>
        <w:t>应承担</w:t>
      </w:r>
      <w:r>
        <w:rPr>
          <w:rFonts w:hint="eastAsia"/>
          <w:color w:val="auto"/>
          <w:szCs w:val="21"/>
          <w:highlight w:val="none"/>
          <w:lang w:val="en-US" w:eastAsia="zh-CN"/>
        </w:rPr>
        <w:t>甲方</w:t>
      </w:r>
      <w:r>
        <w:rPr>
          <w:rFonts w:hint="eastAsia"/>
          <w:color w:val="auto"/>
          <w:szCs w:val="21"/>
          <w:highlight w:val="none"/>
        </w:rPr>
        <w:t>的所有损失或处罚，并同意</w:t>
      </w:r>
      <w:r>
        <w:rPr>
          <w:rFonts w:hint="eastAsia"/>
          <w:color w:val="auto"/>
          <w:szCs w:val="21"/>
          <w:highlight w:val="none"/>
          <w:lang w:val="en-US" w:eastAsia="zh-CN"/>
        </w:rPr>
        <w:t>甲方</w:t>
      </w:r>
      <w:r>
        <w:rPr>
          <w:rFonts w:hint="eastAsia"/>
          <w:color w:val="auto"/>
          <w:szCs w:val="21"/>
          <w:highlight w:val="none"/>
        </w:rPr>
        <w:t>从代理服务费中扣除相应损失或处罚。如果服务费不足以抵扣该损失或处罚，</w:t>
      </w:r>
      <w:r>
        <w:rPr>
          <w:rFonts w:hint="eastAsia"/>
          <w:color w:val="auto"/>
          <w:szCs w:val="21"/>
          <w:highlight w:val="none"/>
          <w:lang w:val="en-US" w:eastAsia="zh-CN"/>
        </w:rPr>
        <w:t>甲方</w:t>
      </w:r>
      <w:r>
        <w:rPr>
          <w:rFonts w:hint="eastAsia"/>
          <w:color w:val="auto"/>
          <w:szCs w:val="21"/>
          <w:highlight w:val="none"/>
        </w:rPr>
        <w:t>有权立即终止合同而无需承担违约责任，同时</w:t>
      </w:r>
      <w:r>
        <w:rPr>
          <w:rFonts w:hint="eastAsia"/>
          <w:color w:val="auto"/>
          <w:szCs w:val="21"/>
          <w:highlight w:val="none"/>
          <w:lang w:val="en-US" w:eastAsia="zh-CN"/>
        </w:rPr>
        <w:t>乙方</w:t>
      </w:r>
      <w:r>
        <w:rPr>
          <w:rFonts w:hint="eastAsia"/>
          <w:color w:val="auto"/>
          <w:szCs w:val="21"/>
          <w:highlight w:val="none"/>
        </w:rPr>
        <w:t>应当赔偿</w:t>
      </w:r>
      <w:r>
        <w:rPr>
          <w:rFonts w:hint="eastAsia"/>
          <w:color w:val="auto"/>
          <w:szCs w:val="21"/>
          <w:highlight w:val="none"/>
          <w:lang w:val="en-US" w:eastAsia="zh-CN"/>
        </w:rPr>
        <w:t>甲方</w:t>
      </w:r>
      <w:r>
        <w:rPr>
          <w:rFonts w:hint="eastAsia"/>
          <w:color w:val="auto"/>
          <w:szCs w:val="21"/>
          <w:highlight w:val="none"/>
        </w:rPr>
        <w:t>的所有损失。</w:t>
      </w:r>
    </w:p>
    <w:p w14:paraId="54DC49C4">
      <w:pPr>
        <w:numPr>
          <w:ilvl w:val="-1"/>
          <w:numId w:val="0"/>
        </w:numPr>
        <w:spacing w:line="360" w:lineRule="auto"/>
        <w:ind w:left="420" w:leftChars="200" w:firstLine="0" w:firstLineChars="0"/>
        <w:rPr>
          <w:rFonts w:ascii="Times New Roman" w:hAnsi="Times New Roman"/>
          <w:color w:val="auto"/>
          <w:szCs w:val="21"/>
          <w:highlight w:val="none"/>
          <w:lang w:val="fr-FR"/>
        </w:rPr>
      </w:pPr>
      <w:r>
        <w:rPr>
          <w:rFonts w:hint="eastAsia"/>
          <w:color w:val="auto"/>
          <w:szCs w:val="21"/>
          <w:highlight w:val="none"/>
        </w:rPr>
        <w:t>本条款不因合同的不生效、合同的无效或者部分无效、合同的终止或者部分终止而失去约束力。</w:t>
      </w:r>
    </w:p>
    <w:p w14:paraId="2EC41829">
      <w:pPr>
        <w:spacing w:line="360" w:lineRule="auto"/>
        <w:ind w:firstLine="420" w:firstLineChars="200"/>
        <w:rPr>
          <w:rFonts w:hint="eastAsia" w:ascii="Times New Roman" w:hAnsi="Times New Roman"/>
          <w:bCs/>
          <w:color w:val="auto"/>
          <w:szCs w:val="21"/>
          <w:highlight w:val="none"/>
          <w:lang w:val="fr-FR"/>
        </w:rPr>
      </w:pPr>
      <w:r>
        <w:rPr>
          <w:rFonts w:hint="eastAsia" w:ascii="Times New Roman" w:hAnsi="Times New Roman"/>
          <w:bCs/>
          <w:color w:val="auto"/>
          <w:szCs w:val="21"/>
          <w:highlight w:val="none"/>
          <w:lang w:val="fr-FR"/>
        </w:rPr>
        <w:t>Si la partie B enfreint les lois et règlements locaux de la Guinée ou a un comportement dissimulé ou frauduleux, ce qui entraîne pour la partie A des pertes ou des sanctions de la part du bureau des impôts guinéen et d'autres agences gouvernementales, la partie B supportera toutes les pertes ou sanctions de la partie A et acceptera que la partie A déduise les pertes ou sanctions correspondantes de la commission de service de l'agence. Si la commission de service n'est pas suffisante pour compenser la perte ou la pénalité, la partie A a le droit de résilier le contrat immédiatement sans être tenue responsable de la rupture du contrat, et la partie B compensera la partie A pour toutes les pertes..</w:t>
      </w:r>
    </w:p>
    <w:p w14:paraId="1A3E0B7B">
      <w:pPr>
        <w:pStyle w:val="20"/>
        <w:ind w:firstLine="420" w:firstLineChars="200"/>
        <w:rPr>
          <w:rFonts w:hint="eastAsia" w:eastAsia="宋体"/>
          <w:bCs/>
          <w:color w:val="auto"/>
          <w:sz w:val="21"/>
          <w:szCs w:val="21"/>
          <w:highlight w:val="none"/>
          <w:lang w:val="fr-FR"/>
        </w:rPr>
      </w:pPr>
      <w:r>
        <w:rPr>
          <w:rFonts w:hint="eastAsia" w:eastAsia="宋体"/>
          <w:bCs/>
          <w:color w:val="auto"/>
          <w:sz w:val="21"/>
          <w:szCs w:val="21"/>
          <w:highlight w:val="none"/>
          <w:lang w:val="fr-FR"/>
        </w:rPr>
        <w:t>La présente obligation ne s'applique pas en cas de non-entrée en vigueur du contrat, de nullité ou de nullité partielle du contrat, ou de résiliation ou de résiliation partielle du contrat.</w:t>
      </w:r>
    </w:p>
    <w:p w14:paraId="593AA4FC">
      <w:pPr>
        <w:numPr>
          <w:ilvl w:val="0"/>
          <w:numId w:val="13"/>
        </w:numPr>
        <w:spacing w:line="360" w:lineRule="auto"/>
        <w:ind w:left="0" w:firstLine="420" w:firstLineChars="200"/>
        <w:rPr>
          <w:rFonts w:ascii="Times New Roman" w:hAnsi="Times New Roman"/>
          <w:color w:val="auto"/>
          <w:szCs w:val="21"/>
          <w:highlight w:val="none"/>
        </w:rPr>
      </w:pPr>
      <w:r>
        <w:rPr>
          <w:rFonts w:ascii="Times New Roman" w:hAnsi="Times New Roman"/>
          <w:color w:val="auto"/>
          <w:szCs w:val="21"/>
          <w:highlight w:val="none"/>
        </w:rPr>
        <w:t>甲方应尊重乙方根据行业有关标准、规定进行工作的权利，不应提出与行业标准、规定相抵触的要求。</w:t>
      </w:r>
    </w:p>
    <w:p w14:paraId="6CD89D21">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 xml:space="preserve">  </w:t>
      </w:r>
      <w:r>
        <w:rPr>
          <w:rFonts w:ascii="Times New Roman" w:hAnsi="Times New Roman"/>
          <w:bCs/>
          <w:color w:val="auto"/>
          <w:szCs w:val="21"/>
          <w:highlight w:val="none"/>
          <w:lang w:val="fr-FR"/>
        </w:rPr>
        <w:t>La Partie A doit respecter le droit de la Partie B d'effectuer des travaux conformément aux normes et réglementations pertinentes du secteur, et ne doit pas exiger les critères qui sont incompatibles avec les normes et réglementations du secteur.</w:t>
      </w:r>
    </w:p>
    <w:p w14:paraId="65119DD1">
      <w:pPr>
        <w:numPr>
          <w:ilvl w:val="0"/>
          <w:numId w:val="13"/>
        </w:numPr>
        <w:spacing w:line="360" w:lineRule="auto"/>
        <w:ind w:left="0" w:firstLine="420" w:firstLineChars="200"/>
        <w:rPr>
          <w:rFonts w:ascii="Times New Roman" w:hAnsi="Times New Roman"/>
          <w:color w:val="auto"/>
          <w:szCs w:val="21"/>
          <w:highlight w:val="none"/>
        </w:rPr>
      </w:pPr>
      <w:r>
        <w:rPr>
          <w:rFonts w:ascii="Times New Roman" w:hAnsi="Times New Roman"/>
          <w:color w:val="auto"/>
          <w:szCs w:val="21"/>
          <w:highlight w:val="none"/>
        </w:rPr>
        <w:t>甲方应按合同规定向乙方支付费用。</w:t>
      </w:r>
    </w:p>
    <w:p w14:paraId="2795EB1F">
      <w:pPr>
        <w:spacing w:line="360" w:lineRule="auto"/>
        <w:ind w:firstLine="420" w:firstLineChars="200"/>
        <w:rPr>
          <w:rFonts w:ascii="Times New Roman" w:hAnsi="Times New Roman"/>
          <w:b/>
          <w:bCs/>
          <w:color w:val="auto"/>
          <w:szCs w:val="21"/>
          <w:highlight w:val="none"/>
          <w:lang w:val="fr-FR"/>
        </w:rPr>
      </w:pPr>
      <w:r>
        <w:rPr>
          <w:rFonts w:ascii="Times New Roman" w:hAnsi="Times New Roman"/>
          <w:bCs/>
          <w:color w:val="auto"/>
          <w:szCs w:val="21"/>
          <w:highlight w:val="none"/>
          <w:lang w:val="fr-FR"/>
        </w:rPr>
        <w:t>La Partie A doit payer à la Partie B conformément au contrat.</w:t>
      </w:r>
    </w:p>
    <w:p w14:paraId="26A3CFBB">
      <w:pPr>
        <w:numPr>
          <w:ilvl w:val="0"/>
          <w:numId w:val="12"/>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乙方权利义务：</w:t>
      </w:r>
    </w:p>
    <w:p w14:paraId="661E8E23">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Droits et obligations de la Parite B</w:t>
      </w:r>
    </w:p>
    <w:p w14:paraId="19FF36CC">
      <w:pPr>
        <w:numPr>
          <w:ilvl w:val="0"/>
          <w:numId w:val="14"/>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乙方应做好</w:t>
      </w:r>
      <w:r>
        <w:rPr>
          <w:rFonts w:hint="eastAsia"/>
          <w:color w:val="auto"/>
          <w:szCs w:val="21"/>
          <w:highlight w:val="none"/>
        </w:rPr>
        <w:t>矿石出口清关</w:t>
      </w:r>
      <w:r>
        <w:rPr>
          <w:rFonts w:hint="eastAsia"/>
          <w:color w:val="auto"/>
          <w:szCs w:val="21"/>
          <w:highlight w:val="none"/>
          <w:lang w:eastAsia="zh-CN"/>
        </w:rPr>
        <w:t>的</w:t>
      </w:r>
      <w:r>
        <w:rPr>
          <w:rFonts w:hint="eastAsia"/>
          <w:color w:val="auto"/>
          <w:szCs w:val="21"/>
          <w:highlight w:val="none"/>
          <w:lang w:val="en-US" w:eastAsia="zh-CN"/>
        </w:rPr>
        <w:t>工作</w:t>
      </w:r>
      <w:r>
        <w:rPr>
          <w:rFonts w:hint="eastAsia"/>
          <w:color w:val="auto"/>
          <w:szCs w:val="21"/>
          <w:highlight w:val="none"/>
        </w:rPr>
        <w:t>，在几内亚发生的与本合同目标相关的所有文件问题、海关问题或税务问题</w:t>
      </w:r>
      <w:r>
        <w:rPr>
          <w:rFonts w:hint="eastAsia"/>
          <w:color w:val="auto"/>
          <w:szCs w:val="21"/>
          <w:highlight w:val="none"/>
          <w:lang w:eastAsia="zh-CN"/>
        </w:rPr>
        <w:t>，</w:t>
      </w:r>
      <w:r>
        <w:rPr>
          <w:rFonts w:hint="eastAsia"/>
          <w:color w:val="auto"/>
          <w:szCs w:val="21"/>
          <w:highlight w:val="none"/>
        </w:rPr>
        <w:t>都由</w:t>
      </w:r>
      <w:r>
        <w:rPr>
          <w:rFonts w:hint="eastAsia"/>
          <w:color w:val="auto"/>
          <w:szCs w:val="21"/>
          <w:highlight w:val="none"/>
          <w:lang w:val="en-US" w:eastAsia="zh-CN"/>
        </w:rPr>
        <w:t>乙方</w:t>
      </w:r>
      <w:r>
        <w:rPr>
          <w:rFonts w:hint="eastAsia"/>
          <w:color w:val="auto"/>
          <w:szCs w:val="21"/>
          <w:highlight w:val="none"/>
        </w:rPr>
        <w:t>负责解释处理。</w:t>
      </w:r>
    </w:p>
    <w:p w14:paraId="0DE4E33E">
      <w:pPr>
        <w:spacing w:line="360" w:lineRule="auto"/>
        <w:ind w:firstLine="420" w:firstLineChars="200"/>
        <w:rPr>
          <w:rFonts w:ascii="Times New Roman" w:hAnsi="Times New Roman" w:eastAsia="宋体"/>
          <w:bCs/>
          <w:color w:val="auto"/>
          <w:szCs w:val="21"/>
          <w:highlight w:val="none"/>
          <w:lang w:val="fr-FR"/>
        </w:rPr>
      </w:pPr>
      <w:r>
        <w:rPr>
          <w:rFonts w:hint="eastAsia" w:ascii="Times New Roman" w:hAnsi="Times New Roman" w:eastAsia="宋体"/>
          <w:bCs/>
          <w:color w:val="auto"/>
          <w:szCs w:val="21"/>
          <w:highlight w:val="none"/>
          <w:lang w:val="fr-FR"/>
        </w:rPr>
        <w:t>La partie B doit faire un bon travail de dédouanement du minerai pour l'exportation et doit être responsable de l'interprétation et du traitement de toutes les questions documentaires, douanières ou fiscales liées aux objectifs du présent contrat qui surviennent en Guinée..</w:t>
      </w:r>
    </w:p>
    <w:p w14:paraId="3D7D8028">
      <w:pPr>
        <w:numPr>
          <w:ilvl w:val="0"/>
          <w:numId w:val="14"/>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乙方</w:t>
      </w:r>
      <w:r>
        <w:rPr>
          <w:rFonts w:hint="eastAsia"/>
          <w:color w:val="auto"/>
          <w:szCs w:val="21"/>
          <w:highlight w:val="none"/>
          <w:lang w:val="en-US" w:eastAsia="zh-CN"/>
        </w:rPr>
        <w:t>派专人负责甲方的工作对接，为甲方提供与合同相关的技术咨询和协助</w:t>
      </w:r>
      <w:r>
        <w:rPr>
          <w:rFonts w:ascii="Times New Roman" w:hAnsi="Times New Roman"/>
          <w:color w:val="auto"/>
          <w:szCs w:val="21"/>
          <w:highlight w:val="none"/>
        </w:rPr>
        <w:t>。</w:t>
      </w:r>
    </w:p>
    <w:p w14:paraId="2597B9C9">
      <w:pPr>
        <w:spacing w:line="360" w:lineRule="auto"/>
        <w:ind w:firstLine="420" w:firstLineChars="200"/>
        <w:rPr>
          <w:rFonts w:ascii="Times New Roman" w:hAnsi="Times New Roman"/>
          <w:bCs/>
          <w:color w:val="auto"/>
          <w:szCs w:val="21"/>
          <w:highlight w:val="none"/>
          <w:lang w:val="fr-CA"/>
        </w:rPr>
      </w:pPr>
      <w:r>
        <w:rPr>
          <w:rFonts w:hint="eastAsia" w:ascii="Times New Roman" w:hAnsi="Times New Roman"/>
          <w:bCs/>
          <w:color w:val="auto"/>
          <w:szCs w:val="21"/>
          <w:highlight w:val="none"/>
          <w:lang w:val="fr-FR"/>
        </w:rPr>
        <w:t xml:space="preserve"> La partie B désigne une personne responsable de la mise à disposition du travail de la partie A et fournit à la partie A des conseils et une assistance techniques en rapport avec le contrat.</w:t>
      </w:r>
    </w:p>
    <w:p w14:paraId="6118AFB1">
      <w:pPr>
        <w:numPr>
          <w:ilvl w:val="0"/>
          <w:numId w:val="14"/>
        </w:numPr>
        <w:spacing w:line="360" w:lineRule="auto"/>
        <w:ind w:left="0" w:firstLine="420" w:firstLineChars="200"/>
        <w:rPr>
          <w:rFonts w:ascii="Times New Roman" w:hAnsi="Times New Roman"/>
          <w:color w:val="auto"/>
          <w:szCs w:val="21"/>
          <w:highlight w:val="none"/>
        </w:rPr>
      </w:pPr>
      <w:r>
        <w:rPr>
          <w:rFonts w:ascii="Times New Roman" w:hAnsi="Times New Roman"/>
          <w:color w:val="auto"/>
          <w:szCs w:val="21"/>
          <w:highlight w:val="none"/>
        </w:rPr>
        <w:t>乙方负责全部与</w:t>
      </w:r>
      <w:r>
        <w:rPr>
          <w:rFonts w:hint="eastAsia"/>
          <w:color w:val="auto"/>
          <w:szCs w:val="21"/>
          <w:highlight w:val="none"/>
          <w:lang w:val="en-US" w:eastAsia="zh-CN"/>
        </w:rPr>
        <w:t>政府</w:t>
      </w:r>
      <w:r>
        <w:rPr>
          <w:rFonts w:ascii="Times New Roman" w:hAnsi="Times New Roman"/>
          <w:color w:val="auto"/>
          <w:szCs w:val="21"/>
          <w:highlight w:val="none"/>
        </w:rPr>
        <w:t>有关</w:t>
      </w:r>
      <w:r>
        <w:rPr>
          <w:rFonts w:hint="eastAsia"/>
          <w:color w:val="auto"/>
          <w:szCs w:val="21"/>
          <w:highlight w:val="none"/>
          <w:lang w:val="en-US" w:eastAsia="zh-CN"/>
        </w:rPr>
        <w:t>部门</w:t>
      </w:r>
      <w:r>
        <w:rPr>
          <w:rFonts w:ascii="Times New Roman" w:hAnsi="Times New Roman"/>
          <w:color w:val="auto"/>
          <w:szCs w:val="21"/>
          <w:highlight w:val="none"/>
        </w:rPr>
        <w:t>的协调工作，保障</w:t>
      </w:r>
      <w:r>
        <w:rPr>
          <w:rFonts w:hint="eastAsia"/>
          <w:color w:val="auto"/>
          <w:szCs w:val="21"/>
          <w:highlight w:val="none"/>
          <w:lang w:val="en-US" w:eastAsia="zh-CN"/>
        </w:rPr>
        <w:t>文件获得批复</w:t>
      </w:r>
      <w:r>
        <w:rPr>
          <w:rFonts w:ascii="Times New Roman" w:hAnsi="Times New Roman"/>
          <w:color w:val="auto"/>
          <w:szCs w:val="21"/>
          <w:highlight w:val="none"/>
        </w:rPr>
        <w:t>，</w:t>
      </w:r>
      <w:r>
        <w:rPr>
          <w:rFonts w:hint="eastAsia"/>
          <w:color w:val="auto"/>
          <w:szCs w:val="21"/>
          <w:highlight w:val="none"/>
          <w:lang w:val="en-US" w:eastAsia="zh-CN"/>
        </w:rPr>
        <w:t>与政府人员</w:t>
      </w:r>
      <w:r>
        <w:rPr>
          <w:rFonts w:ascii="Times New Roman" w:hAnsi="Times New Roman"/>
          <w:color w:val="auto"/>
          <w:szCs w:val="21"/>
          <w:highlight w:val="none"/>
        </w:rPr>
        <w:t>相关费用</w:t>
      </w:r>
      <w:r>
        <w:rPr>
          <w:rFonts w:hint="eastAsia"/>
          <w:color w:val="auto"/>
          <w:szCs w:val="21"/>
          <w:highlight w:val="none"/>
          <w:lang w:val="en-US" w:eastAsia="zh-CN"/>
        </w:rPr>
        <w:t>包含在合同价内，由乙方承担</w:t>
      </w:r>
      <w:r>
        <w:rPr>
          <w:rFonts w:ascii="Times New Roman" w:hAnsi="Times New Roman"/>
          <w:color w:val="auto"/>
          <w:szCs w:val="21"/>
          <w:highlight w:val="none"/>
        </w:rPr>
        <w:t>。</w:t>
      </w:r>
    </w:p>
    <w:p w14:paraId="024B6B88">
      <w:pPr>
        <w:spacing w:line="360" w:lineRule="auto"/>
        <w:ind w:firstLine="420" w:firstLineChars="200"/>
        <w:rPr>
          <w:rFonts w:ascii="Times New Roman" w:hAnsi="Times New Roman"/>
          <w:bCs/>
          <w:color w:val="auto"/>
          <w:szCs w:val="21"/>
          <w:highlight w:val="none"/>
          <w:lang w:val="fr-FR"/>
        </w:rPr>
      </w:pPr>
      <w:r>
        <w:rPr>
          <w:rFonts w:hint="eastAsia" w:ascii="Times New Roman" w:hAnsi="Times New Roman"/>
          <w:bCs/>
          <w:color w:val="auto"/>
          <w:szCs w:val="21"/>
          <w:highlight w:val="none"/>
          <w:lang w:val="fr-FR"/>
        </w:rPr>
        <w:t>La partie B est responsable de l'ensemble du travail de coordination avec les services gouvernementaux compétents afin de garantir l'approbation des documents, et les coûts liés au personnel gouvernemental sont inclus dans le prix du contrat, qui est à la charge de la partie B.</w:t>
      </w:r>
    </w:p>
    <w:p w14:paraId="57919D89">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合同的变更和终止</w:t>
      </w:r>
    </w:p>
    <w:p w14:paraId="560F4BB5">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5</w:t>
      </w:r>
      <w:r>
        <w:rPr>
          <w:rFonts w:ascii="Times New Roman" w:hAnsi="Times New Roman"/>
          <w:b/>
          <w:color w:val="auto"/>
          <w:szCs w:val="21"/>
          <w:highlight w:val="none"/>
          <w:lang w:val="fr-FR"/>
        </w:rPr>
        <w:t xml:space="preserve"> Modification et résiliation du contrat</w:t>
      </w:r>
    </w:p>
    <w:p w14:paraId="6A77ADB8">
      <w:pPr>
        <w:numPr>
          <w:ilvl w:val="0"/>
          <w:numId w:val="15"/>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甲方和乙方协商一致，可以变更或终止合同。</w:t>
      </w:r>
    </w:p>
    <w:p w14:paraId="37124E61">
      <w:pPr>
        <w:spacing w:line="360" w:lineRule="auto"/>
        <w:ind w:firstLine="420" w:firstLineChars="200"/>
        <w:rPr>
          <w:rFonts w:ascii="Times New Roman" w:hAnsi="Times New Roman"/>
          <w:bCs/>
          <w:color w:val="auto"/>
          <w:szCs w:val="21"/>
          <w:highlight w:val="none"/>
          <w:lang w:val="fr-FR"/>
        </w:rPr>
      </w:pPr>
      <w:r>
        <w:rPr>
          <w:rFonts w:ascii="Times New Roman" w:hAnsi="Times New Roman"/>
          <w:bCs/>
          <w:color w:val="auto"/>
          <w:szCs w:val="21"/>
          <w:highlight w:val="none"/>
          <w:lang w:val="fr-FR"/>
        </w:rPr>
        <w:t>La partie A et la partie B peuvent modifier ou résilier le contrat par consensus.</w:t>
      </w:r>
    </w:p>
    <w:p w14:paraId="5BA96513">
      <w:pPr>
        <w:numPr>
          <w:ilvl w:val="0"/>
          <w:numId w:val="15"/>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任何一方要求变更或终止合同时，应在一个月前以书面形式通知对方，并承担第</w:t>
      </w:r>
      <w:r>
        <w:rPr>
          <w:rFonts w:hint="eastAsia"/>
          <w:color w:val="auto"/>
          <w:szCs w:val="21"/>
          <w:highlight w:val="none"/>
          <w:lang w:val="en-US" w:eastAsia="zh-CN"/>
        </w:rPr>
        <w:t>六</w:t>
      </w:r>
      <w:r>
        <w:rPr>
          <w:rFonts w:ascii="Times New Roman" w:hAnsi="Times New Roman"/>
          <w:color w:val="auto"/>
          <w:szCs w:val="21"/>
          <w:highlight w:val="none"/>
        </w:rPr>
        <w:t>条约定的违约责任。</w:t>
      </w:r>
    </w:p>
    <w:p w14:paraId="1A555AFA">
      <w:pPr>
        <w:spacing w:line="360" w:lineRule="auto"/>
        <w:ind w:firstLine="420" w:firstLineChars="200"/>
        <w:rPr>
          <w:rFonts w:ascii="Times New Roman" w:hAnsi="Times New Roman"/>
          <w:color w:val="auto"/>
          <w:szCs w:val="21"/>
          <w:highlight w:val="none"/>
          <w:lang w:val="fr-FR"/>
        </w:rPr>
      </w:pPr>
      <w:r>
        <w:rPr>
          <w:rFonts w:ascii="Times New Roman" w:hAnsi="Times New Roman"/>
          <w:bCs/>
          <w:color w:val="auto"/>
          <w:szCs w:val="21"/>
          <w:highlight w:val="none"/>
          <w:lang w:val="fr-FR"/>
        </w:rPr>
        <w:t xml:space="preserve">Chaque partie doit donner un préavis écrit d’un mois en avance à l'autre partie pour toute demande de modification ou de résiliation du contrat et assume la responsabilité en cas de violation du contrat comme stipulé à l'Article </w:t>
      </w:r>
      <w:r>
        <w:rPr>
          <w:rFonts w:hint="eastAsia"/>
          <w:bCs/>
          <w:color w:val="auto"/>
          <w:szCs w:val="21"/>
          <w:highlight w:val="none"/>
          <w:lang w:val="en-US" w:eastAsia="zh-CN"/>
        </w:rPr>
        <w:t>6</w:t>
      </w:r>
      <w:r>
        <w:rPr>
          <w:rFonts w:ascii="Times New Roman" w:hAnsi="Times New Roman"/>
          <w:bCs/>
          <w:color w:val="auto"/>
          <w:szCs w:val="21"/>
          <w:highlight w:val="none"/>
          <w:lang w:val="fr-FR"/>
        </w:rPr>
        <w:t>.</w:t>
      </w:r>
    </w:p>
    <w:p w14:paraId="092F0FAC">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（三）变更或终止合同有争议的，按合同第</w:t>
      </w:r>
      <w:r>
        <w:rPr>
          <w:rFonts w:hint="eastAsia"/>
          <w:color w:val="auto"/>
          <w:szCs w:val="21"/>
          <w:highlight w:val="none"/>
          <w:lang w:val="en-US" w:eastAsia="zh-CN"/>
        </w:rPr>
        <w:t>八</w:t>
      </w:r>
      <w:r>
        <w:rPr>
          <w:rFonts w:ascii="Times New Roman" w:hAnsi="Times New Roman"/>
          <w:color w:val="auto"/>
          <w:szCs w:val="21"/>
          <w:highlight w:val="none"/>
        </w:rPr>
        <w:t>条约定处理。</w:t>
      </w:r>
    </w:p>
    <w:p w14:paraId="36B1C96A">
      <w:pPr>
        <w:spacing w:line="360" w:lineRule="auto"/>
        <w:ind w:firstLine="420" w:firstLineChars="200"/>
        <w:rPr>
          <w:rFonts w:ascii="Times New Roman" w:hAnsi="Times New Roman"/>
          <w:color w:val="auto"/>
          <w:szCs w:val="21"/>
          <w:highlight w:val="none"/>
          <w:lang w:val="fr-FR"/>
        </w:rPr>
      </w:pPr>
      <w:r>
        <w:rPr>
          <w:rFonts w:ascii="Times New Roman" w:hAnsi="Times New Roman"/>
          <w:bCs/>
          <w:color w:val="auto"/>
          <w:szCs w:val="21"/>
          <w:highlight w:val="none"/>
          <w:lang w:val="fr-FR"/>
        </w:rPr>
        <w:t xml:space="preserve">Les litiges concernant la modification ou la résiliation du contrat sont traités conformément à l'Article </w:t>
      </w:r>
      <w:r>
        <w:rPr>
          <w:rFonts w:hint="eastAsia"/>
          <w:bCs/>
          <w:color w:val="auto"/>
          <w:szCs w:val="21"/>
          <w:highlight w:val="none"/>
          <w:lang w:val="en-US" w:eastAsia="zh-CN"/>
        </w:rPr>
        <w:t>8</w:t>
      </w:r>
      <w:r>
        <w:rPr>
          <w:rFonts w:hint="eastAsia" w:ascii="Times New Roman" w:hAnsi="Times New Roman"/>
          <w:bCs/>
          <w:color w:val="auto"/>
          <w:szCs w:val="21"/>
          <w:highlight w:val="none"/>
          <w:lang w:val="fr-FR"/>
        </w:rPr>
        <w:t xml:space="preserve"> </w:t>
      </w:r>
      <w:r>
        <w:rPr>
          <w:rFonts w:ascii="Times New Roman" w:hAnsi="Times New Roman"/>
          <w:bCs/>
          <w:color w:val="auto"/>
          <w:szCs w:val="21"/>
          <w:highlight w:val="none"/>
          <w:lang w:val="fr-FR"/>
        </w:rPr>
        <w:t>du contrat.</w:t>
      </w:r>
    </w:p>
    <w:p w14:paraId="074068C8">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违约责任</w:t>
      </w:r>
    </w:p>
    <w:p w14:paraId="5311504E">
      <w:pPr>
        <w:spacing w:line="360" w:lineRule="auto"/>
        <w:ind w:firstLine="422" w:firstLineChars="200"/>
        <w:rPr>
          <w:rFonts w:ascii="Times New Roman" w:hAnsi="Times New Roman"/>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6</w:t>
      </w:r>
      <w:r>
        <w:rPr>
          <w:rFonts w:ascii="Times New Roman" w:hAnsi="Times New Roman"/>
          <w:b/>
          <w:color w:val="auto"/>
          <w:szCs w:val="21"/>
          <w:highlight w:val="none"/>
          <w:lang w:val="fr-FR"/>
        </w:rPr>
        <w:t xml:space="preserve">  Responsabilité de rupture du contrat</w:t>
      </w:r>
    </w:p>
    <w:p w14:paraId="1B530EA9">
      <w:pPr>
        <w:numPr>
          <w:ilvl w:val="0"/>
          <w:numId w:val="16"/>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甲方违反合同规定应承担的违约责任</w:t>
      </w:r>
    </w:p>
    <w:p w14:paraId="598FFC37">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Responsabilité de rupture du contrat de la part de la Partie A</w:t>
      </w:r>
    </w:p>
    <w:p w14:paraId="53A7851C">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在合同履行期间，因非乙方原因，甲方要求终止合同，乙方未开展工作的，合同即时终止；已开始工作的，由甲方根据乙方已完成并经过甲方确认的实际工作量支付</w:t>
      </w:r>
      <w:r>
        <w:rPr>
          <w:rFonts w:hint="eastAsia"/>
          <w:color w:val="auto"/>
          <w:szCs w:val="21"/>
          <w:highlight w:val="none"/>
          <w:lang w:val="en-US" w:eastAsia="zh-CN"/>
        </w:rPr>
        <w:t>服务费</w:t>
      </w:r>
      <w:r>
        <w:rPr>
          <w:rFonts w:ascii="Times New Roman" w:hAnsi="Times New Roman"/>
          <w:color w:val="auto"/>
          <w:szCs w:val="21"/>
          <w:highlight w:val="none"/>
        </w:rPr>
        <w:t>。</w:t>
      </w:r>
    </w:p>
    <w:p w14:paraId="3A8E95A4">
      <w:pPr>
        <w:spacing w:line="360" w:lineRule="auto"/>
        <w:ind w:firstLine="420" w:firstLineChars="200"/>
        <w:rPr>
          <w:rFonts w:ascii="Times New Roman" w:hAnsi="Times New Roman"/>
          <w:color w:val="auto"/>
          <w:szCs w:val="21"/>
          <w:highlight w:val="none"/>
          <w:lang w:val="fr-FR"/>
        </w:rPr>
      </w:pPr>
      <w:r>
        <w:rPr>
          <w:rFonts w:hint="eastAsia" w:ascii="Times New Roman" w:hAnsi="Times New Roman"/>
          <w:color w:val="auto"/>
          <w:szCs w:val="21"/>
          <w:highlight w:val="none"/>
          <w:lang w:val="fr-FR"/>
        </w:rPr>
        <w:t>Pendant la période d'exécution du contrat, si la partie A demande la résiliation du contrat pour des raisons autres que celles de la partie B et que la partie B n'effectue pas le travail, le contrat sera résilié immédiatement ; si le travail a commencé, la partie A paiera les frais de service en fonction de la charge de travail réelle que la partie B a accomplie et confirmée par la partie A.</w:t>
      </w:r>
    </w:p>
    <w:p w14:paraId="630C25A1">
      <w:pPr>
        <w:numPr>
          <w:ilvl w:val="0"/>
          <w:numId w:val="16"/>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乙方违反合同规定应承担的违约责任</w:t>
      </w:r>
    </w:p>
    <w:p w14:paraId="407A97F5">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Responsabilité de rupture du contrat de la part de la Partie B</w:t>
      </w:r>
    </w:p>
    <w:p w14:paraId="12787E2F">
      <w:pPr>
        <w:numPr>
          <w:ilvl w:val="0"/>
          <w:numId w:val="17"/>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因乙方违约而造成合同终止，</w:t>
      </w:r>
      <w:r>
        <w:rPr>
          <w:rFonts w:hint="eastAsia"/>
          <w:color w:val="auto"/>
          <w:szCs w:val="21"/>
          <w:highlight w:val="none"/>
          <w:lang w:val="en-US" w:eastAsia="zh-CN"/>
        </w:rPr>
        <w:t>乙方将赔偿甲方的直接和间接损失</w:t>
      </w:r>
      <w:r>
        <w:rPr>
          <w:rFonts w:ascii="Times New Roman" w:hAnsi="Times New Roman"/>
          <w:color w:val="auto"/>
          <w:szCs w:val="21"/>
          <w:highlight w:val="none"/>
        </w:rPr>
        <w:t>。</w:t>
      </w:r>
    </w:p>
    <w:p w14:paraId="2ED6F8D5">
      <w:pPr>
        <w:spacing w:line="360" w:lineRule="auto"/>
        <w:ind w:firstLine="420" w:firstLineChars="200"/>
        <w:rPr>
          <w:rFonts w:ascii="Times New Roman" w:hAnsi="Times New Roman"/>
          <w:color w:val="auto"/>
          <w:szCs w:val="21"/>
          <w:highlight w:val="none"/>
          <w:lang w:val="fr-FR"/>
        </w:rPr>
      </w:pPr>
      <w:r>
        <w:rPr>
          <w:rFonts w:hint="eastAsia" w:ascii="Times New Roman" w:hAnsi="Times New Roman"/>
          <w:color w:val="auto"/>
          <w:szCs w:val="21"/>
          <w:highlight w:val="none"/>
          <w:lang w:val="fr-FR"/>
        </w:rPr>
        <w:t>Si le contrat est résilié en raison d'une violation du contrat par la partie B, cette dernière indemnisera la partie A pour ses pertes directes et indirectes.</w:t>
      </w:r>
    </w:p>
    <w:p w14:paraId="3908299B">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不可抗力</w:t>
      </w:r>
    </w:p>
    <w:p w14:paraId="10B86B87">
      <w:pPr>
        <w:spacing w:line="360" w:lineRule="auto"/>
        <w:ind w:firstLine="422" w:firstLineChars="200"/>
        <w:rPr>
          <w:rFonts w:ascii="Times New Roman" w:hAnsi="Times New Roman"/>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7</w:t>
      </w:r>
      <w:r>
        <w:rPr>
          <w:rFonts w:ascii="Times New Roman" w:hAnsi="Times New Roman"/>
          <w:b/>
          <w:color w:val="auto"/>
          <w:szCs w:val="21"/>
          <w:highlight w:val="none"/>
          <w:lang w:val="fr-FR"/>
        </w:rPr>
        <w:t xml:space="preserve"> Force majeure</w:t>
      </w:r>
    </w:p>
    <w:p w14:paraId="779CAD01">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本合同所称不可抗力是指不能预见、不能克服、不能避免并对一方当事人造成重大影响的客观事件，包括但不限于自然灾害如洪水、地震、火灾和风暴等以及社会事件如战争、动乱、政府行为等。</w:t>
      </w:r>
    </w:p>
    <w:p w14:paraId="776598AE">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因不可抗力的原因，致使合同履行受阻时，双方当事人应及时协商解决，并视不可抗力存在的时间推迟履行合同义务；因不可抗力造成的人身伤害、财产损失，各自承担。</w:t>
      </w:r>
    </w:p>
    <w:p w14:paraId="31A6E8F5">
      <w:pPr>
        <w:spacing w:line="360" w:lineRule="auto"/>
        <w:ind w:firstLine="420" w:firstLineChars="200"/>
        <w:rPr>
          <w:rFonts w:ascii="Times New Roman" w:hAnsi="Times New Roman"/>
          <w:bCs/>
          <w:color w:val="auto"/>
          <w:szCs w:val="21"/>
          <w:highlight w:val="none"/>
          <w:lang w:val="fr-FR"/>
        </w:rPr>
      </w:pPr>
      <w:r>
        <w:rPr>
          <w:rFonts w:ascii="Times New Roman" w:hAnsi="Times New Roman"/>
          <w:bCs/>
          <w:color w:val="auto"/>
          <w:szCs w:val="21"/>
          <w:highlight w:val="none"/>
          <w:lang w:val="fr-FR"/>
        </w:rPr>
        <w:t>Le terme de force majeure dans le présent contrat fait référence à des événements objectifs qui ne peuvent être prévus, surmontés, évités et qui ont un impact significatif sur une partie, sans limite, les catastrophes naturelles telles que les inondations, les tremblements de terre, les incendies et les tempêtes, ainsi que les événements sociaux tels que les guerres, les troubles et les actions gouvernementales.</w:t>
      </w:r>
    </w:p>
    <w:p w14:paraId="648658AB">
      <w:pPr>
        <w:spacing w:line="360" w:lineRule="auto"/>
        <w:ind w:firstLine="420" w:firstLineChars="200"/>
        <w:rPr>
          <w:rFonts w:ascii="Times New Roman" w:hAnsi="Times New Roman"/>
          <w:bCs/>
          <w:color w:val="auto"/>
          <w:szCs w:val="21"/>
          <w:highlight w:val="none"/>
          <w:lang w:val="fr-FR"/>
        </w:rPr>
      </w:pPr>
      <w:r>
        <w:rPr>
          <w:rFonts w:ascii="Times New Roman" w:hAnsi="Times New Roman"/>
          <w:bCs/>
          <w:color w:val="auto"/>
          <w:szCs w:val="21"/>
          <w:highlight w:val="none"/>
          <w:lang w:val="fr-FR"/>
        </w:rPr>
        <w:t>Lorsque l'exécution du contrat est entravée par un cas de force majeure, les parties doivent rapidement négocier une solution et, en fonction de l'existence de la force majeure, différer l'exécution des obligations contractuelles ; en cas de force majeure causant des dommages corporels et matériels, chaque partie supporte ses propres pertes respectivement.</w:t>
      </w:r>
    </w:p>
    <w:p w14:paraId="350B7FE7">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争议的解决方法</w:t>
      </w:r>
    </w:p>
    <w:p w14:paraId="2220DBDC">
      <w:pPr>
        <w:spacing w:line="360" w:lineRule="auto"/>
        <w:ind w:firstLine="422" w:firstLineChars="200"/>
        <w:rPr>
          <w:rFonts w:ascii="Times New Roman" w:hAnsi="Times New Roman"/>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8</w:t>
      </w:r>
      <w:r>
        <w:rPr>
          <w:rFonts w:ascii="Times New Roman" w:hAnsi="Times New Roman"/>
          <w:b/>
          <w:color w:val="auto"/>
          <w:szCs w:val="21"/>
          <w:highlight w:val="none"/>
          <w:lang w:val="fr-FR"/>
        </w:rPr>
        <w:t xml:space="preserve"> Solution de litige</w:t>
      </w:r>
    </w:p>
    <w:p w14:paraId="10BC3606">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本合同在履行过程中发生的争议，由双方协商解决。协议不成，任何一方可向甲方所在地法院起诉。</w:t>
      </w:r>
    </w:p>
    <w:p w14:paraId="34AA20C1">
      <w:pPr>
        <w:spacing w:line="360" w:lineRule="auto"/>
        <w:ind w:firstLine="420" w:firstLineChars="200"/>
        <w:rPr>
          <w:rFonts w:ascii="Times New Roman" w:hAnsi="Times New Roman"/>
          <w:color w:val="auto"/>
          <w:szCs w:val="21"/>
          <w:highlight w:val="none"/>
          <w:u w:val="single"/>
        </w:rPr>
      </w:pPr>
      <w:r>
        <w:rPr>
          <w:rFonts w:ascii="Times New Roman" w:hAnsi="Times New Roman"/>
          <w:color w:val="auto"/>
          <w:szCs w:val="21"/>
          <w:highlight w:val="none"/>
        </w:rPr>
        <w:t>协商或诉讼期间，除与争议有关的部分外，双方应继续履行合同规定的各自的义务。</w:t>
      </w:r>
    </w:p>
    <w:p w14:paraId="103ED50E">
      <w:pPr>
        <w:spacing w:line="360" w:lineRule="auto"/>
        <w:ind w:firstLine="420" w:firstLineChars="200"/>
        <w:rPr>
          <w:rFonts w:ascii="Times New Roman" w:hAnsi="Times New Roman"/>
          <w:bCs/>
          <w:color w:val="auto"/>
          <w:szCs w:val="21"/>
          <w:highlight w:val="none"/>
          <w:lang w:val="fr-CA"/>
        </w:rPr>
      </w:pPr>
      <w:r>
        <w:rPr>
          <w:rFonts w:ascii="Times New Roman" w:hAnsi="Times New Roman"/>
          <w:bCs/>
          <w:color w:val="auto"/>
          <w:szCs w:val="21"/>
          <w:highlight w:val="none"/>
          <w:lang w:val="fr-FR"/>
        </w:rPr>
        <w:t>Les litiges survenant au cours de l'exécution du présent contrat doivent être réglés par négociation d'un commun accord.</w:t>
      </w:r>
      <w:r>
        <w:rPr>
          <w:rFonts w:ascii="Times New Roman" w:hAnsi="Times New Roman"/>
          <w:bCs/>
          <w:color w:val="auto"/>
          <w:szCs w:val="21"/>
          <w:highlight w:val="none"/>
          <w:lang w:val="fr-CA"/>
        </w:rPr>
        <w:t xml:space="preserve"> Si la </w:t>
      </w:r>
      <w:r>
        <w:rPr>
          <w:rFonts w:ascii="Times New Roman" w:hAnsi="Times New Roman"/>
          <w:bCs/>
          <w:color w:val="auto"/>
          <w:szCs w:val="21"/>
          <w:highlight w:val="none"/>
          <w:lang w:val="fr-FR"/>
        </w:rPr>
        <w:t>négociation</w:t>
      </w:r>
      <w:r>
        <w:rPr>
          <w:rFonts w:ascii="Times New Roman" w:hAnsi="Times New Roman"/>
          <w:bCs/>
          <w:color w:val="auto"/>
          <w:szCs w:val="21"/>
          <w:highlight w:val="none"/>
          <w:lang w:val="fr-CA"/>
        </w:rPr>
        <w:t xml:space="preserve"> échoué, l’une ou l’autre des parties peut intenter une action en justice devant le tribunal ou se trouve la Partie A.</w:t>
      </w:r>
    </w:p>
    <w:p w14:paraId="012D923B">
      <w:pPr>
        <w:spacing w:line="360" w:lineRule="auto"/>
        <w:ind w:firstLine="420" w:firstLineChars="200"/>
        <w:rPr>
          <w:rFonts w:ascii="Times New Roman" w:hAnsi="Times New Roman"/>
          <w:bCs/>
          <w:color w:val="auto"/>
          <w:szCs w:val="21"/>
          <w:highlight w:val="none"/>
          <w:lang w:val="fr-FR"/>
        </w:rPr>
      </w:pPr>
      <w:r>
        <w:rPr>
          <w:rFonts w:ascii="Times New Roman" w:hAnsi="Times New Roman"/>
          <w:bCs/>
          <w:color w:val="auto"/>
          <w:szCs w:val="21"/>
          <w:highlight w:val="none"/>
          <w:lang w:val="fr-FR"/>
        </w:rPr>
        <w:t>Pendant les négociations</w:t>
      </w:r>
      <w:r>
        <w:rPr>
          <w:rFonts w:ascii="Times New Roman" w:hAnsi="Times New Roman"/>
          <w:bCs/>
          <w:color w:val="auto"/>
          <w:szCs w:val="21"/>
          <w:highlight w:val="none"/>
          <w:lang w:val="fr-CA"/>
        </w:rPr>
        <w:t xml:space="preserve"> ou les litiges</w:t>
      </w:r>
      <w:r>
        <w:rPr>
          <w:rFonts w:ascii="Times New Roman" w:hAnsi="Times New Roman"/>
          <w:bCs/>
          <w:color w:val="auto"/>
          <w:szCs w:val="21"/>
          <w:highlight w:val="none"/>
          <w:lang w:val="fr-FR"/>
        </w:rPr>
        <w:t>, les deux parties continuent à exécuter leurs obligations respectives au titre du contrat, à l'exception de la partie relative aux consultations.</w:t>
      </w:r>
    </w:p>
    <w:p w14:paraId="1F003D4D">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附则</w:t>
      </w:r>
    </w:p>
    <w:p w14:paraId="11509213">
      <w:pPr>
        <w:spacing w:line="360" w:lineRule="auto"/>
        <w:ind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lang w:val="fr-FR"/>
        </w:rPr>
        <w:t xml:space="preserve">Article </w:t>
      </w:r>
      <w:r>
        <w:rPr>
          <w:rFonts w:hint="eastAsia"/>
          <w:b/>
          <w:bCs/>
          <w:color w:val="auto"/>
          <w:szCs w:val="21"/>
          <w:highlight w:val="none"/>
          <w:lang w:val="en-US" w:eastAsia="zh-CN"/>
        </w:rPr>
        <w:t>9</w:t>
      </w:r>
      <w:r>
        <w:rPr>
          <w:rFonts w:ascii="Times New Roman" w:hAnsi="Times New Roman"/>
          <w:b/>
          <w:bCs/>
          <w:color w:val="auto"/>
          <w:szCs w:val="21"/>
          <w:highlight w:val="none"/>
        </w:rPr>
        <w:t xml:space="preserve"> Articles additionnels</w:t>
      </w:r>
    </w:p>
    <w:p w14:paraId="375996D1">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w:t>
      </w:r>
      <w:r>
        <w:rPr>
          <w:rFonts w:hint="eastAsia"/>
          <w:color w:val="auto"/>
          <w:szCs w:val="21"/>
          <w:highlight w:val="none"/>
          <w:lang w:val="en-US" w:eastAsia="zh-CN"/>
        </w:rPr>
        <w:t>一</w:t>
      </w:r>
      <w:r>
        <w:rPr>
          <w:rFonts w:ascii="Times New Roman" w:hAnsi="Times New Roman"/>
          <w:color w:val="auto"/>
          <w:szCs w:val="21"/>
          <w:highlight w:val="none"/>
        </w:rPr>
        <w:t>）按本合同规定应付的违约金、赔偿金和各种经济损失，应当在明确责任后10日内支付，逾期加付同期银行利息。</w:t>
      </w:r>
    </w:p>
    <w:p w14:paraId="0AD03784">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Les pénalités, indemnités et pertes économiques de toute nature dus en vertu du présent contrat doivent être payés dans les 10 jours suivant la date à laquelle la responsabilité est clairement établie, plus les intérêts bancaires pour la même période au cas de paiement tardif.</w:t>
      </w:r>
    </w:p>
    <w:p w14:paraId="523AD21D">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w:t>
      </w:r>
      <w:r>
        <w:rPr>
          <w:rFonts w:hint="eastAsia"/>
          <w:color w:val="auto"/>
          <w:szCs w:val="21"/>
          <w:highlight w:val="none"/>
          <w:lang w:val="en-US" w:eastAsia="zh-CN"/>
        </w:rPr>
        <w:t>二</w:t>
      </w:r>
      <w:r>
        <w:rPr>
          <w:rFonts w:ascii="Times New Roman" w:hAnsi="Times New Roman"/>
          <w:color w:val="auto"/>
          <w:szCs w:val="21"/>
          <w:highlight w:val="none"/>
        </w:rPr>
        <w:t>）本合同未尽事宜，由甲乙双方协商解决，如有必要订立补充协议。补充协议与本合同具有相同的法律效力。</w:t>
      </w:r>
    </w:p>
    <w:p w14:paraId="31D143B1">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 xml:space="preserve">Les affaires non épuisées dans le présent contrat seront réglées par négociation entre les parties et, si nécessaire, un avenant sera établi. L’avenant a les mêmes effets juridiques que le présent contrat. </w:t>
      </w:r>
    </w:p>
    <w:p w14:paraId="540484F5">
      <w:pPr>
        <w:spacing w:line="360" w:lineRule="auto"/>
        <w:ind w:firstLine="420" w:firstLineChars="200"/>
        <w:rPr>
          <w:rFonts w:ascii="Times New Roman" w:hAnsi="Times New Roman" w:eastAsia="宋体" w:cs="Times New Roman"/>
          <w:color w:val="auto"/>
          <w:szCs w:val="21"/>
          <w:highlight w:val="none"/>
          <w:lang w:val="fr-FR"/>
        </w:rPr>
      </w:pPr>
      <w:r>
        <w:rPr>
          <w:rFonts w:hint="eastAsia" w:ascii="Times New Roman" w:hAnsi="Times New Roman" w:eastAsia="宋体" w:cs="Times New Roman"/>
          <w:color w:val="auto"/>
          <w:szCs w:val="21"/>
          <w:highlight w:val="none"/>
          <w:lang w:eastAsia="zh-CN"/>
        </w:rPr>
        <w:t>（</w:t>
      </w:r>
      <w:r>
        <w:rPr>
          <w:rFonts w:hint="eastAsia" w:cs="Times New Roman"/>
          <w:color w:val="auto"/>
          <w:szCs w:val="21"/>
          <w:highlight w:val="none"/>
          <w:lang w:val="en-US" w:eastAsia="zh-CN"/>
        </w:rPr>
        <w:t>三</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本合同原件一式陆份，甲方执</w:t>
      </w:r>
      <w:r>
        <w:rPr>
          <w:rFonts w:hint="eastAsia" w:cs="Times New Roman"/>
          <w:color w:val="auto"/>
          <w:szCs w:val="21"/>
          <w:highlight w:val="none"/>
          <w:lang w:val="en-US" w:eastAsia="zh-CN"/>
        </w:rPr>
        <w:t>肆</w:t>
      </w:r>
      <w:r>
        <w:rPr>
          <w:rFonts w:hint="eastAsia" w:ascii="Times New Roman" w:hAnsi="Times New Roman" w:eastAsia="宋体" w:cs="Times New Roman"/>
          <w:color w:val="auto"/>
          <w:szCs w:val="21"/>
          <w:highlight w:val="none"/>
        </w:rPr>
        <w:t>份，乙方执</w:t>
      </w:r>
      <w:r>
        <w:rPr>
          <w:rFonts w:hint="eastAsia" w:cs="Times New Roman"/>
          <w:color w:val="auto"/>
          <w:szCs w:val="21"/>
          <w:highlight w:val="none"/>
          <w:lang w:val="en-US" w:eastAsia="zh-CN"/>
        </w:rPr>
        <w:t>贰</w:t>
      </w:r>
      <w:r>
        <w:rPr>
          <w:rFonts w:hint="eastAsia" w:ascii="Times New Roman" w:hAnsi="Times New Roman" w:eastAsia="宋体" w:cs="Times New Roman"/>
          <w:color w:val="auto"/>
          <w:szCs w:val="21"/>
          <w:highlight w:val="none"/>
        </w:rPr>
        <w:t>份。</w:t>
      </w:r>
      <w:r>
        <w:rPr>
          <w:rFonts w:ascii="Times New Roman" w:hAnsi="Times New Roman" w:eastAsia="宋体" w:cs="Times New Roman"/>
          <w:color w:val="auto"/>
          <w:szCs w:val="21"/>
          <w:highlight w:val="none"/>
        </w:rPr>
        <w:t>。</w:t>
      </w:r>
    </w:p>
    <w:p w14:paraId="235E5A1E">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Le</w:t>
      </w:r>
      <w:r>
        <w:rPr>
          <w:rFonts w:hint="eastAsia" w:ascii="Times New Roman" w:hAnsi="Times New Roman"/>
          <w:color w:val="auto"/>
          <w:szCs w:val="21"/>
          <w:highlight w:val="none"/>
          <w:lang w:val="fr-FR"/>
        </w:rPr>
        <w:t xml:space="preserve"> présent contrat est signé en 6 exemplaires  (dont quatre exemplaires par la partie A et deux par la partie B).</w:t>
      </w:r>
    </w:p>
    <w:p w14:paraId="009B29B1">
      <w:pPr>
        <w:spacing w:line="360" w:lineRule="auto"/>
        <w:ind w:firstLine="420" w:firstLineChars="200"/>
        <w:rPr>
          <w:rFonts w:hint="eastAsia" w:ascii="Times New Roman" w:hAnsi="Times New Roman" w:eastAsia="宋体" w:cs="Times New Roman"/>
          <w:color w:val="auto"/>
          <w:szCs w:val="21"/>
          <w:highlight w:val="none"/>
          <w:lang w:val="fr-FR" w:eastAsia="zh-CN"/>
        </w:rPr>
      </w:pPr>
      <w:r>
        <w:rPr>
          <w:rFonts w:hint="eastAsia" w:eastAsia="宋体" w:cs="Times New Roman"/>
          <w:color w:val="auto"/>
          <w:szCs w:val="21"/>
          <w:highlight w:val="none"/>
          <w:lang w:eastAsia="zh-CN"/>
        </w:rPr>
        <w:t>（</w:t>
      </w:r>
      <w:r>
        <w:rPr>
          <w:rFonts w:hint="eastAsia" w:eastAsia="宋体" w:cs="Times New Roman"/>
          <w:color w:val="auto"/>
          <w:szCs w:val="21"/>
          <w:highlight w:val="none"/>
          <w:lang w:val="en-US" w:eastAsia="zh-CN"/>
        </w:rPr>
        <w:t>四</w:t>
      </w:r>
      <w:r>
        <w:rPr>
          <w:rFonts w:hint="eastAsia"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eastAsia="zh-CN"/>
        </w:rPr>
        <w:t>附件作为合同组成部分，具有同等法律效力。</w:t>
      </w:r>
    </w:p>
    <w:p w14:paraId="3C6B5662">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Les annexes ont les mêmes effets juridiques en tant que partie intégrante du contrat</w:t>
      </w:r>
    </w:p>
    <w:p w14:paraId="0CC70D0D">
      <w:pPr>
        <w:spacing w:line="360" w:lineRule="auto"/>
        <w:rPr>
          <w:rFonts w:ascii="Times New Roman" w:hAnsi="Times New Roman"/>
          <w:color w:val="auto"/>
          <w:szCs w:val="21"/>
          <w:highlight w:val="none"/>
          <w:lang w:val="fr-FR"/>
        </w:rPr>
      </w:pPr>
    </w:p>
    <w:p w14:paraId="32D0B109">
      <w:pPr>
        <w:spacing w:line="360" w:lineRule="auto"/>
        <w:rPr>
          <w:rFonts w:ascii="Times New Roman" w:hAnsi="Times New Roman"/>
          <w:color w:val="auto"/>
          <w:szCs w:val="21"/>
          <w:highlight w:val="none"/>
          <w:lang w:val="fr-FR"/>
        </w:rPr>
      </w:pPr>
    </w:p>
    <w:p w14:paraId="0E950D43">
      <w:pPr>
        <w:spacing w:line="360" w:lineRule="auto"/>
        <w:rPr>
          <w:rFonts w:ascii="Times New Roman" w:hAnsi="Times New Roman"/>
          <w:color w:val="auto"/>
          <w:szCs w:val="21"/>
          <w:highlight w:val="none"/>
          <w:lang w:val="fr-FR"/>
        </w:rPr>
      </w:pPr>
    </w:p>
    <w:p w14:paraId="7B36D1D8">
      <w:pPr>
        <w:spacing w:line="360" w:lineRule="auto"/>
        <w:rPr>
          <w:rFonts w:ascii="Times New Roman" w:hAnsi="Times New Roman"/>
          <w:color w:val="auto"/>
          <w:szCs w:val="21"/>
          <w:highlight w:val="none"/>
          <w:lang w:val="fr-FR"/>
        </w:rPr>
      </w:pPr>
    </w:p>
    <w:p w14:paraId="1587E449">
      <w:pPr>
        <w:spacing w:line="360" w:lineRule="auto"/>
        <w:rPr>
          <w:rFonts w:ascii="Times New Roman" w:hAnsi="Times New Roman"/>
          <w:color w:val="auto"/>
          <w:szCs w:val="21"/>
          <w:highlight w:val="none"/>
          <w:lang w:val="fr-FR"/>
        </w:rPr>
      </w:pPr>
    </w:p>
    <w:p w14:paraId="1BC0DA1F">
      <w:pPr>
        <w:spacing w:line="360" w:lineRule="auto"/>
        <w:rPr>
          <w:rFonts w:ascii="Times New Roman" w:hAnsi="Times New Roman"/>
          <w:color w:val="auto"/>
          <w:szCs w:val="21"/>
          <w:highlight w:val="none"/>
          <w:lang w:val="fr-FR"/>
        </w:rPr>
      </w:pPr>
    </w:p>
    <w:p w14:paraId="5103CBA7">
      <w:pPr>
        <w:spacing w:line="360" w:lineRule="auto"/>
        <w:rPr>
          <w:rFonts w:ascii="Times New Roman" w:hAnsi="Times New Roman"/>
          <w:color w:val="auto"/>
          <w:szCs w:val="21"/>
          <w:highlight w:val="none"/>
          <w:lang w:val="fr-FR"/>
        </w:rPr>
      </w:pPr>
    </w:p>
    <w:p w14:paraId="036427DA">
      <w:pPr>
        <w:spacing w:line="360" w:lineRule="auto"/>
        <w:rPr>
          <w:rFonts w:ascii="Times New Roman" w:hAnsi="Times New Roman"/>
          <w:color w:val="auto"/>
          <w:szCs w:val="21"/>
          <w:highlight w:val="none"/>
          <w:lang w:val="fr-FR"/>
        </w:rPr>
      </w:pPr>
    </w:p>
    <w:p w14:paraId="3E513DA8">
      <w:pPr>
        <w:spacing w:line="360" w:lineRule="auto"/>
        <w:rPr>
          <w:rFonts w:ascii="Times New Roman" w:hAnsi="Times New Roman"/>
          <w:color w:val="auto"/>
          <w:szCs w:val="21"/>
          <w:highlight w:val="none"/>
          <w:lang w:val="fr-FR"/>
        </w:rPr>
      </w:pPr>
    </w:p>
    <w:p w14:paraId="2A0140A0">
      <w:pPr>
        <w:spacing w:line="360" w:lineRule="auto"/>
        <w:rPr>
          <w:rFonts w:ascii="Times New Roman" w:hAnsi="Times New Roman"/>
          <w:color w:val="auto"/>
          <w:szCs w:val="21"/>
          <w:highlight w:val="none"/>
          <w:lang w:val="fr-FR"/>
        </w:rPr>
      </w:pPr>
    </w:p>
    <w:p w14:paraId="0BF47CEF">
      <w:pPr>
        <w:spacing w:line="360" w:lineRule="auto"/>
        <w:rPr>
          <w:rFonts w:ascii="Times New Roman" w:hAnsi="Times New Roman"/>
          <w:color w:val="auto"/>
          <w:szCs w:val="21"/>
          <w:highlight w:val="none"/>
          <w:lang w:val="fr-FR"/>
        </w:rPr>
      </w:pPr>
    </w:p>
    <w:p w14:paraId="7B6B69C0">
      <w:pPr>
        <w:spacing w:line="360" w:lineRule="auto"/>
        <w:rPr>
          <w:rFonts w:ascii="Times New Roman" w:hAnsi="Times New Roman"/>
          <w:color w:val="auto"/>
          <w:szCs w:val="21"/>
          <w:highlight w:val="none"/>
          <w:lang w:val="fr-FR"/>
        </w:rPr>
      </w:pPr>
    </w:p>
    <w:p w14:paraId="50D4871B">
      <w:pPr>
        <w:spacing w:line="360" w:lineRule="auto"/>
        <w:rPr>
          <w:rFonts w:ascii="Times New Roman" w:hAnsi="Times New Roman"/>
          <w:color w:val="auto"/>
          <w:szCs w:val="21"/>
          <w:highlight w:val="none"/>
          <w:lang w:val="fr-FR"/>
        </w:rPr>
      </w:pPr>
    </w:p>
    <w:p w14:paraId="2380D643">
      <w:pPr>
        <w:spacing w:line="360" w:lineRule="auto"/>
        <w:rPr>
          <w:rFonts w:ascii="Times New Roman" w:hAnsi="Times New Roman"/>
          <w:color w:val="auto"/>
          <w:szCs w:val="21"/>
          <w:highlight w:val="none"/>
          <w:lang w:val="fr-FR"/>
        </w:rPr>
      </w:pPr>
    </w:p>
    <w:p w14:paraId="1F2F1C3B">
      <w:pPr>
        <w:spacing w:line="360" w:lineRule="auto"/>
        <w:rPr>
          <w:rFonts w:ascii="Times New Roman" w:hAnsi="Times New Roman"/>
          <w:color w:val="auto"/>
          <w:szCs w:val="21"/>
          <w:highlight w:val="none"/>
          <w:lang w:val="fr-FR"/>
        </w:rPr>
      </w:pPr>
    </w:p>
    <w:p w14:paraId="0B1D4895">
      <w:pPr>
        <w:spacing w:line="360" w:lineRule="auto"/>
        <w:rPr>
          <w:rFonts w:ascii="Times New Roman" w:hAnsi="Times New Roman"/>
          <w:color w:val="auto"/>
          <w:szCs w:val="21"/>
          <w:highlight w:val="none"/>
          <w:lang w:val="fr-FR"/>
        </w:rPr>
      </w:pPr>
    </w:p>
    <w:p w14:paraId="6A00A78B">
      <w:pPr>
        <w:spacing w:line="360" w:lineRule="auto"/>
        <w:rPr>
          <w:rFonts w:ascii="Times New Roman" w:hAnsi="Times New Roman"/>
          <w:color w:val="auto"/>
          <w:szCs w:val="21"/>
          <w:highlight w:val="none"/>
          <w:lang w:val="fr-FR"/>
        </w:rPr>
      </w:pPr>
    </w:p>
    <w:p w14:paraId="3427F9FF">
      <w:pPr>
        <w:spacing w:line="360" w:lineRule="auto"/>
        <w:rPr>
          <w:rFonts w:ascii="Times New Roman" w:hAnsi="Times New Roman"/>
          <w:color w:val="auto"/>
          <w:szCs w:val="21"/>
          <w:highlight w:val="none"/>
          <w:lang w:val="fr-FR"/>
        </w:rPr>
      </w:pPr>
    </w:p>
    <w:p w14:paraId="3082874E">
      <w:pPr>
        <w:spacing w:line="360" w:lineRule="auto"/>
        <w:rPr>
          <w:rFonts w:ascii="Times New Roman" w:hAnsi="Times New Roman"/>
          <w:color w:val="auto"/>
          <w:szCs w:val="21"/>
          <w:highlight w:val="none"/>
          <w:lang w:val="fr-FR"/>
        </w:rPr>
      </w:pPr>
    </w:p>
    <w:p w14:paraId="79F393C5">
      <w:pPr>
        <w:spacing w:line="360" w:lineRule="auto"/>
        <w:rPr>
          <w:rFonts w:ascii="Times New Roman" w:hAnsi="Times New Roman"/>
          <w:color w:val="auto"/>
          <w:szCs w:val="21"/>
          <w:highlight w:val="none"/>
          <w:lang w:val="fr-FR"/>
        </w:rPr>
      </w:pPr>
    </w:p>
    <w:p w14:paraId="1B17E850">
      <w:pPr>
        <w:spacing w:line="360" w:lineRule="auto"/>
        <w:rPr>
          <w:rFonts w:ascii="Times New Roman" w:hAnsi="Times New Roman"/>
          <w:color w:val="auto"/>
          <w:szCs w:val="21"/>
          <w:highlight w:val="none"/>
          <w:lang w:val="fr-FR"/>
        </w:rPr>
      </w:pPr>
    </w:p>
    <w:p w14:paraId="13C622F0">
      <w:pPr>
        <w:spacing w:line="360" w:lineRule="auto"/>
        <w:rPr>
          <w:rFonts w:ascii="Times New Roman" w:hAnsi="Times New Roman"/>
          <w:color w:val="auto"/>
          <w:szCs w:val="21"/>
          <w:highlight w:val="none"/>
          <w:lang w:val="fr-FR"/>
        </w:rPr>
      </w:pPr>
    </w:p>
    <w:p w14:paraId="0458DA04">
      <w:pPr>
        <w:spacing w:line="360" w:lineRule="auto"/>
        <w:rPr>
          <w:rFonts w:ascii="Times New Roman" w:hAnsi="Times New Roman"/>
          <w:color w:val="auto"/>
          <w:szCs w:val="21"/>
          <w:highlight w:val="none"/>
          <w:lang w:val="fr-FR"/>
        </w:rPr>
      </w:pPr>
    </w:p>
    <w:p w14:paraId="286E746E">
      <w:pPr>
        <w:spacing w:line="360" w:lineRule="auto"/>
        <w:rPr>
          <w:rFonts w:ascii="Times New Roman" w:hAnsi="Times New Roman"/>
          <w:color w:val="auto"/>
          <w:szCs w:val="21"/>
          <w:highlight w:val="none"/>
          <w:lang w:val="fr-FR"/>
        </w:rPr>
      </w:pPr>
    </w:p>
    <w:p w14:paraId="60A24EAE">
      <w:pPr>
        <w:spacing w:line="360" w:lineRule="auto"/>
        <w:rPr>
          <w:rFonts w:ascii="Times New Roman" w:hAnsi="Times New Roman"/>
          <w:color w:val="auto"/>
          <w:szCs w:val="21"/>
          <w:highlight w:val="none"/>
          <w:lang w:val="fr-FR"/>
        </w:rPr>
      </w:pPr>
    </w:p>
    <w:p w14:paraId="78FE4464">
      <w:pPr>
        <w:spacing w:line="360" w:lineRule="auto"/>
        <w:rPr>
          <w:rFonts w:ascii="Times New Roman" w:hAnsi="Times New Roman"/>
          <w:color w:val="auto"/>
          <w:szCs w:val="21"/>
          <w:highlight w:val="none"/>
          <w:lang w:val="fr-FR"/>
        </w:rPr>
      </w:pPr>
    </w:p>
    <w:p w14:paraId="5CFB9019">
      <w:pPr>
        <w:spacing w:line="360" w:lineRule="auto"/>
        <w:rPr>
          <w:rFonts w:ascii="Times New Roman" w:hAnsi="Times New Roman"/>
          <w:color w:val="auto"/>
          <w:szCs w:val="21"/>
          <w:highlight w:val="none"/>
          <w:lang w:val="fr-FR"/>
        </w:rPr>
      </w:pPr>
    </w:p>
    <w:p w14:paraId="25243C29">
      <w:pPr>
        <w:spacing w:line="360" w:lineRule="auto"/>
        <w:rPr>
          <w:rFonts w:ascii="Times New Roman" w:hAnsi="Times New Roman"/>
          <w:color w:val="auto"/>
          <w:szCs w:val="21"/>
          <w:highlight w:val="none"/>
          <w:lang w:val="fr-FR"/>
        </w:rPr>
      </w:pPr>
    </w:p>
    <w:p w14:paraId="397ACF75">
      <w:pPr>
        <w:pStyle w:val="21"/>
        <w:rPr>
          <w:color w:val="auto"/>
          <w:szCs w:val="21"/>
          <w:highlight w:val="none"/>
          <w:lang w:val="fr-FR"/>
        </w:rPr>
      </w:pPr>
    </w:p>
    <w:p w14:paraId="1C37B13C">
      <w:pPr>
        <w:pStyle w:val="21"/>
        <w:rPr>
          <w:color w:val="auto"/>
          <w:szCs w:val="21"/>
          <w:highlight w:val="none"/>
          <w:lang w:val="fr-FR"/>
        </w:rPr>
      </w:pPr>
    </w:p>
    <w:p w14:paraId="4CF1F8C4">
      <w:pPr>
        <w:pStyle w:val="21"/>
        <w:rPr>
          <w:color w:val="auto"/>
          <w:szCs w:val="21"/>
          <w:highlight w:val="none"/>
          <w:lang w:val="fr-FR"/>
        </w:rPr>
      </w:pPr>
    </w:p>
    <w:p w14:paraId="7C4160C7">
      <w:pPr>
        <w:pStyle w:val="21"/>
        <w:rPr>
          <w:color w:val="auto"/>
          <w:szCs w:val="21"/>
          <w:highlight w:val="none"/>
          <w:lang w:val="fr-FR"/>
        </w:rPr>
      </w:pPr>
    </w:p>
    <w:p w14:paraId="0824A912">
      <w:pPr>
        <w:pStyle w:val="20"/>
        <w:rPr>
          <w:rFonts w:ascii="Times New Roman" w:hAnsi="Times New Roman"/>
          <w:color w:val="auto"/>
          <w:szCs w:val="21"/>
          <w:highlight w:val="none"/>
          <w:lang w:val="fr-FR"/>
        </w:rPr>
      </w:pPr>
    </w:p>
    <w:p w14:paraId="7DBB5EA6">
      <w:pPr>
        <w:pStyle w:val="21"/>
        <w:rPr>
          <w:color w:val="auto"/>
          <w:szCs w:val="21"/>
          <w:highlight w:val="none"/>
          <w:lang w:val="fr-FR"/>
        </w:rPr>
      </w:pPr>
    </w:p>
    <w:p w14:paraId="0AC57708">
      <w:pPr>
        <w:pStyle w:val="21"/>
        <w:rPr>
          <w:color w:val="auto"/>
          <w:szCs w:val="21"/>
          <w:highlight w:val="none"/>
          <w:lang w:val="fr-FR"/>
        </w:rPr>
      </w:pPr>
    </w:p>
    <w:p w14:paraId="1654ABBB">
      <w:pPr>
        <w:pStyle w:val="2"/>
        <w:numPr>
          <w:ilvl w:val="0"/>
          <w:numId w:val="0"/>
        </w:numPr>
        <w:adjustRightInd w:val="0"/>
        <w:snapToGrid w:val="0"/>
        <w:spacing w:before="0" w:after="0" w:line="360" w:lineRule="auto"/>
        <w:ind w:leftChars="0"/>
        <w:jc w:val="center"/>
        <w:rPr>
          <w:rFonts w:hint="eastAsia" w:ascii="宋体" w:hAnsi="宋体" w:eastAsia="宋体" w:cs="Times New Roman"/>
          <w:b/>
          <w:color w:val="auto"/>
          <w:sz w:val="28"/>
          <w:szCs w:val="28"/>
          <w:highlight w:val="none"/>
          <w:lang w:val="en-US" w:eastAsia="zh-CN"/>
        </w:rPr>
      </w:pPr>
      <w:r>
        <w:rPr>
          <w:rFonts w:hint="eastAsia" w:ascii="宋体" w:hAnsi="宋体" w:cs="Times New Roman"/>
          <w:b/>
          <w:color w:val="auto"/>
          <w:sz w:val="28"/>
          <w:szCs w:val="28"/>
          <w:highlight w:val="none"/>
          <w:lang w:val="en-US" w:eastAsia="zh-CN"/>
        </w:rPr>
        <w:t xml:space="preserve">第四章 </w:t>
      </w:r>
      <w:r>
        <w:rPr>
          <w:rFonts w:hint="eastAsia" w:ascii="宋体" w:hAnsi="宋体" w:eastAsia="宋体" w:cs="Times New Roman"/>
          <w:b/>
          <w:color w:val="auto"/>
          <w:sz w:val="28"/>
          <w:szCs w:val="28"/>
          <w:highlight w:val="none"/>
          <w:lang w:val="en-US" w:eastAsia="zh-CN"/>
        </w:rPr>
        <w:t>响应文件</w:t>
      </w:r>
      <w:bookmarkEnd w:id="88"/>
      <w:r>
        <w:rPr>
          <w:rFonts w:hint="eastAsia" w:ascii="宋体" w:hAnsi="宋体" w:eastAsia="宋体" w:cs="Times New Roman"/>
          <w:b/>
          <w:color w:val="auto"/>
          <w:sz w:val="28"/>
          <w:szCs w:val="28"/>
          <w:highlight w:val="none"/>
          <w:lang w:val="en-US" w:eastAsia="zh-CN"/>
        </w:rPr>
        <w:t>格式</w:t>
      </w:r>
      <w:bookmarkEnd w:id="89"/>
    </w:p>
    <w:p w14:paraId="5024DA6D">
      <w:pPr>
        <w:numPr>
          <w:ilvl w:val="0"/>
          <w:numId w:val="0"/>
        </w:numPr>
        <w:ind w:leftChars="0"/>
        <w:jc w:val="center"/>
        <w:rPr>
          <w:rFonts w:hint="eastAsia"/>
          <w:lang w:val="en-US" w:eastAsia="zh-CN"/>
        </w:rPr>
      </w:pPr>
      <w:r>
        <w:rPr>
          <w:rFonts w:hint="eastAsia"/>
          <w:lang w:val="en-US" w:eastAsia="zh-CN"/>
        </w:rPr>
        <w:t>Chapitre IV - Format du document de réponse</w:t>
      </w:r>
    </w:p>
    <w:p w14:paraId="7F4EA047">
      <w:pPr>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color w:val="auto"/>
          <w:highlight w:val="none"/>
        </w:rPr>
      </w:pPr>
      <w:bookmarkStart w:id="90" w:name="_Toc22051"/>
      <w:r>
        <w:rPr>
          <w:rFonts w:hint="eastAsia" w:ascii="Times New Roman" w:hAnsi="宋体" w:eastAsia="宋体" w:cs="宋体"/>
          <w:b/>
          <w:color w:val="auto"/>
          <w:sz w:val="21"/>
          <w:szCs w:val="21"/>
          <w:highlight w:val="none"/>
          <w:lang w:val="zh-CN" w:eastAsia="zh-CN"/>
        </w:rPr>
        <w:t>【编注：</w:t>
      </w:r>
      <w:r>
        <w:rPr>
          <w:rFonts w:hint="eastAsia" w:ascii="Times New Roman" w:hAnsi="宋体" w:eastAsia="宋体" w:cs="宋体"/>
          <w:b/>
          <w:color w:val="auto"/>
          <w:sz w:val="21"/>
          <w:szCs w:val="21"/>
          <w:highlight w:val="none"/>
          <w:lang w:val="en-US" w:eastAsia="zh-CN"/>
        </w:rPr>
        <w:t>响应文件按技术、商务部分（也称文件A）和价格部分（也称文件B）须分开编制，单独上传</w:t>
      </w:r>
      <w:r>
        <w:rPr>
          <w:rFonts w:hint="eastAsia" w:ascii="Times New Roman" w:hAnsi="宋体" w:eastAsia="宋体" w:cs="宋体"/>
          <w:b/>
          <w:color w:val="auto"/>
          <w:sz w:val="21"/>
          <w:szCs w:val="21"/>
          <w:highlight w:val="none"/>
          <w:lang w:val="zh-CN" w:eastAsia="zh-CN"/>
        </w:rPr>
        <w:t>】</w:t>
      </w:r>
    </w:p>
    <w:bookmarkEnd w:id="90"/>
    <w:p w14:paraId="12A1A834">
      <w:pPr>
        <w:adjustRightInd w:val="0"/>
        <w:snapToGrid w:val="0"/>
        <w:spacing w:line="360" w:lineRule="auto"/>
        <w:ind w:firstLine="422" w:firstLineChars="200"/>
        <w:rPr>
          <w:rFonts w:ascii="宋体" w:hAnsi="宋体"/>
          <w:b/>
          <w:color w:val="auto"/>
          <w:highlight w:val="none"/>
        </w:rPr>
      </w:pPr>
      <w:r>
        <w:rPr>
          <w:rFonts w:hint="eastAsia" w:ascii="宋体" w:hAnsi="宋体"/>
          <w:b/>
          <w:color w:val="auto"/>
          <w:highlight w:val="none"/>
        </w:rPr>
        <w:t>重要提示：</w:t>
      </w:r>
    </w:p>
    <w:p w14:paraId="0B3548B3">
      <w:pPr>
        <w:adjustRightInd w:val="0"/>
        <w:snapToGrid w:val="0"/>
        <w:spacing w:line="360" w:lineRule="auto"/>
        <w:ind w:firstLine="422" w:firstLineChars="200"/>
        <w:rPr>
          <w:rFonts w:ascii="宋体" w:hAnsi="宋体"/>
          <w:b/>
          <w:color w:val="auto"/>
          <w:highlight w:val="none"/>
        </w:rPr>
      </w:pPr>
      <w:r>
        <w:rPr>
          <w:rFonts w:hint="eastAsia" w:ascii="宋体" w:hAnsi="宋体"/>
          <w:b/>
          <w:color w:val="auto"/>
          <w:highlight w:val="none"/>
        </w:rPr>
        <w:t>1</w:t>
      </w:r>
      <w:r>
        <w:rPr>
          <w:rFonts w:ascii="宋体" w:hAnsi="宋体"/>
          <w:b/>
          <w:color w:val="auto"/>
          <w:highlight w:val="none"/>
        </w:rPr>
        <w:t>.</w:t>
      </w:r>
      <w:r>
        <w:rPr>
          <w:rFonts w:hint="eastAsia" w:ascii="宋体" w:hAnsi="宋体"/>
          <w:b/>
          <w:color w:val="auto"/>
          <w:highlight w:val="none"/>
        </w:rPr>
        <w:t>请各</w:t>
      </w:r>
      <w:r>
        <w:rPr>
          <w:rFonts w:hint="eastAsia" w:ascii="宋体" w:hAnsi="宋体"/>
          <w:b/>
          <w:color w:val="auto"/>
          <w:highlight w:val="none"/>
          <w:lang w:eastAsia="zh-CN"/>
        </w:rPr>
        <w:t>响应人</w:t>
      </w:r>
      <w:r>
        <w:rPr>
          <w:rFonts w:hint="eastAsia" w:ascii="宋体" w:hAnsi="宋体"/>
          <w:b/>
          <w:color w:val="auto"/>
          <w:highlight w:val="none"/>
        </w:rPr>
        <w:t>严格按照</w:t>
      </w:r>
      <w:r>
        <w:rPr>
          <w:rFonts w:hint="eastAsia" w:ascii="宋体" w:hAnsi="宋体"/>
          <w:b/>
          <w:color w:val="auto"/>
          <w:highlight w:val="none"/>
          <w:lang w:val="en-US" w:eastAsia="zh-CN"/>
        </w:rPr>
        <w:t>响应</w:t>
      </w:r>
      <w:r>
        <w:rPr>
          <w:rFonts w:hint="eastAsia" w:ascii="宋体" w:hAnsi="宋体"/>
          <w:b/>
          <w:color w:val="auto"/>
          <w:highlight w:val="none"/>
        </w:rPr>
        <w:t>文件格式编制</w:t>
      </w:r>
      <w:r>
        <w:rPr>
          <w:rFonts w:hint="eastAsia" w:ascii="宋体" w:hAnsi="宋体"/>
          <w:b/>
          <w:color w:val="auto"/>
          <w:highlight w:val="none"/>
          <w:lang w:val="en-US" w:eastAsia="zh-CN"/>
        </w:rPr>
        <w:t>响应</w:t>
      </w:r>
      <w:r>
        <w:rPr>
          <w:rFonts w:hint="eastAsia" w:ascii="宋体" w:hAnsi="宋体"/>
          <w:b/>
          <w:color w:val="auto"/>
          <w:highlight w:val="none"/>
        </w:rPr>
        <w:t>文件（包括封面、目录、章节），未按</w:t>
      </w:r>
      <w:r>
        <w:rPr>
          <w:rFonts w:hint="eastAsia" w:ascii="宋体" w:hAnsi="宋体"/>
          <w:b/>
          <w:color w:val="auto"/>
          <w:highlight w:val="none"/>
          <w:lang w:val="en-US" w:eastAsia="zh-CN"/>
        </w:rPr>
        <w:t>响应</w:t>
      </w:r>
      <w:r>
        <w:rPr>
          <w:rFonts w:hint="eastAsia" w:ascii="宋体" w:hAnsi="宋体"/>
          <w:b/>
          <w:color w:val="auto"/>
          <w:highlight w:val="none"/>
        </w:rPr>
        <w:t>文件格式编制的</w:t>
      </w:r>
      <w:r>
        <w:rPr>
          <w:rFonts w:hint="eastAsia" w:ascii="宋体" w:hAnsi="宋体"/>
          <w:b/>
          <w:color w:val="auto"/>
          <w:highlight w:val="none"/>
          <w:lang w:val="en-US" w:eastAsia="zh-CN"/>
        </w:rPr>
        <w:t>响应</w:t>
      </w:r>
      <w:r>
        <w:rPr>
          <w:rFonts w:hint="eastAsia" w:ascii="宋体" w:hAnsi="宋体"/>
          <w:b/>
          <w:color w:val="auto"/>
          <w:highlight w:val="none"/>
        </w:rPr>
        <w:t>文件引起的一切后果自负。</w:t>
      </w:r>
    </w:p>
    <w:p w14:paraId="0F95686F">
      <w:pPr>
        <w:adjustRightInd w:val="0"/>
        <w:snapToGrid w:val="0"/>
        <w:spacing w:line="360" w:lineRule="auto"/>
        <w:ind w:firstLine="422" w:firstLineChars="200"/>
        <w:rPr>
          <w:rFonts w:hint="eastAsia" w:ascii="宋体" w:hAnsi="宋体"/>
          <w:b/>
          <w:color w:val="auto"/>
          <w:highlight w:val="none"/>
        </w:rPr>
      </w:pPr>
      <w:r>
        <w:rPr>
          <w:rFonts w:hint="eastAsia" w:ascii="宋体" w:hAnsi="宋体"/>
          <w:b/>
          <w:color w:val="auto"/>
          <w:highlight w:val="none"/>
        </w:rPr>
        <w:t>2</w:t>
      </w:r>
      <w:r>
        <w:rPr>
          <w:rFonts w:ascii="宋体" w:hAnsi="宋体"/>
          <w:b/>
          <w:color w:val="auto"/>
          <w:highlight w:val="none"/>
        </w:rPr>
        <w:t>.</w:t>
      </w:r>
      <w:r>
        <w:rPr>
          <w:rFonts w:hint="eastAsia" w:ascii="宋体" w:hAnsi="宋体"/>
          <w:b/>
          <w:color w:val="auto"/>
          <w:highlight w:val="none"/>
        </w:rPr>
        <w:t>请各</w:t>
      </w:r>
      <w:r>
        <w:rPr>
          <w:rFonts w:hint="eastAsia" w:ascii="宋体" w:hAnsi="宋体"/>
          <w:b/>
          <w:color w:val="auto"/>
          <w:highlight w:val="none"/>
          <w:lang w:val="en-US" w:eastAsia="zh-CN"/>
        </w:rPr>
        <w:t>响应</w:t>
      </w:r>
      <w:r>
        <w:rPr>
          <w:rFonts w:hint="eastAsia" w:ascii="宋体" w:hAnsi="宋体"/>
          <w:b/>
          <w:color w:val="auto"/>
          <w:highlight w:val="none"/>
        </w:rPr>
        <w:t>人务必仔细阅读采购文件，编写有关内容。</w:t>
      </w:r>
    </w:p>
    <w:p w14:paraId="28A323F9">
      <w:pPr>
        <w:spacing w:line="360" w:lineRule="auto"/>
        <w:ind w:firstLine="422" w:firstLineChars="200"/>
        <w:rPr>
          <w:rFonts w:hint="eastAsia" w:ascii="Times New Roman" w:hAnsi="Times New Roman" w:eastAsia="宋体"/>
          <w:b/>
          <w:bCs/>
          <w:color w:val="auto"/>
          <w:szCs w:val="21"/>
          <w:highlight w:val="none"/>
          <w:lang w:val="fr-FR"/>
        </w:rPr>
      </w:pPr>
      <w:r>
        <w:rPr>
          <w:rFonts w:hint="eastAsia" w:ascii="Times New Roman" w:hAnsi="Times New Roman" w:eastAsia="宋体"/>
          <w:b/>
          <w:bCs/>
          <w:color w:val="auto"/>
          <w:szCs w:val="21"/>
          <w:highlight w:val="none"/>
          <w:lang w:val="fr-FR"/>
        </w:rPr>
        <w:t>[Note de l'éditeur : Les documents de réponse doivent être préparés séparément et téléchargés séparément en fonction des parties techniques et commerciales (également appelées Document A) et de la partie prix (également appelée Document B)].</w:t>
      </w:r>
    </w:p>
    <w:p w14:paraId="5CF48BC2">
      <w:pPr>
        <w:spacing w:line="360" w:lineRule="auto"/>
        <w:ind w:firstLine="422" w:firstLineChars="200"/>
        <w:rPr>
          <w:rFonts w:hint="eastAsia" w:ascii="Times New Roman" w:hAnsi="Times New Roman" w:eastAsia="宋体"/>
          <w:b/>
          <w:bCs/>
          <w:color w:val="auto"/>
          <w:szCs w:val="21"/>
          <w:highlight w:val="none"/>
          <w:lang w:val="fr-FR"/>
        </w:rPr>
      </w:pPr>
      <w:r>
        <w:rPr>
          <w:rFonts w:hint="eastAsia" w:ascii="Times New Roman" w:hAnsi="Times New Roman" w:eastAsia="宋体"/>
          <w:b/>
          <w:bCs/>
          <w:color w:val="auto"/>
          <w:szCs w:val="21"/>
          <w:highlight w:val="none"/>
          <w:lang w:val="fr-FR"/>
        </w:rPr>
        <w:t>Notes importantes :</w:t>
      </w:r>
    </w:p>
    <w:p w14:paraId="2C4CFB36">
      <w:pPr>
        <w:spacing w:line="360" w:lineRule="auto"/>
        <w:ind w:firstLine="422" w:firstLineChars="200"/>
        <w:rPr>
          <w:rFonts w:hint="eastAsia" w:ascii="Times New Roman" w:hAnsi="Times New Roman" w:eastAsia="宋体"/>
          <w:b/>
          <w:bCs/>
          <w:color w:val="auto"/>
          <w:szCs w:val="21"/>
          <w:highlight w:val="none"/>
          <w:lang w:val="fr-FR"/>
        </w:rPr>
      </w:pPr>
      <w:r>
        <w:rPr>
          <w:rFonts w:hint="eastAsia" w:ascii="Times New Roman" w:hAnsi="Times New Roman" w:eastAsia="宋体"/>
          <w:b/>
          <w:bCs/>
          <w:color w:val="auto"/>
          <w:szCs w:val="21"/>
          <w:highlight w:val="none"/>
          <w:lang w:val="fr-FR"/>
        </w:rPr>
        <w:t>1) Chaque répondant est prié de préparer le document de réponse (y compris la couverture, le catalogue et les chapitres) en respectant scrupuleusement le format du document de réponse, et supportera toutes les conséquences découlant du fait que le document de réponse n'a pas été préparé conformément au format du document de réponse.</w:t>
      </w:r>
    </w:p>
    <w:p w14:paraId="6DBDC407">
      <w:pPr>
        <w:spacing w:line="360" w:lineRule="auto"/>
        <w:ind w:firstLine="422" w:firstLineChars="200"/>
        <w:rPr>
          <w:rFonts w:hint="eastAsia" w:ascii="Times New Roman" w:hAnsi="Times New Roman" w:eastAsia="宋体"/>
          <w:b/>
          <w:bCs/>
          <w:color w:val="auto"/>
          <w:szCs w:val="21"/>
          <w:highlight w:val="none"/>
          <w:lang w:val="fr-FR"/>
        </w:rPr>
      </w:pPr>
      <w:r>
        <w:rPr>
          <w:rFonts w:hint="eastAsia" w:ascii="Times New Roman" w:hAnsi="Times New Roman" w:eastAsia="宋体"/>
          <w:b/>
          <w:bCs/>
          <w:color w:val="auto"/>
          <w:szCs w:val="21"/>
          <w:highlight w:val="none"/>
          <w:lang w:val="fr-FR"/>
        </w:rPr>
        <w:t>2) Veillez à ce que chaque soumissionnaire lise attentivement les documents d'appel d'offres et prépare le contenu approprié.</w:t>
      </w:r>
    </w:p>
    <w:p w14:paraId="23B204F1">
      <w:pPr>
        <w:pStyle w:val="28"/>
        <w:widowControl/>
        <w:adjustRightInd w:val="0"/>
        <w:spacing w:before="0" w:beforeAutospacing="0" w:after="0" w:afterAutospacing="0" w:line="360" w:lineRule="auto"/>
        <w:rPr>
          <w:rFonts w:hint="eastAsia" w:ascii="Times New Roman" w:hAnsi="宋体" w:eastAsia="宋体" w:cs="宋体"/>
          <w:color w:val="auto"/>
          <w:sz w:val="24"/>
          <w:szCs w:val="24"/>
          <w:highlight w:val="none"/>
        </w:rPr>
      </w:pPr>
    </w:p>
    <w:p w14:paraId="06A526DC">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7061FE78">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4E9505C6">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357A77B5">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598B9D0C">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38303C8D">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65AD1098">
      <w:pPr>
        <w:pStyle w:val="28"/>
        <w:widowControl/>
        <w:adjustRightInd w:val="0"/>
        <w:spacing w:before="0" w:beforeAutospacing="0" w:after="0" w:afterAutospacing="0" w:line="360" w:lineRule="auto"/>
        <w:rPr>
          <w:rFonts w:hint="eastAsia" w:ascii="Times New Roman" w:hAnsi="宋体" w:eastAsia="宋体" w:cs="宋体"/>
          <w:color w:val="auto"/>
          <w:sz w:val="24"/>
          <w:szCs w:val="24"/>
          <w:highlight w:val="none"/>
        </w:rPr>
        <w:sectPr>
          <w:headerReference r:id="rId9" w:type="default"/>
          <w:footerReference r:id="rId10" w:type="default"/>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0671DBBD">
      <w:pPr>
        <w:pStyle w:val="28"/>
        <w:widowControl/>
        <w:adjustRightInd w:val="0"/>
        <w:spacing w:before="0" w:beforeAutospacing="0" w:after="0" w:afterAutospacing="0" w:line="360" w:lineRule="auto"/>
        <w:rPr>
          <w:rFonts w:hint="eastAsia" w:ascii="Times New Roman" w:hAnsi="宋体" w:eastAsia="宋体" w:cs="宋体"/>
          <w:color w:val="auto"/>
          <w:sz w:val="24"/>
          <w:szCs w:val="24"/>
          <w:highlight w:val="none"/>
        </w:rPr>
      </w:pPr>
    </w:p>
    <w:p w14:paraId="52224CAC">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255AFF24">
      <w:pPr>
        <w:spacing w:line="200" w:lineRule="exact"/>
        <w:rPr>
          <w:rFonts w:hint="eastAsia" w:ascii="宋体" w:hAnsi="宋体" w:cs="宋体"/>
          <w:color w:val="auto"/>
          <w:sz w:val="20"/>
          <w:szCs w:val="20"/>
          <w:highlight w:val="none"/>
        </w:rPr>
      </w:pPr>
    </w:p>
    <w:p w14:paraId="55F77258">
      <w:pPr>
        <w:pStyle w:val="9"/>
        <w:rPr>
          <w:rFonts w:hint="eastAsia"/>
          <w:color w:val="auto"/>
          <w:highlight w:val="none"/>
        </w:rPr>
      </w:pPr>
    </w:p>
    <w:p w14:paraId="241F0E40">
      <w:pPr>
        <w:adjustRightInd w:val="0"/>
        <w:snapToGrid w:val="0"/>
        <w:spacing w:line="360" w:lineRule="auto"/>
        <w:jc w:val="center"/>
        <w:rPr>
          <w:rFonts w:hint="eastAsia" w:ascii="宋体" w:hAnsi="宋体"/>
          <w:b/>
          <w:bCs/>
          <w:color w:val="auto"/>
          <w:sz w:val="52"/>
          <w:szCs w:val="52"/>
          <w:highlight w:val="none"/>
          <w:lang w:val="en-US" w:eastAsia="zh-CN"/>
        </w:rPr>
      </w:pPr>
    </w:p>
    <w:p w14:paraId="0DEA0D9F">
      <w:pPr>
        <w:adjustRightInd w:val="0"/>
        <w:snapToGrid w:val="0"/>
        <w:spacing w:line="360" w:lineRule="auto"/>
        <w:jc w:val="center"/>
        <w:rPr>
          <w:rFonts w:hint="eastAsia" w:ascii="宋体" w:hAnsi="宋体"/>
          <w:b/>
          <w:bCs/>
          <w:color w:val="auto"/>
          <w:sz w:val="52"/>
          <w:szCs w:val="52"/>
          <w:highlight w:val="none"/>
          <w:lang w:val="en-US" w:eastAsia="zh-CN"/>
        </w:rPr>
      </w:pPr>
      <w:r>
        <w:rPr>
          <w:rFonts w:hint="eastAsia" w:ascii="宋体" w:hAnsi="宋体"/>
          <w:b/>
          <w:bCs/>
          <w:color w:val="auto"/>
          <w:sz w:val="52"/>
          <w:szCs w:val="52"/>
          <w:highlight w:val="none"/>
          <w:lang w:val="en-US" w:eastAsia="zh-CN"/>
        </w:rPr>
        <w:t>××××公司</w:t>
      </w:r>
    </w:p>
    <w:p w14:paraId="0D016B1D">
      <w:pPr>
        <w:adjustRightInd w:val="0"/>
        <w:snapToGrid w:val="0"/>
        <w:spacing w:line="360" w:lineRule="auto"/>
        <w:jc w:val="center"/>
        <w:rPr>
          <w:rFonts w:hint="eastAsia" w:ascii="宋体" w:hAnsi="宋体"/>
          <w:b/>
          <w:bCs/>
          <w:color w:val="auto"/>
          <w:sz w:val="52"/>
          <w:szCs w:val="52"/>
          <w:highlight w:val="none"/>
          <w:lang w:val="en-US" w:eastAsia="zh-CN"/>
        </w:rPr>
      </w:pPr>
      <w:r>
        <w:rPr>
          <w:rFonts w:hint="eastAsia" w:ascii="宋体" w:hAnsi="宋体"/>
          <w:b/>
          <w:bCs/>
          <w:color w:val="auto"/>
          <w:sz w:val="52"/>
          <w:szCs w:val="52"/>
          <w:highlight w:val="none"/>
          <w:lang w:val="en-US" w:eastAsia="zh-CN"/>
        </w:rPr>
        <w:t>××××（项目名称）</w:t>
      </w:r>
    </w:p>
    <w:p w14:paraId="3F9B0658">
      <w:pPr>
        <w:jc w:val="center"/>
        <w:rPr>
          <w:rFonts w:hint="eastAsia" w:ascii="宋体" w:hAnsi="宋体" w:cs="宋体"/>
          <w:color w:val="auto"/>
          <w:highlight w:val="none"/>
        </w:rPr>
      </w:pPr>
      <w:r>
        <w:rPr>
          <w:rFonts w:hint="eastAsia" w:ascii="宋体" w:hAnsi="宋体"/>
          <w:b/>
          <w:bCs/>
          <w:color w:val="auto"/>
          <w:sz w:val="52"/>
          <w:szCs w:val="52"/>
          <w:highlight w:val="none"/>
          <w:lang w:val="en-US" w:eastAsia="zh-CN"/>
        </w:rPr>
        <w:t>响应文件A</w:t>
      </w:r>
    </w:p>
    <w:p w14:paraId="75007C63">
      <w:pPr>
        <w:rPr>
          <w:rFonts w:hint="eastAsia" w:ascii="宋体" w:hAnsi="宋体" w:cs="宋体"/>
          <w:color w:val="auto"/>
          <w:highlight w:val="none"/>
        </w:rPr>
      </w:pPr>
    </w:p>
    <w:p w14:paraId="1FDE04C5">
      <w:pPr>
        <w:rPr>
          <w:rFonts w:hint="eastAsia" w:ascii="宋体" w:hAnsi="宋体" w:cs="宋体"/>
          <w:color w:val="auto"/>
          <w:highlight w:val="none"/>
        </w:rPr>
      </w:pPr>
    </w:p>
    <w:p w14:paraId="639B68E2">
      <w:pPr>
        <w:pStyle w:val="29"/>
        <w:rPr>
          <w:rFonts w:hint="eastAsia" w:ascii="宋体" w:hAnsi="宋体" w:cs="宋体"/>
          <w:color w:val="auto"/>
          <w:highlight w:val="none"/>
        </w:rPr>
      </w:pPr>
    </w:p>
    <w:p w14:paraId="3D79115C">
      <w:pPr>
        <w:rPr>
          <w:rFonts w:hint="eastAsia" w:ascii="宋体" w:hAnsi="宋体" w:cs="宋体"/>
          <w:color w:val="auto"/>
          <w:highlight w:val="none"/>
        </w:rPr>
      </w:pPr>
    </w:p>
    <w:p w14:paraId="22B14781">
      <w:pPr>
        <w:pStyle w:val="29"/>
        <w:rPr>
          <w:rFonts w:hint="eastAsia" w:ascii="宋体" w:hAnsi="宋体" w:cs="宋体"/>
          <w:color w:val="auto"/>
          <w:highlight w:val="none"/>
        </w:rPr>
      </w:pPr>
    </w:p>
    <w:p w14:paraId="171E0F97">
      <w:pPr>
        <w:rPr>
          <w:rFonts w:hint="eastAsia" w:ascii="宋体" w:hAnsi="宋体" w:cs="宋体"/>
          <w:color w:val="auto"/>
          <w:highlight w:val="none"/>
        </w:rPr>
      </w:pPr>
    </w:p>
    <w:p w14:paraId="48D992FC">
      <w:pPr>
        <w:pStyle w:val="29"/>
        <w:rPr>
          <w:rFonts w:hint="eastAsia" w:ascii="宋体" w:hAnsi="宋体" w:cs="宋体"/>
          <w:color w:val="auto"/>
          <w:highlight w:val="none"/>
        </w:rPr>
      </w:pPr>
    </w:p>
    <w:p w14:paraId="57040F58">
      <w:pPr>
        <w:rPr>
          <w:rFonts w:hint="eastAsia" w:ascii="宋体" w:hAnsi="宋体" w:cs="宋体"/>
          <w:color w:val="auto"/>
          <w:highlight w:val="none"/>
        </w:rPr>
      </w:pPr>
    </w:p>
    <w:p w14:paraId="3AE51AE3">
      <w:pPr>
        <w:rPr>
          <w:rFonts w:hint="eastAsia" w:ascii="宋体" w:hAnsi="宋体" w:cs="宋体"/>
          <w:color w:val="auto"/>
          <w:highlight w:val="none"/>
        </w:rPr>
      </w:pPr>
    </w:p>
    <w:p w14:paraId="4EB8C906">
      <w:pPr>
        <w:rPr>
          <w:rFonts w:hint="eastAsia" w:ascii="宋体" w:hAnsi="宋体" w:cs="宋体"/>
          <w:color w:val="auto"/>
          <w:highlight w:val="none"/>
        </w:rPr>
      </w:pPr>
    </w:p>
    <w:p w14:paraId="2645E83A">
      <w:pPr>
        <w:rPr>
          <w:rFonts w:hint="eastAsia" w:ascii="宋体" w:hAnsi="宋体" w:cs="宋体"/>
          <w:color w:val="auto"/>
          <w:highlight w:val="none"/>
        </w:rPr>
      </w:pPr>
    </w:p>
    <w:p w14:paraId="77A79379">
      <w:pPr>
        <w:rPr>
          <w:rFonts w:hint="eastAsia" w:ascii="宋体" w:hAnsi="宋体" w:cs="宋体"/>
          <w:color w:val="auto"/>
          <w:highlight w:val="none"/>
        </w:rPr>
      </w:pPr>
    </w:p>
    <w:p w14:paraId="22ED3FFC">
      <w:pPr>
        <w:rPr>
          <w:rFonts w:hint="eastAsia" w:ascii="宋体" w:hAnsi="宋体" w:cs="宋体"/>
          <w:color w:val="auto"/>
          <w:highlight w:val="none"/>
        </w:rPr>
      </w:pPr>
    </w:p>
    <w:p w14:paraId="529A2FE3">
      <w:pPr>
        <w:rPr>
          <w:rFonts w:hint="eastAsia" w:ascii="宋体" w:hAnsi="宋体" w:cs="宋体"/>
          <w:color w:val="auto"/>
          <w:highlight w:val="none"/>
        </w:rPr>
      </w:pPr>
    </w:p>
    <w:p w14:paraId="5A474B48">
      <w:pPr>
        <w:rPr>
          <w:rFonts w:hint="eastAsia" w:ascii="宋体" w:hAnsi="宋体" w:cs="宋体"/>
          <w:color w:val="auto"/>
          <w:highlight w:val="none"/>
        </w:rPr>
      </w:pPr>
    </w:p>
    <w:p w14:paraId="5528258A">
      <w:pPr>
        <w:rPr>
          <w:rFonts w:hint="eastAsia" w:ascii="宋体" w:hAnsi="宋体" w:cs="宋体"/>
          <w:color w:val="auto"/>
          <w:highlight w:val="none"/>
        </w:rPr>
      </w:pPr>
    </w:p>
    <w:p w14:paraId="69D257B7">
      <w:pPr>
        <w:rPr>
          <w:rFonts w:hint="eastAsia" w:ascii="宋体" w:hAnsi="宋体" w:cs="宋体"/>
          <w:color w:val="auto"/>
          <w:highlight w:val="none"/>
        </w:rPr>
      </w:pPr>
    </w:p>
    <w:p w14:paraId="702C1F39">
      <w:pPr>
        <w:spacing w:line="360" w:lineRule="auto"/>
        <w:ind w:firstLine="1120" w:firstLineChars="400"/>
        <w:rPr>
          <w:rFonts w:hint="eastAsia" w:ascii="宋体" w:hAnsi="宋体" w:cs="宋体"/>
          <w:color w:val="auto"/>
          <w:sz w:val="28"/>
          <w:highlight w:val="none"/>
          <w:u w:val="single"/>
        </w:rPr>
      </w:pPr>
      <w:r>
        <w:rPr>
          <w:rFonts w:hint="eastAsia" w:ascii="宋体" w:hAnsi="宋体" w:eastAsia="宋体" w:cs="宋体"/>
          <w:color w:val="auto"/>
          <w:sz w:val="28"/>
          <w:highlight w:val="none"/>
          <w:lang w:eastAsia="zh-CN"/>
        </w:rPr>
        <w:t>响应</w:t>
      </w:r>
      <w:r>
        <w:rPr>
          <w:rFonts w:hint="eastAsia" w:ascii="宋体" w:hAnsi="宋体" w:cs="宋体"/>
          <w:color w:val="auto"/>
          <w:sz w:val="28"/>
          <w:highlight w:val="none"/>
        </w:rPr>
        <w:t>人：</w:t>
      </w:r>
      <w:r>
        <w:rPr>
          <w:rFonts w:hint="eastAsia" w:ascii="宋体" w:hAnsi="宋体" w:cs="宋体"/>
          <w:color w:val="auto"/>
          <w:highlight w:val="none"/>
          <w:u w:val="single"/>
        </w:rPr>
        <w:t xml:space="preserve">                                            </w:t>
      </w:r>
      <w:r>
        <w:rPr>
          <w:rFonts w:hint="eastAsia" w:ascii="宋体" w:hAnsi="宋体" w:cs="宋体"/>
          <w:color w:val="auto"/>
          <w:sz w:val="28"/>
          <w:highlight w:val="none"/>
        </w:rPr>
        <w:t>（盖单位章）</w:t>
      </w:r>
    </w:p>
    <w:p w14:paraId="437FA431">
      <w:pPr>
        <w:spacing w:line="360" w:lineRule="auto"/>
        <w:ind w:firstLine="1120" w:firstLineChars="400"/>
        <w:jc w:val="left"/>
        <w:rPr>
          <w:rFonts w:hint="eastAsia" w:ascii="宋体" w:hAnsi="宋体" w:cs="宋体"/>
          <w:color w:val="auto"/>
          <w:sz w:val="28"/>
          <w:highlight w:val="none"/>
        </w:rPr>
      </w:pPr>
      <w:r>
        <w:rPr>
          <w:rFonts w:hint="eastAsia" w:ascii="宋体" w:hAnsi="宋体" w:cs="宋体"/>
          <w:color w:val="auto"/>
          <w:sz w:val="28"/>
          <w:highlight w:val="none"/>
        </w:rPr>
        <w:t>法定代表人或其委托代理人：</w:t>
      </w:r>
      <w:r>
        <w:rPr>
          <w:rFonts w:hint="eastAsia" w:ascii="宋体" w:hAnsi="宋体" w:cs="宋体"/>
          <w:color w:val="auto"/>
          <w:highlight w:val="none"/>
          <w:u w:val="single"/>
        </w:rPr>
        <w:t xml:space="preserve">       </w:t>
      </w:r>
      <w:r>
        <w:rPr>
          <w:rFonts w:hint="eastAsia" w:ascii="宋体" w:hAnsi="宋体" w:cs="宋体"/>
          <w:color w:val="auto"/>
          <w:sz w:val="28"/>
          <w:highlight w:val="none"/>
        </w:rPr>
        <w:t>（签字）</w:t>
      </w:r>
    </w:p>
    <w:p w14:paraId="20B7F18D">
      <w:pPr>
        <w:jc w:val="center"/>
        <w:rPr>
          <w:rFonts w:hint="eastAsia" w:ascii="宋体" w:hAnsi="宋体" w:cs="宋体"/>
          <w:color w:val="auto"/>
          <w:highlight w:val="none"/>
        </w:rPr>
      </w:pPr>
    </w:p>
    <w:p w14:paraId="75B97B54">
      <w:pPr>
        <w:jc w:val="center"/>
        <w:rPr>
          <w:rFonts w:hint="eastAsia" w:ascii="宋体" w:hAnsi="宋体" w:cs="宋体"/>
          <w:color w:val="auto"/>
          <w:sz w:val="28"/>
          <w:highlight w:val="none"/>
        </w:rPr>
      </w:pPr>
      <w:r>
        <w:rPr>
          <w:rFonts w:hint="eastAsia" w:ascii="宋体" w:hAnsi="宋体" w:cs="宋体"/>
          <w:color w:val="auto"/>
          <w:highlight w:val="none"/>
          <w:u w:val="single"/>
        </w:rPr>
        <w:t xml:space="preserve">       </w:t>
      </w:r>
      <w:r>
        <w:rPr>
          <w:rFonts w:hint="eastAsia" w:ascii="宋体" w:hAnsi="宋体" w:cs="宋体"/>
          <w:color w:val="auto"/>
          <w:sz w:val="28"/>
          <w:highlight w:val="none"/>
        </w:rPr>
        <w:t>年</w:t>
      </w:r>
      <w:r>
        <w:rPr>
          <w:rFonts w:hint="eastAsia" w:ascii="宋体" w:hAnsi="宋体" w:cs="宋体"/>
          <w:color w:val="auto"/>
          <w:highlight w:val="none"/>
          <w:u w:val="single"/>
        </w:rPr>
        <w:t xml:space="preserve">       </w:t>
      </w:r>
      <w:r>
        <w:rPr>
          <w:rFonts w:hint="eastAsia" w:ascii="宋体" w:hAnsi="宋体" w:cs="宋体"/>
          <w:color w:val="auto"/>
          <w:sz w:val="28"/>
          <w:highlight w:val="none"/>
        </w:rPr>
        <w:t>月</w:t>
      </w:r>
      <w:r>
        <w:rPr>
          <w:rFonts w:hint="eastAsia" w:ascii="宋体" w:hAnsi="宋体" w:cs="宋体"/>
          <w:color w:val="auto"/>
          <w:highlight w:val="none"/>
          <w:u w:val="single"/>
        </w:rPr>
        <w:t xml:space="preserve">       </w:t>
      </w:r>
      <w:r>
        <w:rPr>
          <w:rFonts w:hint="eastAsia" w:ascii="宋体" w:hAnsi="宋体" w:cs="宋体"/>
          <w:color w:val="auto"/>
          <w:sz w:val="28"/>
          <w:highlight w:val="none"/>
        </w:rPr>
        <w:t>日</w:t>
      </w:r>
    </w:p>
    <w:p w14:paraId="5E053036">
      <w:pPr>
        <w:pStyle w:val="30"/>
        <w:rPr>
          <w:rFonts w:hint="eastAsia" w:ascii="宋体" w:hAnsi="宋体" w:cs="宋体"/>
          <w:b/>
          <w:bCs/>
          <w:color w:val="auto"/>
          <w:sz w:val="52"/>
          <w:szCs w:val="52"/>
          <w:highlight w:val="none"/>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9" w:charSpace="0"/>
        </w:sectPr>
      </w:pPr>
    </w:p>
    <w:p w14:paraId="10856B51">
      <w:pPr>
        <w:bidi w:val="0"/>
        <w:rPr>
          <w:color w:val="auto"/>
          <w:highlight w:val="none"/>
        </w:rPr>
      </w:pPr>
      <w:bookmarkStart w:id="91" w:name="_Toc17550"/>
      <w:bookmarkStart w:id="92" w:name="_Toc6561425"/>
      <w:bookmarkStart w:id="93" w:name="_Toc31555"/>
      <w:bookmarkStart w:id="94" w:name="_Toc492288513"/>
    </w:p>
    <w:p w14:paraId="3357FCE7">
      <w:pPr>
        <w:pStyle w:val="3"/>
        <w:adjustRightInd w:val="0"/>
        <w:snapToGrid w:val="0"/>
        <w:spacing w:before="0" w:after="0" w:line="360" w:lineRule="auto"/>
        <w:jc w:val="center"/>
        <w:rPr>
          <w:rFonts w:ascii="Times New Roman" w:hAnsi="Times New Roman" w:eastAsia="宋体"/>
          <w:color w:val="auto"/>
          <w:sz w:val="28"/>
          <w:szCs w:val="28"/>
          <w:highlight w:val="none"/>
        </w:rPr>
      </w:pPr>
      <w:bookmarkStart w:id="95" w:name="_Toc18570"/>
      <w:r>
        <w:rPr>
          <w:rFonts w:ascii="Times New Roman" w:hAnsi="Times New Roman" w:eastAsia="宋体"/>
          <w:color w:val="auto"/>
          <w:sz w:val="28"/>
          <w:szCs w:val="28"/>
          <w:highlight w:val="none"/>
        </w:rPr>
        <w:t>目</w:t>
      </w:r>
      <w:r>
        <w:rPr>
          <w:rFonts w:hint="eastAsia" w:ascii="Times New Roman" w:hAnsi="Times New Roman" w:eastAsia="宋体"/>
          <w:color w:val="auto"/>
          <w:sz w:val="28"/>
          <w:szCs w:val="28"/>
          <w:highlight w:val="none"/>
        </w:rPr>
        <w:t xml:space="preserve"> </w:t>
      </w:r>
      <w:r>
        <w:rPr>
          <w:rFonts w:ascii="Times New Roman" w:hAnsi="Times New Roman" w:eastAsia="宋体"/>
          <w:color w:val="auto"/>
          <w:sz w:val="28"/>
          <w:szCs w:val="28"/>
          <w:highlight w:val="none"/>
        </w:rPr>
        <w:t xml:space="preserve"> 录</w:t>
      </w:r>
      <w:bookmarkEnd w:id="91"/>
      <w:bookmarkEnd w:id="92"/>
      <w:bookmarkEnd w:id="93"/>
      <w:bookmarkEnd w:id="94"/>
      <w:bookmarkEnd w:id="95"/>
    </w:p>
    <w:p w14:paraId="18384124">
      <w:pPr>
        <w:rPr>
          <w:color w:val="auto"/>
          <w:highlight w:val="none"/>
        </w:rPr>
      </w:pPr>
    </w:p>
    <w:p w14:paraId="2DEF304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Times New Roman" w:hAnsi="Times New Roman"/>
          <w:color w:val="auto"/>
          <w:highlight w:val="none"/>
        </w:rPr>
      </w:pPr>
      <w:r>
        <w:rPr>
          <w:rFonts w:hint="eastAsia" w:ascii="Times New Roman" w:hAnsi="Times New Roman"/>
          <w:color w:val="auto"/>
          <w:highlight w:val="none"/>
          <w:lang w:val="en-US" w:eastAsia="zh-CN"/>
        </w:rPr>
        <w:t>一</w:t>
      </w:r>
      <w:r>
        <w:rPr>
          <w:rFonts w:ascii="Times New Roman" w:hAnsi="Times New Roman"/>
          <w:color w:val="auto"/>
          <w:highlight w:val="none"/>
        </w:rPr>
        <w:t>、法定代表人（单位负责人）身份证明（适用于无委托代理人的情况）</w:t>
      </w:r>
    </w:p>
    <w:p w14:paraId="05CF313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Times New Roman" w:hAnsi="Times New Roman"/>
          <w:color w:val="auto"/>
          <w:highlight w:val="none"/>
        </w:rPr>
      </w:pPr>
      <w:r>
        <w:rPr>
          <w:rFonts w:hint="eastAsia" w:ascii="Times New Roman" w:hAnsi="Times New Roman"/>
          <w:color w:val="auto"/>
          <w:highlight w:val="none"/>
          <w:lang w:val="en-US" w:eastAsia="zh-CN"/>
        </w:rPr>
        <w:t>二、</w:t>
      </w:r>
      <w:r>
        <w:rPr>
          <w:rFonts w:ascii="Times New Roman" w:hAnsi="Times New Roman"/>
          <w:color w:val="auto"/>
          <w:highlight w:val="none"/>
        </w:rPr>
        <w:t>授权委托书（适用于有委托代理人的情况）</w:t>
      </w:r>
    </w:p>
    <w:p w14:paraId="6D01AFC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宋体" w:hAnsi="宋体"/>
          <w:color w:val="auto"/>
          <w:szCs w:val="21"/>
          <w:highlight w:val="none"/>
        </w:rPr>
      </w:pPr>
      <w:r>
        <w:rPr>
          <w:rFonts w:hint="eastAsia" w:ascii="Times New Roman" w:hAnsi="Times New Roman"/>
          <w:color w:val="auto"/>
          <w:highlight w:val="none"/>
          <w:lang w:val="en-US" w:eastAsia="zh-CN"/>
        </w:rPr>
        <w:t>三</w:t>
      </w:r>
      <w:r>
        <w:rPr>
          <w:rFonts w:ascii="Times New Roman" w:hAnsi="Times New Roman"/>
          <w:color w:val="auto"/>
          <w:highlight w:val="none"/>
        </w:rPr>
        <w:t>、</w:t>
      </w:r>
      <w:r>
        <w:rPr>
          <w:rFonts w:hint="eastAsia" w:ascii="宋体" w:hAnsi="宋体"/>
          <w:color w:val="auto"/>
          <w:szCs w:val="21"/>
          <w:highlight w:val="none"/>
        </w:rPr>
        <w:t>联合体协议书（如有）</w:t>
      </w:r>
    </w:p>
    <w:p w14:paraId="25B6E7B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Times New Roman" w:hAnsi="Times New Roman"/>
          <w:color w:val="auto"/>
          <w:highlight w:val="none"/>
        </w:rPr>
      </w:pPr>
      <w:r>
        <w:rPr>
          <w:rFonts w:hint="eastAsia" w:ascii="Times New Roman" w:hAnsi="Times New Roman"/>
          <w:color w:val="auto"/>
          <w:highlight w:val="none"/>
          <w:lang w:val="en-US" w:eastAsia="zh-CN"/>
        </w:rPr>
        <w:t>四、</w:t>
      </w:r>
      <w:r>
        <w:rPr>
          <w:rFonts w:ascii="Times New Roman" w:hAnsi="Times New Roman"/>
          <w:color w:val="auto"/>
          <w:highlight w:val="none"/>
        </w:rPr>
        <w:t>商务和技术偏差表</w:t>
      </w:r>
    </w:p>
    <w:p w14:paraId="25BA6BE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五、资格审查资料</w:t>
      </w:r>
    </w:p>
    <w:p w14:paraId="3E8F549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六、近年完成的类似项目情况表</w:t>
      </w:r>
    </w:p>
    <w:p w14:paraId="3BE2707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七、服务大纲</w:t>
      </w:r>
    </w:p>
    <w:p w14:paraId="5A8C9C0C">
      <w:pPr>
        <w:spacing w:before="0" w:after="0" w:line="360" w:lineRule="auto"/>
        <w:jc w:val="center"/>
        <w:outlineLvl w:val="1"/>
        <w:rPr>
          <w:rFonts w:hint="eastAsia" w:ascii="Times New Roman" w:hAnsi="Times New Roman"/>
          <w:color w:val="auto"/>
          <w:highlight w:val="none"/>
        </w:rPr>
      </w:pPr>
      <w:r>
        <w:rPr>
          <w:rFonts w:hint="eastAsia" w:ascii="Times New Roman" w:hAnsi="Times New Roman"/>
          <w:color w:val="auto"/>
          <w:highlight w:val="none"/>
        </w:rPr>
        <w:t>Catalogue</w:t>
      </w:r>
    </w:p>
    <w:p w14:paraId="2418AB60">
      <w:pPr>
        <w:bidi w:val="0"/>
        <w:rPr>
          <w:rFonts w:hint="eastAsia"/>
        </w:rPr>
      </w:pPr>
    </w:p>
    <w:p w14:paraId="70E829A4">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I. Preuve d'identité du représentant légal (personne responsable de l'unité) (applicable au cas où il n'y a pas de mandataire)</w:t>
      </w:r>
    </w:p>
    <w:p w14:paraId="28D98669">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II. procuration (applicable dans le cas où il y a un mandataire)</w:t>
      </w:r>
    </w:p>
    <w:p w14:paraId="3AF138DB">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III. accord de consortium (le cas échéant)</w:t>
      </w:r>
    </w:p>
    <w:p w14:paraId="481EEABC">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IV. tableau des écarts commerciaux et techniques</w:t>
      </w:r>
    </w:p>
    <w:p w14:paraId="1670BAB6">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V. Informations sur les qualifications</w:t>
      </w:r>
    </w:p>
    <w:p w14:paraId="6B52FAD4">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VI. liste des projets similaires réalisés au cours des dernières années</w:t>
      </w:r>
    </w:p>
    <w:p w14:paraId="2F96FB37">
      <w:pPr>
        <w:spacing w:before="0" w:after="0" w:line="360" w:lineRule="auto"/>
        <w:jc w:val="left"/>
        <w:outlineLvl w:val="1"/>
        <w:rPr>
          <w:rFonts w:hint="eastAsia" w:ascii="宋体" w:hAnsi="宋体" w:eastAsia="宋体" w:cs="宋体"/>
          <w:b/>
          <w:bCs w:val="0"/>
          <w:color w:val="auto"/>
          <w:kern w:val="2"/>
          <w:sz w:val="28"/>
          <w:szCs w:val="21"/>
          <w:highlight w:val="none"/>
          <w:lang w:val="en-US" w:eastAsia="zh-CN" w:bidi="ar-SA"/>
        </w:rPr>
      </w:pPr>
      <w:r>
        <w:rPr>
          <w:rFonts w:hint="eastAsia" w:ascii="Times New Roman" w:hAnsi="Times New Roman"/>
          <w:color w:val="auto"/>
          <w:highlight w:val="none"/>
        </w:rPr>
        <w:t>VII. aperçu des services</w:t>
      </w:r>
      <w:r>
        <w:rPr>
          <w:rFonts w:ascii="Times New Roman" w:hAnsi="Times New Roman"/>
          <w:color w:val="auto"/>
          <w:highlight w:val="none"/>
        </w:rPr>
        <w:br w:type="page"/>
      </w:r>
      <w:bookmarkStart w:id="96" w:name="_Toc26891"/>
      <w:bookmarkStart w:id="97" w:name="_Toc8873"/>
      <w:bookmarkStart w:id="98" w:name="_Toc3"/>
      <w:bookmarkStart w:id="99" w:name="_Toc64635492"/>
      <w:bookmarkStart w:id="100" w:name="_Toc22672"/>
      <w:bookmarkStart w:id="101" w:name="_Toc8105"/>
      <w:bookmarkStart w:id="102" w:name="_Toc14466"/>
      <w:bookmarkStart w:id="103" w:name="_Toc30650"/>
      <w:bookmarkStart w:id="104" w:name="_Toc23596"/>
      <w:bookmarkStart w:id="105" w:name="_Toc19341"/>
      <w:bookmarkStart w:id="106" w:name="_Toc27306"/>
      <w:bookmarkStart w:id="107" w:name="_Toc6701346"/>
      <w:bookmarkStart w:id="108" w:name="_Toc5714784"/>
      <w:bookmarkStart w:id="109" w:name="_Toc6702503"/>
      <w:bookmarkStart w:id="110" w:name="_Toc7028"/>
      <w:bookmarkStart w:id="111" w:name="_Toc17962"/>
      <w:bookmarkStart w:id="112" w:name="_Toc184635139"/>
      <w:bookmarkStart w:id="113" w:name="_Toc565"/>
      <w:r>
        <w:rPr>
          <w:rFonts w:hint="eastAsia" w:ascii="宋体" w:hAnsi="宋体" w:eastAsia="宋体" w:cs="宋体"/>
          <w:b/>
          <w:bCs w:val="0"/>
          <w:color w:val="auto"/>
          <w:kern w:val="2"/>
          <w:sz w:val="28"/>
          <w:szCs w:val="21"/>
          <w:highlight w:val="none"/>
          <w:lang w:val="en-US" w:eastAsia="zh-CN" w:bidi="ar-SA"/>
        </w:rPr>
        <w:t>一、法定代表人（单位负责人）身份证明</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6F28A8F0">
      <w:pPr>
        <w:spacing w:before="0" w:after="0" w:line="360" w:lineRule="auto"/>
        <w:jc w:val="left"/>
        <w:outlineLvl w:val="1"/>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I. Preuve d'identité du représentant légal (personne responsable de l'organisation)</w:t>
      </w:r>
    </w:p>
    <w:p w14:paraId="23F3F5B3">
      <w:pPr>
        <w:spacing w:line="360" w:lineRule="auto"/>
        <w:ind w:firstLine="420" w:firstLineChars="200"/>
        <w:jc w:val="left"/>
        <w:rPr>
          <w:rFonts w:hint="eastAsia" w:ascii="宋体" w:hAnsi="宋体" w:cs="宋体"/>
          <w:color w:val="auto"/>
          <w:szCs w:val="21"/>
          <w:highlight w:val="none"/>
        </w:rPr>
      </w:pPr>
    </w:p>
    <w:p w14:paraId="1B9BBBF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FFBA027">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联系电话：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p>
    <w:p w14:paraId="60CD7806">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人名称）的法定代表人（单位负责人）。</w:t>
      </w:r>
    </w:p>
    <w:p w14:paraId="3FD0472B">
      <w:pPr>
        <w:adjustRightInd w:val="0"/>
        <w:snapToGrid w:val="0"/>
        <w:spacing w:line="360" w:lineRule="auto"/>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3E101760">
      <w:pPr>
        <w:spacing w:line="360" w:lineRule="auto"/>
        <w:ind w:firstLine="420" w:firstLineChars="200"/>
        <w:rPr>
          <w:rFonts w:hint="eastAsia"/>
          <w:color w:val="auto"/>
          <w:highlight w:val="none"/>
        </w:rPr>
      </w:pPr>
      <w:r>
        <w:rPr>
          <w:rFonts w:hint="eastAsia"/>
          <w:color w:val="auto"/>
          <w:highlight w:val="none"/>
        </w:rPr>
        <w:t xml:space="preserve">Nom du répondant :                                                     </w:t>
      </w:r>
    </w:p>
    <w:p w14:paraId="23C5EDF0">
      <w:pPr>
        <w:spacing w:line="360" w:lineRule="auto"/>
        <w:ind w:firstLine="420" w:firstLineChars="200"/>
        <w:rPr>
          <w:rFonts w:hint="eastAsia"/>
          <w:color w:val="auto"/>
          <w:highlight w:val="none"/>
        </w:rPr>
      </w:pPr>
      <w:r>
        <w:rPr>
          <w:rFonts w:hint="eastAsia"/>
          <w:color w:val="auto"/>
          <w:highlight w:val="none"/>
        </w:rPr>
        <w:t xml:space="preserve">Nom : Sexe : </w:t>
      </w:r>
      <w:r>
        <w:rPr>
          <w:rFonts w:hint="eastAsia"/>
          <w:color w:val="auto"/>
          <w:highlight w:val="none"/>
          <w:lang w:val="en-US" w:eastAsia="zh-CN"/>
        </w:rPr>
        <w:t>_____</w:t>
      </w:r>
      <w:r>
        <w:rPr>
          <w:rFonts w:hint="eastAsia"/>
          <w:color w:val="auto"/>
          <w:highlight w:val="none"/>
        </w:rPr>
        <w:t>Age :</w:t>
      </w:r>
      <w:r>
        <w:rPr>
          <w:rFonts w:hint="eastAsia"/>
          <w:color w:val="auto"/>
          <w:highlight w:val="none"/>
          <w:lang w:val="en-US" w:eastAsia="zh-CN"/>
        </w:rPr>
        <w:t>_____</w:t>
      </w:r>
      <w:r>
        <w:rPr>
          <w:rFonts w:hint="eastAsia"/>
          <w:color w:val="auto"/>
          <w:highlight w:val="none"/>
        </w:rPr>
        <w:t xml:space="preserve"> Fonction :</w:t>
      </w:r>
      <w:r>
        <w:rPr>
          <w:rFonts w:hint="eastAsia"/>
          <w:color w:val="auto"/>
          <w:highlight w:val="none"/>
          <w:lang w:val="en-US" w:eastAsia="zh-CN"/>
        </w:rPr>
        <w:t>____________</w:t>
      </w:r>
      <w:r>
        <w:rPr>
          <w:rFonts w:hint="eastAsia"/>
          <w:color w:val="auto"/>
          <w:highlight w:val="none"/>
        </w:rPr>
        <w:t xml:space="preserve"> Contact Tel :</w:t>
      </w:r>
      <w:r>
        <w:rPr>
          <w:rFonts w:hint="eastAsia"/>
          <w:color w:val="auto"/>
          <w:highlight w:val="none"/>
          <w:lang w:val="en-US" w:eastAsia="zh-CN"/>
        </w:rPr>
        <w:t>______________</w:t>
      </w:r>
      <w:r>
        <w:rPr>
          <w:rFonts w:hint="eastAsia"/>
          <w:color w:val="auto"/>
          <w:highlight w:val="none"/>
        </w:rPr>
        <w:t xml:space="preserve">      </w:t>
      </w:r>
    </w:p>
    <w:p w14:paraId="0882E10E">
      <w:pPr>
        <w:spacing w:line="360" w:lineRule="auto"/>
        <w:ind w:firstLine="420" w:firstLineChars="200"/>
        <w:rPr>
          <w:rFonts w:hint="eastAsia"/>
          <w:color w:val="auto"/>
          <w:highlight w:val="none"/>
        </w:rPr>
      </w:pPr>
      <w:r>
        <w:rPr>
          <w:rFonts w:hint="eastAsia"/>
          <w:color w:val="auto"/>
          <w:highlight w:val="none"/>
        </w:rPr>
        <w:t>Département du représentant légal de (nom du défendeur) (chef d'unité).</w:t>
      </w:r>
    </w:p>
    <w:p w14:paraId="523794AE">
      <w:pPr>
        <w:spacing w:line="360" w:lineRule="auto"/>
        <w:ind w:firstLine="420" w:firstLineChars="200"/>
        <w:rPr>
          <w:rFonts w:hint="eastAsia"/>
          <w:color w:val="auto"/>
          <w:highlight w:val="none"/>
        </w:rPr>
      </w:pPr>
      <w:r>
        <w:rPr>
          <w:rFonts w:hint="eastAsia"/>
          <w:color w:val="auto"/>
          <w:highlight w:val="none"/>
        </w:rPr>
        <w:t>Certifié par la présente.</w:t>
      </w:r>
    </w:p>
    <w:p w14:paraId="29A3AB8C">
      <w:pPr>
        <w:spacing w:line="360" w:lineRule="auto"/>
        <w:ind w:firstLine="420" w:firstLineChars="200"/>
        <w:rPr>
          <w:rFonts w:hint="eastAsia"/>
          <w:color w:val="auto"/>
          <w:highlight w:val="none"/>
        </w:rPr>
      </w:pPr>
    </w:p>
    <w:p w14:paraId="5F2696AF">
      <w:pPr>
        <w:spacing w:line="360" w:lineRule="auto"/>
        <w:ind w:firstLine="420" w:firstLineChars="200"/>
        <w:rPr>
          <w:color w:val="auto"/>
          <w:highlight w:val="none"/>
        </w:rPr>
      </w:pPr>
      <w:r>
        <w:rPr>
          <w:rFonts w:hint="eastAsia"/>
          <w:color w:val="auto"/>
          <w:highlight w:val="none"/>
        </w:rPr>
        <w:t>附：法定代表人（单位负责人）身份证复印件。</w:t>
      </w:r>
    </w:p>
    <w:p w14:paraId="1BC91E7F">
      <w:pPr>
        <w:adjustRightInd w:val="0"/>
        <w:snapToGrid w:val="0"/>
        <w:spacing w:line="360" w:lineRule="auto"/>
        <w:ind w:firstLine="420" w:firstLineChars="200"/>
        <w:rPr>
          <w:rFonts w:hint="eastAsia" w:ascii="宋体" w:hAnsi="宋体" w:cs="宋体"/>
          <w:color w:val="auto"/>
          <w:szCs w:val="21"/>
          <w:highlight w:val="none"/>
        </w:rPr>
      </w:pPr>
      <w:r>
        <w:rPr>
          <w:rFonts w:hint="eastAsia"/>
          <w:color w:val="auto"/>
          <w:highlight w:val="none"/>
        </w:rPr>
        <w:t>注：本身份证明需由</w:t>
      </w:r>
      <w:r>
        <w:rPr>
          <w:rFonts w:hint="eastAsia"/>
          <w:color w:val="auto"/>
          <w:highlight w:val="none"/>
          <w:lang w:val="en-US" w:eastAsia="zh-CN"/>
        </w:rPr>
        <w:t>响应</w:t>
      </w:r>
      <w:r>
        <w:rPr>
          <w:rFonts w:hint="eastAsia"/>
          <w:color w:val="auto"/>
          <w:highlight w:val="none"/>
        </w:rPr>
        <w:t>人加盖单位公章。</w:t>
      </w:r>
    </w:p>
    <w:p w14:paraId="785FE4A6">
      <w:pPr>
        <w:spacing w:line="360" w:lineRule="auto"/>
        <w:ind w:firstLine="420" w:firstLineChars="200"/>
        <w:rPr>
          <w:rFonts w:hint="eastAsia" w:eastAsia="宋体"/>
          <w:color w:val="auto"/>
          <w:highlight w:val="none"/>
        </w:rPr>
      </w:pPr>
      <w:r>
        <w:rPr>
          <w:rFonts w:hint="eastAsia" w:eastAsia="宋体"/>
          <w:color w:val="auto"/>
          <w:highlight w:val="none"/>
        </w:rPr>
        <w:t>Pièce jointe : une copie de la carte d'identité du représentant légal (responsable de l'unité).</w:t>
      </w:r>
    </w:p>
    <w:p w14:paraId="50B7D645">
      <w:pPr>
        <w:spacing w:line="360" w:lineRule="auto"/>
        <w:ind w:firstLine="420" w:firstLineChars="200"/>
        <w:rPr>
          <w:rFonts w:hint="eastAsia" w:eastAsia="宋体"/>
          <w:color w:val="auto"/>
          <w:highlight w:val="none"/>
        </w:rPr>
      </w:pPr>
      <w:r>
        <w:rPr>
          <w:rFonts w:hint="eastAsia" w:eastAsia="宋体"/>
          <w:color w:val="auto"/>
          <w:highlight w:val="none"/>
        </w:rPr>
        <w:t>Remarque : cette pièce d'identité doit porter le cachet officiel de l'unité apposé par le défendeur.</w:t>
      </w:r>
    </w:p>
    <w:p w14:paraId="0EF0FAED">
      <w:pPr>
        <w:adjustRightInd w:val="0"/>
        <w:snapToGrid w:val="0"/>
        <w:spacing w:line="360" w:lineRule="auto"/>
        <w:ind w:firstLine="420" w:firstLineChars="200"/>
        <w:rPr>
          <w:rFonts w:hint="eastAsia" w:ascii="宋体" w:hAnsi="宋体" w:cs="宋体"/>
          <w:color w:val="auto"/>
          <w:szCs w:val="21"/>
          <w:highlight w:val="none"/>
        </w:rPr>
      </w:pPr>
    </w:p>
    <w:p w14:paraId="6614CC30">
      <w:pPr>
        <w:adjustRightInd w:val="0"/>
        <w:snapToGrid w:val="0"/>
        <w:spacing w:line="360" w:lineRule="auto"/>
        <w:ind w:firstLine="4200" w:firstLineChars="2000"/>
        <w:rPr>
          <w:rFonts w:hint="eastAsia" w:ascii="宋体" w:hAnsi="宋体" w:cs="宋体"/>
          <w:color w:val="auto"/>
          <w:szCs w:val="21"/>
          <w:highlight w:val="none"/>
        </w:rPr>
      </w:pP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506BE055">
      <w:pPr>
        <w:adjustRightInd w:val="0"/>
        <w:snapToGrid w:val="0"/>
        <w:spacing w:line="360" w:lineRule="auto"/>
        <w:ind w:firstLine="4533" w:firstLineChars="2150"/>
        <w:rPr>
          <w:rFonts w:hint="eastAsia" w:ascii="宋体" w:hAnsi="宋体" w:cs="宋体"/>
          <w:b/>
          <w:bCs/>
          <w:color w:val="auto"/>
          <w:szCs w:val="21"/>
          <w:highlight w:val="none"/>
          <w:u w:val="single"/>
        </w:rPr>
      </w:pPr>
      <w:r>
        <w:rPr>
          <w:rFonts w:hint="eastAsia" w:ascii="宋体" w:hAnsi="宋体" w:cs="宋体"/>
          <w:b/>
          <w:bCs/>
          <w:color w:val="auto"/>
          <w:szCs w:val="21"/>
          <w:highlight w:val="none"/>
          <w:u w:val="single"/>
        </w:rPr>
        <w:t xml:space="preserve">Répondant : </w:t>
      </w:r>
      <w:r>
        <w:rPr>
          <w:rFonts w:hint="eastAsia" w:ascii="宋体" w:hAnsi="宋体" w:cs="宋体"/>
          <w:b/>
          <w:bCs/>
          <w:color w:val="auto"/>
          <w:szCs w:val="21"/>
          <w:highlight w:val="none"/>
          <w:u w:val="single"/>
          <w:lang w:val="en-US" w:eastAsia="zh-CN"/>
        </w:rPr>
        <w:t xml:space="preserve">                </w:t>
      </w:r>
      <w:r>
        <w:rPr>
          <w:rFonts w:hint="eastAsia" w:ascii="宋体" w:hAnsi="宋体" w:cs="宋体"/>
          <w:b/>
          <w:bCs/>
          <w:color w:val="auto"/>
          <w:szCs w:val="21"/>
          <w:highlight w:val="none"/>
          <w:u w:val="single"/>
        </w:rPr>
        <w:t>(cachet de l'unité)</w:t>
      </w:r>
    </w:p>
    <w:p w14:paraId="6D486E2A">
      <w:pPr>
        <w:adjustRightInd w:val="0"/>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9E9EFC4">
      <w:pPr>
        <w:adjustRightInd w:val="0"/>
        <w:snapToGrid w:val="0"/>
        <w:spacing w:line="360" w:lineRule="auto"/>
        <w:ind w:firstLine="420" w:firstLineChars="200"/>
        <w:jc w:val="right"/>
        <w:rPr>
          <w:rFonts w:hint="eastAsia" w:ascii="宋体" w:hAnsi="宋体" w:eastAsia="宋体" w:cs="宋体"/>
          <w:b/>
          <w:bCs/>
          <w:color w:val="auto"/>
          <w:szCs w:val="21"/>
          <w:highlight w:val="none"/>
          <w:u w:val="single"/>
        </w:rPr>
      </w:pPr>
      <w:r>
        <w:rPr>
          <w:rFonts w:hint="eastAsia" w:ascii="宋体" w:hAnsi="宋体" w:cs="宋体"/>
          <w:color w:val="auto"/>
          <w:szCs w:val="21"/>
          <w:highlight w:val="none"/>
        </w:rPr>
        <w:t xml:space="preserve">   </w:t>
      </w:r>
      <w:r>
        <w:rPr>
          <w:rFonts w:hint="eastAsia" w:ascii="宋体" w:hAnsi="宋体" w:eastAsia="宋体" w:cs="宋体"/>
          <w:b/>
          <w:bCs/>
          <w:color w:val="auto"/>
          <w:szCs w:val="21"/>
          <w:highlight w:val="none"/>
          <w:u w:val="single"/>
        </w:rPr>
        <w:t xml:space="preserve">     Jour</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 xml:space="preserve">mois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l'année</w:t>
      </w:r>
    </w:p>
    <w:tbl>
      <w:tblPr>
        <w:tblStyle w:val="31"/>
        <w:tblpPr w:leftFromText="180" w:rightFromText="180" w:vertAnchor="text" w:horzAnchor="page" w:tblpXSpec="center" w:tblpY="42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7065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jc w:val="center"/>
        </w:trPr>
        <w:tc>
          <w:tcPr>
            <w:tcW w:w="9571" w:type="dxa"/>
            <w:tcBorders>
              <w:top w:val="single" w:color="auto" w:sz="4" w:space="0"/>
              <w:left w:val="single" w:color="auto" w:sz="4" w:space="0"/>
              <w:bottom w:val="single" w:color="auto" w:sz="4" w:space="0"/>
              <w:right w:val="single" w:color="auto" w:sz="4" w:space="0"/>
            </w:tcBorders>
            <w:noWrap w:val="0"/>
            <w:vAlign w:val="center"/>
          </w:tcPr>
          <w:p w14:paraId="14498A6C">
            <w:pPr>
              <w:adjustRightInd w:val="0"/>
              <w:snapToGrid w:val="0"/>
              <w:spacing w:line="360" w:lineRule="auto"/>
              <w:jc w:val="center"/>
              <w:rPr>
                <w:rFonts w:hint="eastAsia"/>
                <w:color w:val="auto"/>
                <w:szCs w:val="21"/>
                <w:highlight w:val="none"/>
              </w:rPr>
            </w:pPr>
            <w:r>
              <w:rPr>
                <w:rFonts w:hint="eastAsia"/>
                <w:color w:val="auto"/>
                <w:szCs w:val="21"/>
                <w:highlight w:val="none"/>
              </w:rPr>
              <w:t>法定代表人身份证正反面扫描件粘贴处</w:t>
            </w:r>
          </w:p>
          <w:p w14:paraId="5517161F">
            <w:pPr>
              <w:adjustRightInd w:val="0"/>
              <w:snapToGrid w:val="0"/>
              <w:spacing w:line="360" w:lineRule="auto"/>
              <w:jc w:val="center"/>
              <w:rPr>
                <w:rFonts w:hint="eastAsia"/>
                <w:color w:val="auto"/>
                <w:szCs w:val="21"/>
                <w:highlight w:val="none"/>
              </w:rPr>
            </w:pPr>
            <w:r>
              <w:rPr>
                <w:rFonts w:hint="eastAsia" w:eastAsia="宋体"/>
                <w:color w:val="auto"/>
                <w:highlight w:val="none"/>
              </w:rPr>
              <w:t>Carte d'identité du représentant légal, recto et verso, copie scannée du lieu de collage</w:t>
            </w:r>
          </w:p>
        </w:tc>
      </w:tr>
    </w:tbl>
    <w:p w14:paraId="42F7A119">
      <w:pPr>
        <w:pStyle w:val="152"/>
        <w:rPr>
          <w:rFonts w:hint="eastAsia"/>
          <w:color w:val="auto"/>
          <w:highlight w:val="none"/>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77D4309F">
      <w:pPr>
        <w:pStyle w:val="3"/>
        <w:spacing w:before="0" w:after="0" w:line="360" w:lineRule="auto"/>
        <w:rPr>
          <w:rFonts w:hint="eastAsia" w:ascii="宋体" w:hAnsi="宋体" w:eastAsia="宋体" w:cs="宋体"/>
          <w:b/>
          <w:bCs w:val="0"/>
          <w:color w:val="auto"/>
          <w:kern w:val="2"/>
          <w:sz w:val="28"/>
          <w:szCs w:val="21"/>
          <w:highlight w:val="none"/>
          <w:lang w:val="en-US" w:eastAsia="zh-CN" w:bidi="ar-SA"/>
        </w:rPr>
      </w:pPr>
      <w:bookmarkStart w:id="114" w:name="_Toc105679037"/>
      <w:bookmarkStart w:id="115" w:name="_Toc107567207"/>
      <w:bookmarkStart w:id="116" w:name="_Toc12892"/>
      <w:bookmarkStart w:id="117" w:name="_Toc6561271"/>
      <w:bookmarkStart w:id="118" w:name="_Toc2537"/>
      <w:r>
        <w:rPr>
          <w:rFonts w:hint="eastAsia" w:ascii="宋体" w:hAnsi="宋体" w:eastAsia="宋体" w:cs="宋体"/>
          <w:b/>
          <w:bCs w:val="0"/>
          <w:color w:val="auto"/>
          <w:kern w:val="2"/>
          <w:sz w:val="28"/>
          <w:szCs w:val="21"/>
          <w:highlight w:val="none"/>
          <w:lang w:val="en-US" w:eastAsia="zh-CN" w:bidi="ar-SA"/>
        </w:rPr>
        <w:t>二、授权委托书</w:t>
      </w:r>
      <w:bookmarkEnd w:id="114"/>
      <w:bookmarkEnd w:id="115"/>
      <w:bookmarkEnd w:id="116"/>
      <w:bookmarkEnd w:id="117"/>
      <w:bookmarkEnd w:id="118"/>
    </w:p>
    <w:p w14:paraId="3721029C">
      <w:pPr>
        <w:adjustRightInd w:val="0"/>
        <w:snapToGrid w:val="0"/>
        <w:spacing w:line="360" w:lineRule="auto"/>
        <w:jc w:val="center"/>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lang w:val="en-US" w:eastAsia="zh-CN"/>
        </w:rPr>
        <w:t>II. procuration</w:t>
      </w:r>
    </w:p>
    <w:p w14:paraId="627AABCA">
      <w:pPr>
        <w:tabs>
          <w:tab w:val="left" w:pos="630"/>
        </w:tabs>
        <w:spacing w:line="360" w:lineRule="auto"/>
        <w:jc w:val="center"/>
        <w:rPr>
          <w:color w:val="auto"/>
          <w:sz w:val="24"/>
          <w:highlight w:val="none"/>
        </w:rPr>
      </w:pPr>
      <w:r>
        <w:rPr>
          <w:rFonts w:hint="eastAsia"/>
          <w:color w:val="auto"/>
          <w:sz w:val="24"/>
          <w:highlight w:val="none"/>
          <w:lang w:val="en-US" w:eastAsia="zh-CN"/>
        </w:rPr>
        <w:t>响应</w:t>
      </w:r>
      <w:r>
        <w:rPr>
          <w:rFonts w:hint="eastAsia"/>
          <w:color w:val="auto"/>
          <w:sz w:val="24"/>
          <w:highlight w:val="none"/>
        </w:rPr>
        <w:t>人法定代表人授权书（格式）</w:t>
      </w:r>
    </w:p>
    <w:p w14:paraId="759159C2">
      <w:pPr>
        <w:tabs>
          <w:tab w:val="left" w:pos="630"/>
          <w:tab w:val="left" w:pos="7350"/>
        </w:tabs>
        <w:spacing w:line="360" w:lineRule="auto"/>
        <w:jc w:val="center"/>
        <w:rPr>
          <w:rFonts w:hint="eastAsia"/>
          <w:color w:val="auto"/>
          <w:highlight w:val="none"/>
        </w:rPr>
      </w:pPr>
      <w:r>
        <w:rPr>
          <w:rFonts w:hint="eastAsia"/>
          <w:color w:val="auto"/>
          <w:highlight w:val="none"/>
        </w:rPr>
        <w:t>（适用于有委托代理人的情况）</w:t>
      </w:r>
    </w:p>
    <w:p w14:paraId="74C7B3F3">
      <w:pPr>
        <w:tabs>
          <w:tab w:val="left" w:pos="630"/>
          <w:tab w:val="left" w:pos="7350"/>
        </w:tabs>
        <w:spacing w:line="360" w:lineRule="auto"/>
        <w:jc w:val="center"/>
        <w:rPr>
          <w:rFonts w:hint="eastAsia"/>
          <w:color w:val="auto"/>
          <w:highlight w:val="none"/>
        </w:rPr>
      </w:pPr>
      <w:r>
        <w:rPr>
          <w:rFonts w:hint="eastAsia"/>
          <w:color w:val="auto"/>
          <w:highlight w:val="none"/>
        </w:rPr>
        <w:t>Lettre d'autorisation du représentant légal du répondant (Format)</w:t>
      </w:r>
    </w:p>
    <w:p w14:paraId="563AB12E">
      <w:pPr>
        <w:tabs>
          <w:tab w:val="left" w:pos="630"/>
          <w:tab w:val="left" w:pos="7350"/>
        </w:tabs>
        <w:spacing w:line="360" w:lineRule="auto"/>
        <w:jc w:val="center"/>
        <w:rPr>
          <w:rFonts w:hint="eastAsia"/>
          <w:color w:val="auto"/>
          <w:highlight w:val="none"/>
        </w:rPr>
      </w:pPr>
      <w:r>
        <w:rPr>
          <w:rFonts w:hint="eastAsia"/>
          <w:color w:val="auto"/>
          <w:highlight w:val="none"/>
        </w:rPr>
        <w:t>(Applicable s'il y a un mandataire)</w:t>
      </w:r>
    </w:p>
    <w:p w14:paraId="694B9D79">
      <w:pPr>
        <w:tabs>
          <w:tab w:val="left" w:pos="630"/>
          <w:tab w:val="left" w:pos="7350"/>
        </w:tabs>
        <w:spacing w:line="360" w:lineRule="auto"/>
        <w:rPr>
          <w:color w:val="auto"/>
          <w:highlight w:val="none"/>
          <w:u w:val="single"/>
        </w:rPr>
      </w:pPr>
      <w:r>
        <w:rPr>
          <w:rFonts w:hint="eastAsia"/>
          <w:color w:val="auto"/>
          <w:highlight w:val="none"/>
        </w:rPr>
        <w:t>项目名称</w:t>
      </w:r>
      <w:r>
        <w:rPr>
          <w:rFonts w:hint="eastAsia"/>
          <w:color w:val="auto"/>
          <w:highlight w:val="none"/>
          <w:lang w:val="en-US" w:eastAsia="zh-CN"/>
        </w:rPr>
        <w:t>/Nom du projet</w:t>
      </w:r>
      <w:r>
        <w:rPr>
          <w:rFonts w:hint="eastAsia"/>
          <w:color w:val="auto"/>
          <w:highlight w:val="none"/>
        </w:rPr>
        <w:t>：</w:t>
      </w:r>
      <w:r>
        <w:rPr>
          <w:color w:val="auto"/>
          <w:highlight w:val="none"/>
          <w:u w:val="single"/>
        </w:rPr>
        <w:t xml:space="preserve">                             </w:t>
      </w:r>
    </w:p>
    <w:p w14:paraId="24B64988">
      <w:pPr>
        <w:tabs>
          <w:tab w:val="left" w:pos="630"/>
          <w:tab w:val="left" w:pos="7920"/>
          <w:tab w:val="left" w:pos="8520"/>
        </w:tabs>
        <w:spacing w:line="360" w:lineRule="auto"/>
        <w:rPr>
          <w:color w:val="auto"/>
          <w:highlight w:val="none"/>
          <w:u w:val="single"/>
        </w:rPr>
      </w:pPr>
      <w:r>
        <w:rPr>
          <w:rFonts w:hint="eastAsia"/>
          <w:color w:val="auto"/>
          <w:highlight w:val="none"/>
        </w:rPr>
        <w:t>日</w:t>
      </w:r>
      <w:r>
        <w:rPr>
          <w:color w:val="auto"/>
          <w:highlight w:val="none"/>
        </w:rPr>
        <w:t xml:space="preserve">    </w:t>
      </w:r>
      <w:r>
        <w:rPr>
          <w:rFonts w:hint="eastAsia"/>
          <w:color w:val="auto"/>
          <w:highlight w:val="none"/>
        </w:rPr>
        <w:t>期</w:t>
      </w:r>
      <w:r>
        <w:rPr>
          <w:rFonts w:hint="eastAsia"/>
          <w:color w:val="auto"/>
          <w:highlight w:val="none"/>
          <w:lang w:val="en-US" w:eastAsia="zh-CN"/>
        </w:rPr>
        <w:t>/Date</w:t>
      </w:r>
      <w:r>
        <w:rPr>
          <w:rFonts w:hint="eastAsia"/>
          <w:color w:val="auto"/>
          <w:highlight w:val="none"/>
        </w:rPr>
        <w:t>：</w:t>
      </w:r>
      <w:r>
        <w:rPr>
          <w:color w:val="auto"/>
          <w:highlight w:val="none"/>
          <w:u w:val="single"/>
        </w:rPr>
        <w:t xml:space="preserve">                             </w:t>
      </w:r>
    </w:p>
    <w:p w14:paraId="1E0488D4">
      <w:pPr>
        <w:tabs>
          <w:tab w:val="left" w:pos="630"/>
          <w:tab w:val="left" w:pos="7920"/>
          <w:tab w:val="left" w:pos="8520"/>
        </w:tabs>
        <w:spacing w:line="360" w:lineRule="auto"/>
        <w:rPr>
          <w:color w:val="auto"/>
          <w:highlight w:val="none"/>
          <w:u w:val="single"/>
        </w:rPr>
      </w:pPr>
    </w:p>
    <w:p w14:paraId="099E809D">
      <w:pPr>
        <w:tabs>
          <w:tab w:val="left" w:pos="630"/>
        </w:tabs>
        <w:spacing w:line="360" w:lineRule="auto"/>
        <w:rPr>
          <w:color w:val="auto"/>
          <w:highlight w:val="none"/>
        </w:rPr>
      </w:pPr>
      <w:r>
        <w:rPr>
          <w:rFonts w:hint="eastAsia"/>
          <w:color w:val="auto"/>
          <w:highlight w:val="none"/>
        </w:rPr>
        <w:t>致：</w:t>
      </w:r>
      <w:r>
        <w:rPr>
          <w:rFonts w:hint="eastAsia"/>
        </w:rPr>
        <w:t>几内亚高丽亚矿山股份有限公司</w:t>
      </w:r>
      <w:r>
        <w:rPr>
          <w:color w:val="auto"/>
          <w:highlight w:val="none"/>
        </w:rPr>
        <w:t xml:space="preserve">    </w:t>
      </w:r>
    </w:p>
    <w:p w14:paraId="75417A89">
      <w:pPr>
        <w:tabs>
          <w:tab w:val="left" w:pos="630"/>
        </w:tabs>
        <w:spacing w:line="360" w:lineRule="auto"/>
        <w:ind w:firstLine="420" w:firstLineChars="200"/>
        <w:rPr>
          <w:color w:val="auto"/>
          <w:highlight w:val="none"/>
        </w:rPr>
      </w:pPr>
      <w:r>
        <w:rPr>
          <w:rFonts w:hint="eastAsia"/>
          <w:color w:val="auto"/>
          <w:highlight w:val="none"/>
          <w:u w:val="single"/>
        </w:rPr>
        <w:t>（</w:t>
      </w:r>
      <w:r>
        <w:rPr>
          <w:rFonts w:hint="eastAsia"/>
          <w:color w:val="auto"/>
          <w:highlight w:val="none"/>
          <w:u w:val="single"/>
          <w:lang w:val="en-US" w:eastAsia="zh-CN"/>
        </w:rPr>
        <w:t>响应</w:t>
      </w:r>
      <w:r>
        <w:rPr>
          <w:rFonts w:hint="eastAsia"/>
          <w:color w:val="auto"/>
          <w:highlight w:val="none"/>
          <w:u w:val="single"/>
        </w:rPr>
        <w:t>人名称）</w:t>
      </w:r>
      <w:r>
        <w:rPr>
          <w:color w:val="auto"/>
          <w:highlight w:val="none"/>
          <w:u w:val="single"/>
        </w:rPr>
        <w:t xml:space="preserve"> </w:t>
      </w:r>
      <w:r>
        <w:rPr>
          <w:rFonts w:hint="eastAsia"/>
          <w:color w:val="auto"/>
          <w:highlight w:val="none"/>
        </w:rPr>
        <w:t>，</w:t>
      </w:r>
      <w:r>
        <w:rPr>
          <w:rFonts w:hint="eastAsia"/>
          <w:color w:val="auto"/>
          <w:highlight w:val="none"/>
          <w:lang w:val="en-US" w:eastAsia="zh-CN"/>
        </w:rPr>
        <w:t>几内亚</w:t>
      </w:r>
      <w:r>
        <w:rPr>
          <w:rFonts w:hint="eastAsia"/>
          <w:color w:val="auto"/>
          <w:highlight w:val="none"/>
        </w:rPr>
        <w:t>共和国合法企业，法定地址</w:t>
      </w:r>
      <w:r>
        <w:rPr>
          <w:color w:val="auto"/>
          <w:highlight w:val="none"/>
          <w:u w:val="single"/>
        </w:rPr>
        <w:t xml:space="preserve">                        </w:t>
      </w:r>
      <w:r>
        <w:rPr>
          <w:rFonts w:hint="eastAsia"/>
          <w:color w:val="auto"/>
          <w:highlight w:val="none"/>
        </w:rPr>
        <w:t>。</w:t>
      </w:r>
    </w:p>
    <w:p w14:paraId="7CA8C2B7">
      <w:pPr>
        <w:tabs>
          <w:tab w:val="left" w:pos="420"/>
        </w:tabs>
        <w:spacing w:line="360" w:lineRule="auto"/>
        <w:rPr>
          <w:color w:val="auto"/>
          <w:highlight w:val="none"/>
        </w:rPr>
      </w:pPr>
      <w:r>
        <w:rPr>
          <w:color w:val="auto"/>
          <w:highlight w:val="none"/>
        </w:rPr>
        <w:tab/>
      </w:r>
      <w:r>
        <w:rPr>
          <w:rFonts w:hint="eastAsia"/>
          <w:color w:val="auto"/>
          <w:highlight w:val="none"/>
          <w:u w:val="single"/>
        </w:rPr>
        <w:t>（授权人姓名）</w:t>
      </w:r>
      <w:r>
        <w:rPr>
          <w:rFonts w:hint="eastAsia"/>
          <w:color w:val="auto"/>
          <w:highlight w:val="none"/>
        </w:rPr>
        <w:t>特授权</w:t>
      </w:r>
      <w:r>
        <w:rPr>
          <w:rFonts w:hint="eastAsia"/>
          <w:color w:val="auto"/>
          <w:highlight w:val="none"/>
          <w:u w:val="single"/>
        </w:rPr>
        <w:t>（被授权人姓名）</w:t>
      </w:r>
      <w:r>
        <w:rPr>
          <w:rFonts w:hint="eastAsia"/>
          <w:color w:val="auto"/>
          <w:highlight w:val="none"/>
        </w:rPr>
        <w:t>代表我公司全权办理针对上述项目的报价、谈判、签约等具体工作，并签署全部有关的文件、协议及合同。</w:t>
      </w:r>
    </w:p>
    <w:p w14:paraId="306C3AE3">
      <w:pPr>
        <w:tabs>
          <w:tab w:val="left" w:pos="420"/>
        </w:tabs>
        <w:spacing w:line="360" w:lineRule="auto"/>
        <w:rPr>
          <w:color w:val="auto"/>
          <w:highlight w:val="none"/>
        </w:rPr>
      </w:pPr>
      <w:r>
        <w:rPr>
          <w:color w:val="auto"/>
          <w:highlight w:val="none"/>
        </w:rPr>
        <w:tab/>
      </w:r>
      <w:r>
        <w:rPr>
          <w:rFonts w:hint="eastAsia"/>
          <w:color w:val="auto"/>
          <w:highlight w:val="none"/>
        </w:rPr>
        <w:t>我公司对被授权人的签名负全部责任。</w:t>
      </w:r>
    </w:p>
    <w:p w14:paraId="0B0414EB">
      <w:pPr>
        <w:tabs>
          <w:tab w:val="left" w:pos="420"/>
        </w:tabs>
        <w:spacing w:line="360" w:lineRule="auto"/>
        <w:rPr>
          <w:color w:val="auto"/>
          <w:highlight w:val="none"/>
        </w:rPr>
      </w:pPr>
      <w:r>
        <w:rPr>
          <w:color w:val="auto"/>
          <w:highlight w:val="none"/>
        </w:rPr>
        <w:tab/>
      </w:r>
      <w:r>
        <w:rPr>
          <w:rFonts w:hint="eastAsia"/>
          <w:color w:val="auto"/>
          <w:highlight w:val="none"/>
        </w:rPr>
        <w:t>在撤销授权的书面通知以前，本授权书一直有效。被授权人签署的所有文件（在授权书有效期内签署的）不因授权的撤消而失效。</w:t>
      </w:r>
    </w:p>
    <w:p w14:paraId="0116171E">
      <w:pPr>
        <w:tabs>
          <w:tab w:val="left" w:pos="210"/>
          <w:tab w:val="left" w:pos="7560"/>
        </w:tabs>
        <w:spacing w:line="360" w:lineRule="auto"/>
        <w:rPr>
          <w:color w:val="auto"/>
          <w:highlight w:val="none"/>
        </w:rPr>
      </w:pPr>
      <w:r>
        <w:rPr>
          <w:color w:val="auto"/>
          <w:highlight w:val="none"/>
        </w:rPr>
        <w:tab/>
      </w:r>
      <w:r>
        <w:rPr>
          <w:rFonts w:hint="eastAsia"/>
          <w:color w:val="auto"/>
          <w:highlight w:val="none"/>
        </w:rPr>
        <w:t>被授权人签名：</w:t>
      </w:r>
      <w:r>
        <w:rPr>
          <w:color w:val="auto"/>
          <w:highlight w:val="none"/>
          <w:u w:val="single"/>
        </w:rPr>
        <w:t xml:space="preserve">           </w:t>
      </w:r>
      <w:r>
        <w:rPr>
          <w:color w:val="auto"/>
          <w:highlight w:val="none"/>
        </w:rPr>
        <w:t xml:space="preserve">                      </w:t>
      </w:r>
      <w:r>
        <w:rPr>
          <w:rFonts w:hint="eastAsia"/>
          <w:color w:val="auto"/>
          <w:highlight w:val="none"/>
        </w:rPr>
        <w:t>授权人签名：</w:t>
      </w:r>
      <w:r>
        <w:rPr>
          <w:color w:val="auto"/>
          <w:highlight w:val="none"/>
          <w:u w:val="single"/>
        </w:rPr>
        <w:tab/>
      </w:r>
    </w:p>
    <w:p w14:paraId="0314E7BE">
      <w:pPr>
        <w:tabs>
          <w:tab w:val="left" w:pos="210"/>
          <w:tab w:val="left" w:pos="7560"/>
        </w:tabs>
        <w:spacing w:line="360" w:lineRule="auto"/>
        <w:rPr>
          <w:color w:val="auto"/>
          <w:highlight w:val="none"/>
          <w:u w:val="single"/>
        </w:rPr>
      </w:pPr>
      <w:r>
        <w:rPr>
          <w:color w:val="auto"/>
          <w:highlight w:val="none"/>
        </w:rPr>
        <w:tab/>
      </w:r>
      <w:r>
        <w:rPr>
          <w:rFonts w:hint="eastAsia"/>
          <w:color w:val="auto"/>
          <w:highlight w:val="none"/>
        </w:rPr>
        <w:t>职</w:t>
      </w:r>
      <w:r>
        <w:rPr>
          <w:color w:val="auto"/>
          <w:highlight w:val="none"/>
        </w:rPr>
        <w:t xml:space="preserve">        </w:t>
      </w:r>
      <w:r>
        <w:rPr>
          <w:rFonts w:hint="eastAsia"/>
          <w:color w:val="auto"/>
          <w:highlight w:val="none"/>
        </w:rPr>
        <w:t>务：</w:t>
      </w:r>
      <w:r>
        <w:rPr>
          <w:color w:val="auto"/>
          <w:highlight w:val="none"/>
          <w:u w:val="single"/>
        </w:rPr>
        <w:t xml:space="preserve">           </w:t>
      </w:r>
      <w:r>
        <w:rPr>
          <w:color w:val="auto"/>
          <w:highlight w:val="none"/>
        </w:rPr>
        <w:t xml:space="preserve">                      </w:t>
      </w:r>
      <w:r>
        <w:rPr>
          <w:rFonts w:hint="eastAsia"/>
          <w:color w:val="auto"/>
          <w:highlight w:val="none"/>
        </w:rPr>
        <w:t>职</w:t>
      </w:r>
      <w:r>
        <w:rPr>
          <w:color w:val="auto"/>
          <w:highlight w:val="none"/>
        </w:rPr>
        <w:t xml:space="preserve">      </w:t>
      </w:r>
      <w:r>
        <w:rPr>
          <w:rFonts w:hint="eastAsia"/>
          <w:color w:val="auto"/>
          <w:highlight w:val="none"/>
        </w:rPr>
        <w:t>务：</w:t>
      </w:r>
      <w:r>
        <w:rPr>
          <w:color w:val="auto"/>
          <w:highlight w:val="none"/>
          <w:u w:val="single"/>
        </w:rPr>
        <w:tab/>
      </w:r>
    </w:p>
    <w:p w14:paraId="3D3FA381">
      <w:pPr>
        <w:tabs>
          <w:tab w:val="left" w:pos="630"/>
          <w:tab w:val="left" w:pos="7560"/>
        </w:tabs>
        <w:spacing w:line="360" w:lineRule="auto"/>
        <w:ind w:firstLine="210" w:firstLineChars="100"/>
        <w:rPr>
          <w:color w:val="auto"/>
          <w:highlight w:val="none"/>
        </w:rPr>
      </w:pPr>
      <w:r>
        <w:rPr>
          <w:rFonts w:hint="eastAsia"/>
          <w:color w:val="auto"/>
          <w:highlight w:val="none"/>
          <w:lang w:val="en-US" w:eastAsia="zh-CN"/>
        </w:rPr>
        <w:t>联系电话（手机）</w:t>
      </w:r>
      <w:r>
        <w:rPr>
          <w:rFonts w:hint="eastAsia"/>
          <w:color w:val="auto"/>
          <w:highlight w:val="none"/>
        </w:rPr>
        <w:t>：</w:t>
      </w:r>
      <w:r>
        <w:rPr>
          <w:color w:val="auto"/>
          <w:highlight w:val="none"/>
          <w:u w:val="single"/>
        </w:rPr>
        <w:t xml:space="preserve">           </w:t>
      </w:r>
      <w:r>
        <w:rPr>
          <w:color w:val="auto"/>
          <w:highlight w:val="none"/>
        </w:rPr>
        <w:t xml:space="preserve">                  </w:t>
      </w:r>
      <w:r>
        <w:rPr>
          <w:rFonts w:hint="eastAsia"/>
          <w:color w:val="auto"/>
          <w:highlight w:val="none"/>
          <w:lang w:val="en-US" w:eastAsia="zh-CN"/>
        </w:rPr>
        <w:t>联系电话（手机）：</w:t>
      </w:r>
      <w:r>
        <w:rPr>
          <w:color w:val="auto"/>
          <w:highlight w:val="none"/>
          <w:u w:val="single"/>
        </w:rPr>
        <w:t xml:space="preserve">           </w:t>
      </w:r>
      <w:r>
        <w:rPr>
          <w:color w:val="auto"/>
          <w:highlight w:val="none"/>
        </w:rPr>
        <w:t xml:space="preserve"> </w:t>
      </w:r>
      <w:r>
        <w:rPr>
          <w:rFonts w:hint="eastAsia"/>
          <w:color w:val="auto"/>
          <w:highlight w:val="none"/>
          <w:lang w:val="en-US" w:eastAsia="zh-CN"/>
        </w:rPr>
        <w:t>.</w:t>
      </w:r>
      <w:r>
        <w:rPr>
          <w:rFonts w:hint="eastAsia"/>
          <w:color w:val="auto"/>
          <w:highlight w:val="none"/>
          <w:u w:val="single"/>
          <w:lang w:val="en-US" w:eastAsia="zh-CN"/>
        </w:rPr>
        <w:t xml:space="preserve">      </w:t>
      </w:r>
    </w:p>
    <w:p w14:paraId="3E151EDF">
      <w:pPr>
        <w:spacing w:line="360" w:lineRule="auto"/>
        <w:jc w:val="center"/>
        <w:rPr>
          <w:color w:val="auto"/>
          <w:highlight w:val="none"/>
        </w:rPr>
      </w:pPr>
      <w:r>
        <w:rPr>
          <w:color w:val="auto"/>
          <w:highlight w:val="none"/>
        </w:rPr>
        <w:t xml:space="preserve">                                 </w:t>
      </w:r>
    </w:p>
    <w:p w14:paraId="6C857D06">
      <w:pPr>
        <w:spacing w:line="360" w:lineRule="auto"/>
        <w:jc w:val="center"/>
        <w:rPr>
          <w:color w:val="auto"/>
          <w:highlight w:val="none"/>
        </w:rPr>
      </w:pPr>
    </w:p>
    <w:p w14:paraId="239B8475">
      <w:pPr>
        <w:spacing w:line="360" w:lineRule="auto"/>
        <w:jc w:val="center"/>
        <w:rPr>
          <w:color w:val="auto"/>
          <w:szCs w:val="22"/>
          <w:highlight w:val="none"/>
        </w:rPr>
      </w:pPr>
      <w:r>
        <w:rPr>
          <w:rFonts w:hint="eastAsia"/>
          <w:color w:val="auto"/>
          <w:highlight w:val="none"/>
          <w:lang w:val="en-US" w:eastAsia="zh-CN"/>
        </w:rPr>
        <w:t xml:space="preserve">                          响应</w:t>
      </w:r>
      <w:r>
        <w:rPr>
          <w:rFonts w:hint="eastAsia"/>
          <w:color w:val="auto"/>
          <w:highlight w:val="none"/>
        </w:rPr>
        <w:t>人：</w:t>
      </w:r>
      <w:r>
        <w:rPr>
          <w:color w:val="auto"/>
          <w:szCs w:val="21"/>
          <w:highlight w:val="none"/>
          <w:u w:val="single"/>
        </w:rPr>
        <w:t xml:space="preserve">           </w:t>
      </w:r>
      <w:r>
        <w:rPr>
          <w:color w:val="auto"/>
          <w:szCs w:val="21"/>
          <w:highlight w:val="none"/>
          <w:u w:val="single"/>
        </w:rPr>
        <w:tab/>
      </w:r>
      <w:r>
        <w:rPr>
          <w:rFonts w:hint="eastAsia" w:ascii="宋体" w:hAnsi="宋体" w:cs="宋体"/>
          <w:color w:val="auto"/>
          <w:szCs w:val="21"/>
          <w:highlight w:val="none"/>
        </w:rPr>
        <w:t>（盖单位章）</w:t>
      </w:r>
    </w:p>
    <w:p w14:paraId="31C24611">
      <w:pPr>
        <w:spacing w:line="360" w:lineRule="auto"/>
        <w:rPr>
          <w:color w:val="auto"/>
          <w:highlight w:val="none"/>
        </w:rPr>
      </w:pPr>
    </w:p>
    <w:p w14:paraId="53ABE744">
      <w:pPr>
        <w:spacing w:line="360" w:lineRule="auto"/>
        <w:ind w:firstLine="5040" w:firstLineChars="2400"/>
        <w:rPr>
          <w:color w:val="auto"/>
          <w:highlight w:val="none"/>
        </w:rPr>
      </w:pPr>
      <w:r>
        <w:rPr>
          <w:color w:val="auto"/>
          <w:highlight w:val="none"/>
          <w:u w:val="single"/>
        </w:rPr>
        <w:t xml:space="preserve">      </w:t>
      </w:r>
      <w:r>
        <w:rPr>
          <w:rFonts w:hint="eastAsia"/>
          <w:color w:val="auto"/>
          <w:highlight w:val="none"/>
        </w:rPr>
        <w:t>年</w:t>
      </w:r>
      <w:r>
        <w:rPr>
          <w:color w:val="auto"/>
          <w:highlight w:val="none"/>
          <w:u w:val="single"/>
        </w:rPr>
        <w:t xml:space="preserve">      </w:t>
      </w:r>
      <w:r>
        <w:rPr>
          <w:rFonts w:hint="eastAsia"/>
          <w:color w:val="auto"/>
          <w:highlight w:val="none"/>
        </w:rPr>
        <w:t>月</w:t>
      </w:r>
      <w:r>
        <w:rPr>
          <w:color w:val="auto"/>
          <w:highlight w:val="none"/>
          <w:u w:val="single"/>
        </w:rPr>
        <w:t xml:space="preserve">      </w:t>
      </w:r>
      <w:r>
        <w:rPr>
          <w:rFonts w:hint="eastAsia"/>
          <w:color w:val="auto"/>
          <w:highlight w:val="none"/>
        </w:rPr>
        <w:t>日</w:t>
      </w:r>
    </w:p>
    <w:p w14:paraId="6FD7261C">
      <w:pPr>
        <w:tabs>
          <w:tab w:val="left" w:pos="630"/>
          <w:tab w:val="left" w:pos="8160"/>
        </w:tabs>
        <w:spacing w:line="360" w:lineRule="auto"/>
        <w:jc w:val="left"/>
        <w:rPr>
          <w:rFonts w:hint="eastAsia"/>
          <w:highlight w:val="none"/>
        </w:rPr>
      </w:pPr>
      <w:r>
        <w:rPr>
          <w:rFonts w:hint="eastAsia"/>
          <w:highlight w:val="none"/>
        </w:rPr>
        <w:t xml:space="preserve">Destinataire : </w:t>
      </w:r>
      <w:r>
        <w:rPr>
          <w:rFonts w:hint="eastAsia"/>
        </w:rPr>
        <w:t>Guinea Colia Mining S.A.</w:t>
      </w:r>
      <w:r>
        <w:rPr>
          <w:rFonts w:hint="eastAsia"/>
          <w:highlight w:val="none"/>
        </w:rPr>
        <w:t xml:space="preserve">    </w:t>
      </w:r>
    </w:p>
    <w:p w14:paraId="7D13A8D9">
      <w:pPr>
        <w:tabs>
          <w:tab w:val="left" w:pos="630"/>
          <w:tab w:val="left" w:pos="8160"/>
        </w:tabs>
        <w:spacing w:line="360" w:lineRule="auto"/>
        <w:jc w:val="left"/>
        <w:rPr>
          <w:rFonts w:hint="eastAsia"/>
          <w:highlight w:val="none"/>
        </w:rPr>
      </w:pPr>
      <w:r>
        <w:rPr>
          <w:rFonts w:hint="eastAsia"/>
          <w:highlight w:val="none"/>
        </w:rPr>
        <w:t>(nom du défendeur), entreprise légale de la République populaire de Chine, dont l'adresse légale est bofa.</w:t>
      </w:r>
    </w:p>
    <w:p w14:paraId="2AB41340">
      <w:pPr>
        <w:tabs>
          <w:tab w:val="left" w:pos="630"/>
          <w:tab w:val="left" w:pos="8160"/>
        </w:tabs>
        <w:spacing w:line="360" w:lineRule="auto"/>
        <w:jc w:val="left"/>
        <w:rPr>
          <w:rFonts w:hint="eastAsia"/>
          <w:highlight w:val="none"/>
        </w:rPr>
      </w:pPr>
      <w:r>
        <w:rPr>
          <w:rFonts w:hint="eastAsia"/>
          <w:highlight w:val="none"/>
        </w:rPr>
        <w:tab/>
      </w:r>
      <w:r>
        <w:rPr>
          <w:rFonts w:hint="eastAsia"/>
          <w:highlight w:val="none"/>
        </w:rPr>
        <w:t>(Nom de la personne autorisée) autorise par la présente (Nom de la personne autorisée), au nom de notre société, à s'occuper du devis, de la négociation, de la passation des marchés et d'autres travaux spécifiques concernant le projet susmentionné, et à signer tous les documents, accords et contrats pertinents.</w:t>
      </w:r>
    </w:p>
    <w:p w14:paraId="27F3CFA7">
      <w:pPr>
        <w:tabs>
          <w:tab w:val="left" w:pos="630"/>
          <w:tab w:val="left" w:pos="8160"/>
        </w:tabs>
        <w:spacing w:line="360" w:lineRule="auto"/>
        <w:jc w:val="left"/>
        <w:rPr>
          <w:rFonts w:hint="eastAsia"/>
          <w:highlight w:val="none"/>
        </w:rPr>
      </w:pPr>
      <w:r>
        <w:rPr>
          <w:rFonts w:hint="eastAsia"/>
          <w:highlight w:val="none"/>
        </w:rPr>
        <w:tab/>
      </w:r>
      <w:r>
        <w:rPr>
          <w:rFonts w:hint="eastAsia"/>
          <w:highlight w:val="none"/>
        </w:rPr>
        <w:t>Nous sommes entièrement responsables de la signature de la personne autorisée.</w:t>
      </w:r>
    </w:p>
    <w:p w14:paraId="533D1D29">
      <w:pPr>
        <w:tabs>
          <w:tab w:val="left" w:pos="630"/>
          <w:tab w:val="left" w:pos="8160"/>
        </w:tabs>
        <w:spacing w:line="360" w:lineRule="auto"/>
        <w:jc w:val="left"/>
        <w:rPr>
          <w:highlight w:val="none"/>
        </w:rPr>
      </w:pPr>
      <w:r>
        <w:rPr>
          <w:rFonts w:hint="eastAsia"/>
          <w:highlight w:val="none"/>
        </w:rPr>
        <w:tab/>
      </w:r>
      <w:r>
        <w:rPr>
          <w:rFonts w:hint="eastAsia"/>
          <w:highlight w:val="none"/>
        </w:rPr>
        <w:t>Cette autorisation reste valable jusqu'à ce qu'une notification écrite de révocation soit donnée. Tous les documents signés par la personne autorisée (pendant la période de validité de l'autorisation) ne sont pas invalidés par la révocation de l'autorisation.</w:t>
      </w:r>
    </w:p>
    <w:p w14:paraId="73587F85">
      <w:pPr>
        <w:tabs>
          <w:tab w:val="left" w:pos="210"/>
          <w:tab w:val="left" w:pos="7560"/>
        </w:tabs>
        <w:spacing w:line="360" w:lineRule="auto"/>
        <w:rPr>
          <w:highlight w:val="none"/>
        </w:rPr>
      </w:pPr>
      <w:r>
        <w:rPr>
          <w:highlight w:val="none"/>
        </w:rPr>
        <w:tab/>
      </w:r>
      <w:r>
        <w:rPr>
          <w:rFonts w:hint="eastAsia"/>
          <w:highlight w:val="none"/>
        </w:rPr>
        <w:t>Signature de la personne autorisée：</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 xml:space="preserve">   </w:t>
      </w:r>
      <w:r>
        <w:rPr>
          <w:rFonts w:hint="eastAsia"/>
          <w:highlight w:val="none"/>
        </w:rPr>
        <w:t>Signature de la personne autorisée：</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 xml:space="preserve">  </w:t>
      </w:r>
    </w:p>
    <w:p w14:paraId="44955385">
      <w:pPr>
        <w:tabs>
          <w:tab w:val="left" w:pos="210"/>
          <w:tab w:val="left" w:pos="7560"/>
        </w:tabs>
        <w:spacing w:line="360" w:lineRule="auto"/>
        <w:rPr>
          <w:highlight w:val="none"/>
          <w:u w:val="single"/>
        </w:rPr>
      </w:pPr>
      <w:r>
        <w:rPr>
          <w:highlight w:val="none"/>
        </w:rPr>
        <w:tab/>
      </w:r>
      <w:r>
        <w:rPr>
          <w:rFonts w:hint="eastAsia"/>
          <w:highlight w:val="none"/>
        </w:rPr>
        <w:t>Fonctions：</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 xml:space="preserve">                     </w:t>
      </w:r>
      <w:r>
        <w:rPr>
          <w:rFonts w:hint="eastAsia"/>
          <w:highlight w:val="none"/>
          <w:lang w:val="en-US" w:eastAsia="zh-CN"/>
        </w:rPr>
        <w:t xml:space="preserve"> </w:t>
      </w:r>
      <w:r>
        <w:rPr>
          <w:highlight w:val="none"/>
        </w:rPr>
        <w:t xml:space="preserve"> </w:t>
      </w:r>
      <w:r>
        <w:rPr>
          <w:rFonts w:hint="eastAsia"/>
          <w:highlight w:val="none"/>
        </w:rPr>
        <w:t>Fonctions：</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rFonts w:hint="eastAsia"/>
          <w:highlight w:val="none"/>
          <w:u w:val="single"/>
          <w:lang w:val="en-US" w:eastAsia="zh-CN"/>
        </w:rPr>
        <w:t>,</w:t>
      </w:r>
      <w:r>
        <w:rPr>
          <w:highlight w:val="none"/>
          <w:u w:val="single"/>
        </w:rPr>
        <w:t xml:space="preserve">       </w:t>
      </w:r>
      <w:r>
        <w:rPr>
          <w:highlight w:val="none"/>
        </w:rPr>
        <w:t xml:space="preserve">  </w:t>
      </w:r>
    </w:p>
    <w:p w14:paraId="6B0D0394">
      <w:pPr>
        <w:tabs>
          <w:tab w:val="left" w:pos="630"/>
          <w:tab w:val="left" w:pos="7560"/>
        </w:tabs>
        <w:spacing w:line="360" w:lineRule="auto"/>
        <w:ind w:firstLine="210" w:firstLineChars="100"/>
        <w:rPr>
          <w:highlight w:val="none"/>
        </w:rPr>
      </w:pPr>
      <w:r>
        <w:rPr>
          <w:rFonts w:hint="eastAsia"/>
          <w:highlight w:val="none"/>
          <w:lang w:val="en-US" w:eastAsia="zh-CN"/>
        </w:rPr>
        <w:t>Numéro de contact (mobile)</w:t>
      </w:r>
      <w:r>
        <w:rPr>
          <w:rFonts w:hint="eastAsia"/>
          <w:highlight w:val="none"/>
        </w:rPr>
        <w:t>：</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 xml:space="preserve">        </w:t>
      </w:r>
      <w:r>
        <w:rPr>
          <w:rFonts w:hint="eastAsia"/>
          <w:highlight w:val="none"/>
          <w:lang w:val="en-US" w:eastAsia="zh-CN"/>
        </w:rPr>
        <w:t>Numéro de contact (téléphone portable)：</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 xml:space="preserve">  </w:t>
      </w:r>
      <w:r>
        <w:rPr>
          <w:rFonts w:hint="eastAsia"/>
          <w:highlight w:val="none"/>
          <w:u w:val="single"/>
          <w:lang w:val="en-US" w:eastAsia="zh-CN"/>
        </w:rPr>
        <w:t xml:space="preserve">      </w:t>
      </w:r>
    </w:p>
    <w:p w14:paraId="1FE19FD6">
      <w:pPr>
        <w:spacing w:line="360" w:lineRule="auto"/>
        <w:jc w:val="center"/>
        <w:rPr>
          <w:highlight w:val="none"/>
        </w:rPr>
      </w:pPr>
      <w:r>
        <w:rPr>
          <w:highlight w:val="none"/>
        </w:rPr>
        <w:t xml:space="preserve">                                 </w:t>
      </w:r>
    </w:p>
    <w:p w14:paraId="7897C19E">
      <w:pPr>
        <w:spacing w:line="360" w:lineRule="auto"/>
        <w:jc w:val="center"/>
        <w:rPr>
          <w:highlight w:val="none"/>
        </w:rPr>
      </w:pPr>
    </w:p>
    <w:p w14:paraId="1AFE0357">
      <w:pPr>
        <w:spacing w:line="360" w:lineRule="auto"/>
        <w:jc w:val="center"/>
        <w:rPr>
          <w:rFonts w:hint="eastAsia" w:eastAsia="宋体" w:cs="Times New Roman"/>
          <w:highlight w:val="none"/>
          <w:lang w:val="en-US" w:eastAsia="zh-CN"/>
        </w:rPr>
      </w:pPr>
      <w:r>
        <w:rPr>
          <w:rFonts w:hint="eastAsia"/>
          <w:highlight w:val="none"/>
          <w:lang w:val="en-US" w:eastAsia="zh-CN"/>
        </w:rPr>
        <w:t xml:space="preserve">                         répondant</w:t>
      </w:r>
      <w:r>
        <w:rPr>
          <w:rFonts w:hint="eastAsia"/>
          <w:highlight w:val="none"/>
        </w:rPr>
        <w:t>：</w:t>
      </w:r>
      <w:r>
        <w:rPr>
          <w:szCs w:val="21"/>
          <w:highlight w:val="none"/>
          <w:u w:val="single"/>
        </w:rPr>
        <w:t xml:space="preserve">     </w:t>
      </w:r>
      <w:r>
        <w:rPr>
          <w:rFonts w:hint="eastAsia"/>
          <w:szCs w:val="21"/>
          <w:highlight w:val="none"/>
          <w:u w:val="single"/>
          <w:lang w:val="en-US" w:eastAsia="zh-CN"/>
        </w:rPr>
        <w:t xml:space="preserve"> </w:t>
      </w:r>
      <w:r>
        <w:rPr>
          <w:szCs w:val="21"/>
          <w:highlight w:val="none"/>
          <w:u w:val="single"/>
        </w:rPr>
        <w:t xml:space="preserve">     </w:t>
      </w:r>
      <w:r>
        <w:rPr>
          <w:szCs w:val="21"/>
          <w:highlight w:val="none"/>
          <w:u w:val="single"/>
        </w:rPr>
        <w:tab/>
      </w:r>
      <w:r>
        <w:rPr>
          <w:rFonts w:hint="eastAsia" w:eastAsia="宋体" w:cs="Times New Roman"/>
          <w:highlight w:val="none"/>
          <w:lang w:val="en-US" w:eastAsia="zh-CN"/>
        </w:rPr>
        <w:t>（apposer un label de qualité）</w:t>
      </w:r>
    </w:p>
    <w:p w14:paraId="40240726">
      <w:pPr>
        <w:spacing w:line="360" w:lineRule="auto"/>
        <w:ind w:firstLine="5040" w:firstLineChars="2400"/>
        <w:rPr>
          <w:rFonts w:hint="eastAsia"/>
          <w:highlight w:val="none"/>
        </w:rPr>
      </w:pPr>
    </w:p>
    <w:p w14:paraId="2199B498">
      <w:pPr>
        <w:spacing w:line="360" w:lineRule="auto"/>
        <w:ind w:firstLine="6300" w:firstLineChars="3000"/>
        <w:rPr>
          <w:highlight w:val="none"/>
        </w:rPr>
      </w:pPr>
      <w:r>
        <w:rPr>
          <w:rFonts w:hint="eastAsia"/>
          <w:highlight w:val="none"/>
          <w:u w:val="single"/>
          <w:lang w:val="en-US" w:eastAsia="zh-CN"/>
        </w:rPr>
        <w:t xml:space="preserve">.        </w:t>
      </w:r>
      <w:r>
        <w:rPr>
          <w:rFonts w:hint="eastAsia"/>
          <w:highlight w:val="none"/>
        </w:rPr>
        <w:t>janvier 2024</w:t>
      </w:r>
    </w:p>
    <w:p w14:paraId="4B163FB5">
      <w:pPr>
        <w:adjustRightInd w:val="0"/>
        <w:snapToGrid w:val="0"/>
        <w:spacing w:line="360" w:lineRule="auto"/>
        <w:ind w:firstLine="420" w:firstLineChars="200"/>
        <w:rPr>
          <w:rFonts w:hint="eastAsia" w:ascii="宋体" w:hAnsi="宋体" w:cs="宋体"/>
          <w:color w:val="auto"/>
          <w:szCs w:val="21"/>
          <w:highlight w:val="none"/>
        </w:rPr>
      </w:pPr>
    </w:p>
    <w:p w14:paraId="5C67AC40">
      <w:pPr>
        <w:adjustRightInd w:val="0"/>
        <w:snapToGrid w:val="0"/>
        <w:spacing w:line="360" w:lineRule="auto"/>
        <w:ind w:firstLine="420" w:firstLineChars="200"/>
        <w:rPr>
          <w:rFonts w:hint="eastAsia" w:ascii="宋体" w:hAnsi="宋体" w:cs="宋体"/>
          <w:color w:val="auto"/>
          <w:szCs w:val="21"/>
          <w:highlight w:val="none"/>
        </w:rPr>
      </w:pPr>
    </w:p>
    <w:tbl>
      <w:tblPr>
        <w:tblStyle w:val="31"/>
        <w:tblpPr w:leftFromText="180" w:rightFromText="180" w:vertAnchor="text" w:horzAnchor="page" w:tblpXSpec="center" w:tblpY="98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0F32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jc w:val="center"/>
        </w:trPr>
        <w:tc>
          <w:tcPr>
            <w:tcW w:w="9571" w:type="dxa"/>
            <w:tcBorders>
              <w:top w:val="single" w:color="auto" w:sz="4" w:space="0"/>
              <w:left w:val="single" w:color="auto" w:sz="4" w:space="0"/>
              <w:bottom w:val="single" w:color="auto" w:sz="4" w:space="0"/>
              <w:right w:val="single" w:color="auto" w:sz="4" w:space="0"/>
            </w:tcBorders>
            <w:noWrap w:val="0"/>
            <w:vAlign w:val="center"/>
          </w:tcPr>
          <w:p w14:paraId="7DE46847">
            <w:pPr>
              <w:adjustRightInd w:val="0"/>
              <w:snapToGrid w:val="0"/>
              <w:spacing w:line="360" w:lineRule="auto"/>
              <w:jc w:val="center"/>
              <w:rPr>
                <w:rFonts w:hint="eastAsia"/>
                <w:color w:val="auto"/>
                <w:szCs w:val="21"/>
                <w:highlight w:val="none"/>
              </w:rPr>
            </w:pPr>
            <w:r>
              <w:rPr>
                <w:rFonts w:hint="eastAsia"/>
                <w:color w:val="auto"/>
                <w:szCs w:val="21"/>
                <w:highlight w:val="none"/>
              </w:rPr>
              <w:t>法定代表人身份证正反面扫描件粘贴处</w:t>
            </w:r>
          </w:p>
          <w:p w14:paraId="7EE356C0">
            <w:pPr>
              <w:adjustRightInd w:val="0"/>
              <w:snapToGrid w:val="0"/>
              <w:spacing w:line="360" w:lineRule="auto"/>
              <w:jc w:val="center"/>
              <w:rPr>
                <w:rFonts w:hint="eastAsia"/>
                <w:color w:val="auto"/>
                <w:szCs w:val="21"/>
                <w:highlight w:val="none"/>
              </w:rPr>
            </w:pPr>
            <w:r>
              <w:rPr>
                <w:rFonts w:hint="eastAsia"/>
                <w:color w:val="auto"/>
                <w:szCs w:val="21"/>
                <w:highlight w:val="none"/>
              </w:rPr>
              <w:t>Carte d'identité du représentant légal, recto et verso, copie scannée du lieu de collage</w:t>
            </w:r>
          </w:p>
        </w:tc>
      </w:tr>
    </w:tbl>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5E95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9" w:hRule="atLeast"/>
          <w:jc w:val="center"/>
        </w:trPr>
        <w:tc>
          <w:tcPr>
            <w:tcW w:w="9571" w:type="dxa"/>
            <w:tcBorders>
              <w:top w:val="single" w:color="auto" w:sz="4" w:space="0"/>
              <w:left w:val="single" w:color="auto" w:sz="4" w:space="0"/>
              <w:bottom w:val="single" w:color="auto" w:sz="4" w:space="0"/>
              <w:right w:val="single" w:color="auto" w:sz="4" w:space="0"/>
            </w:tcBorders>
            <w:noWrap w:val="0"/>
            <w:vAlign w:val="center"/>
          </w:tcPr>
          <w:p w14:paraId="6F6B3B0F">
            <w:pPr>
              <w:tabs>
                <w:tab w:val="left" w:pos="630"/>
                <w:tab w:val="left" w:pos="7560"/>
              </w:tabs>
              <w:spacing w:line="360" w:lineRule="auto"/>
              <w:jc w:val="center"/>
              <w:rPr>
                <w:rFonts w:hint="eastAsia"/>
                <w:color w:val="auto"/>
                <w:szCs w:val="21"/>
                <w:highlight w:val="none"/>
              </w:rPr>
            </w:pPr>
            <w:r>
              <w:rPr>
                <w:rFonts w:hint="eastAsia"/>
                <w:color w:val="auto"/>
                <w:szCs w:val="21"/>
                <w:highlight w:val="none"/>
              </w:rPr>
              <w:t>被授权人人身份证正反面扫描件粘贴处</w:t>
            </w:r>
          </w:p>
          <w:p w14:paraId="65571228">
            <w:pPr>
              <w:tabs>
                <w:tab w:val="left" w:pos="630"/>
                <w:tab w:val="left" w:pos="7560"/>
              </w:tabs>
              <w:spacing w:line="360" w:lineRule="auto"/>
              <w:jc w:val="center"/>
              <w:rPr>
                <w:rFonts w:hint="eastAsia"/>
                <w:color w:val="auto"/>
                <w:szCs w:val="21"/>
                <w:highlight w:val="none"/>
              </w:rPr>
            </w:pPr>
            <w:r>
              <w:rPr>
                <w:rFonts w:hint="eastAsia"/>
                <w:color w:val="auto"/>
                <w:szCs w:val="21"/>
                <w:highlight w:val="none"/>
              </w:rPr>
              <w:t>Carte d'identité de la personne autorisée (recto et verso) scannée et collée.</w:t>
            </w:r>
          </w:p>
        </w:tc>
      </w:tr>
    </w:tbl>
    <w:p w14:paraId="2812B39C">
      <w:pPr>
        <w:spacing w:line="440" w:lineRule="exact"/>
        <w:jc w:val="both"/>
        <w:rPr>
          <w:rFonts w:ascii="Times New Roman" w:hAnsi="Times New Roman"/>
          <w:color w:val="auto"/>
          <w:highlight w:val="none"/>
        </w:rPr>
      </w:pPr>
    </w:p>
    <w:p w14:paraId="210A34E7">
      <w:pPr>
        <w:adjustRightInd w:val="0"/>
        <w:snapToGrid w:val="0"/>
        <w:spacing w:line="360" w:lineRule="auto"/>
        <w:ind w:right="840"/>
        <w:rPr>
          <w:rFonts w:ascii="Times New Roman" w:hAnsi="Times New Roman"/>
          <w:color w:val="auto"/>
          <w:highlight w:val="none"/>
        </w:rPr>
      </w:pPr>
    </w:p>
    <w:p w14:paraId="620871FA">
      <w:pPr>
        <w:spacing w:line="440" w:lineRule="exact"/>
        <w:ind w:firstLine="4057" w:firstLineChars="1932"/>
        <w:jc w:val="right"/>
        <w:rPr>
          <w:color w:val="auto"/>
          <w:szCs w:val="22"/>
          <w:highlight w:val="none"/>
        </w:rPr>
      </w:pPr>
    </w:p>
    <w:p w14:paraId="27A4EFEC">
      <w:pPr>
        <w:pStyle w:val="3"/>
        <w:spacing w:before="0" w:after="0" w:line="360" w:lineRule="auto"/>
        <w:rPr>
          <w:rFonts w:hint="eastAsia" w:ascii="宋体" w:hAnsi="宋体" w:eastAsia="宋体" w:cs="宋体"/>
          <w:b/>
          <w:bCs w:val="0"/>
          <w:color w:val="auto"/>
          <w:kern w:val="2"/>
          <w:sz w:val="28"/>
          <w:szCs w:val="21"/>
          <w:highlight w:val="none"/>
          <w:lang w:val="en-US" w:eastAsia="zh-CN" w:bidi="ar-SA"/>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bookmarkStart w:id="119" w:name="_Toc107566831"/>
      <w:bookmarkStart w:id="120" w:name="_Toc105679038"/>
      <w:bookmarkStart w:id="121" w:name="_Toc106878078"/>
      <w:bookmarkStart w:id="122" w:name="_Toc106872833"/>
    </w:p>
    <w:p w14:paraId="5762A500">
      <w:pPr>
        <w:pStyle w:val="3"/>
        <w:numPr>
          <w:ilvl w:val="0"/>
          <w:numId w:val="18"/>
        </w:numPr>
        <w:spacing w:before="0" w:after="0" w:line="360" w:lineRule="auto"/>
        <w:jc w:val="center"/>
        <w:rPr>
          <w:rFonts w:hint="eastAsia" w:ascii="宋体" w:hAnsi="宋体" w:eastAsia="宋体" w:cs="宋体"/>
          <w:b/>
          <w:bCs w:val="0"/>
          <w:color w:val="auto"/>
          <w:kern w:val="2"/>
          <w:sz w:val="28"/>
          <w:szCs w:val="21"/>
          <w:highlight w:val="none"/>
          <w:lang w:val="en-US" w:eastAsia="zh-CN" w:bidi="ar-SA"/>
        </w:rPr>
      </w:pPr>
      <w:bookmarkStart w:id="123" w:name="_Toc5474"/>
      <w:r>
        <w:rPr>
          <w:rFonts w:hint="eastAsia" w:ascii="宋体" w:hAnsi="宋体" w:eastAsia="宋体" w:cs="宋体"/>
          <w:b/>
          <w:bCs w:val="0"/>
          <w:color w:val="auto"/>
          <w:kern w:val="2"/>
          <w:sz w:val="28"/>
          <w:szCs w:val="21"/>
          <w:highlight w:val="none"/>
          <w:lang w:val="en-US" w:eastAsia="zh-CN" w:bidi="ar-SA"/>
        </w:rPr>
        <w:t>联合体协议书（如有）</w:t>
      </w:r>
      <w:bookmarkEnd w:id="119"/>
      <w:bookmarkEnd w:id="120"/>
      <w:bookmarkEnd w:id="121"/>
      <w:bookmarkEnd w:id="122"/>
      <w:bookmarkEnd w:id="123"/>
    </w:p>
    <w:p w14:paraId="4CAC887C">
      <w:pPr>
        <w:numPr>
          <w:ilvl w:val="0"/>
          <w:numId w:val="0"/>
        </w:numPr>
        <w:bidi w:val="0"/>
        <w:rPr>
          <w:rFonts w:hint="eastAsia"/>
          <w:lang w:val="en-US" w:eastAsia="zh-CN"/>
        </w:rPr>
      </w:pPr>
    </w:p>
    <w:p w14:paraId="02D95872">
      <w:pPr>
        <w:numPr>
          <w:ilvl w:val="0"/>
          <w:numId w:val="0"/>
        </w:numPr>
        <w:bidi w:val="0"/>
        <w:rPr>
          <w:rFonts w:hint="eastAsia"/>
          <w:lang w:val="en-US" w:eastAsia="zh-CN"/>
        </w:rPr>
      </w:pPr>
    </w:p>
    <w:p w14:paraId="6720B3C1">
      <w:pPr>
        <w:numPr>
          <w:ilvl w:val="0"/>
          <w:numId w:val="0"/>
        </w:numPr>
        <w:bidi w:val="0"/>
        <w:rPr>
          <w:rFonts w:hint="eastAsia"/>
          <w:lang w:val="en-US" w:eastAsia="zh-CN"/>
        </w:rPr>
      </w:pPr>
    </w:p>
    <w:p w14:paraId="0A353902">
      <w:pPr>
        <w:numPr>
          <w:ilvl w:val="0"/>
          <w:numId w:val="0"/>
        </w:numPr>
        <w:bidi w:val="0"/>
        <w:rPr>
          <w:rFonts w:hint="eastAsia"/>
          <w:lang w:val="en-US" w:eastAsia="zh-CN"/>
        </w:rPr>
      </w:pPr>
    </w:p>
    <w:p w14:paraId="09583CBE">
      <w:pPr>
        <w:numPr>
          <w:ilvl w:val="0"/>
          <w:numId w:val="0"/>
        </w:numPr>
        <w:bidi w:val="0"/>
        <w:rPr>
          <w:rFonts w:hint="eastAsia"/>
          <w:lang w:val="en-US" w:eastAsia="zh-CN"/>
        </w:rPr>
      </w:pPr>
    </w:p>
    <w:p w14:paraId="54436F1D">
      <w:pPr>
        <w:numPr>
          <w:ilvl w:val="0"/>
          <w:numId w:val="0"/>
        </w:numPr>
        <w:bidi w:val="0"/>
        <w:rPr>
          <w:rFonts w:hint="eastAsia"/>
          <w:lang w:val="en-US" w:eastAsia="zh-CN"/>
        </w:rPr>
      </w:pPr>
    </w:p>
    <w:p w14:paraId="0FFA7581">
      <w:pPr>
        <w:numPr>
          <w:ilvl w:val="0"/>
          <w:numId w:val="0"/>
        </w:numPr>
        <w:bidi w:val="0"/>
        <w:rPr>
          <w:rFonts w:hint="eastAsia"/>
          <w:lang w:val="en-US" w:eastAsia="zh-CN"/>
        </w:rPr>
      </w:pPr>
    </w:p>
    <w:p w14:paraId="6F03DB1F">
      <w:pPr>
        <w:numPr>
          <w:ilvl w:val="0"/>
          <w:numId w:val="0"/>
        </w:numPr>
        <w:bidi w:val="0"/>
        <w:rPr>
          <w:rFonts w:hint="eastAsia"/>
          <w:lang w:val="en-US" w:eastAsia="zh-CN"/>
        </w:rPr>
      </w:pPr>
    </w:p>
    <w:p w14:paraId="2D0E4D40">
      <w:pPr>
        <w:numPr>
          <w:ilvl w:val="0"/>
          <w:numId w:val="0"/>
        </w:numPr>
        <w:bidi w:val="0"/>
        <w:rPr>
          <w:rFonts w:hint="eastAsia"/>
          <w:lang w:val="en-US" w:eastAsia="zh-CN"/>
        </w:rPr>
      </w:pPr>
    </w:p>
    <w:p w14:paraId="56CC642E">
      <w:pPr>
        <w:numPr>
          <w:ilvl w:val="0"/>
          <w:numId w:val="0"/>
        </w:numPr>
        <w:bidi w:val="0"/>
        <w:rPr>
          <w:rFonts w:hint="eastAsia"/>
          <w:lang w:val="en-US" w:eastAsia="zh-CN"/>
        </w:rPr>
      </w:pPr>
    </w:p>
    <w:p w14:paraId="35F80988">
      <w:pPr>
        <w:numPr>
          <w:ilvl w:val="0"/>
          <w:numId w:val="0"/>
        </w:numPr>
        <w:bidi w:val="0"/>
        <w:rPr>
          <w:rFonts w:hint="eastAsia"/>
          <w:lang w:val="en-US" w:eastAsia="zh-CN"/>
        </w:rPr>
      </w:pPr>
    </w:p>
    <w:p w14:paraId="6482C0E0">
      <w:pPr>
        <w:numPr>
          <w:ilvl w:val="0"/>
          <w:numId w:val="0"/>
        </w:numPr>
        <w:bidi w:val="0"/>
        <w:rPr>
          <w:rFonts w:hint="eastAsia"/>
          <w:lang w:val="en-US" w:eastAsia="zh-CN"/>
        </w:rPr>
      </w:pPr>
    </w:p>
    <w:p w14:paraId="4B2466AF">
      <w:pPr>
        <w:numPr>
          <w:ilvl w:val="0"/>
          <w:numId w:val="0"/>
        </w:numPr>
        <w:bidi w:val="0"/>
        <w:rPr>
          <w:rFonts w:hint="eastAsia"/>
          <w:lang w:val="en-US" w:eastAsia="zh-CN"/>
        </w:rPr>
      </w:pPr>
    </w:p>
    <w:p w14:paraId="47E7D3F7">
      <w:pPr>
        <w:numPr>
          <w:ilvl w:val="0"/>
          <w:numId w:val="0"/>
        </w:numPr>
        <w:bidi w:val="0"/>
        <w:rPr>
          <w:rFonts w:hint="eastAsia"/>
          <w:lang w:val="en-US" w:eastAsia="zh-CN"/>
        </w:rPr>
      </w:pPr>
    </w:p>
    <w:p w14:paraId="700AD0A7">
      <w:pPr>
        <w:numPr>
          <w:ilvl w:val="0"/>
          <w:numId w:val="0"/>
        </w:numPr>
        <w:bidi w:val="0"/>
        <w:rPr>
          <w:rFonts w:hint="eastAsia"/>
          <w:lang w:val="en-US" w:eastAsia="zh-CN"/>
        </w:rPr>
      </w:pPr>
    </w:p>
    <w:p w14:paraId="18EF9BCB">
      <w:pPr>
        <w:numPr>
          <w:ilvl w:val="0"/>
          <w:numId w:val="0"/>
        </w:numPr>
        <w:bidi w:val="0"/>
        <w:rPr>
          <w:rFonts w:hint="eastAsia"/>
          <w:lang w:val="en-US" w:eastAsia="zh-CN"/>
        </w:rPr>
      </w:pPr>
    </w:p>
    <w:p w14:paraId="6803A294">
      <w:pPr>
        <w:numPr>
          <w:ilvl w:val="0"/>
          <w:numId w:val="0"/>
        </w:numPr>
        <w:bidi w:val="0"/>
        <w:rPr>
          <w:rFonts w:hint="eastAsia"/>
          <w:lang w:val="en-US" w:eastAsia="zh-CN"/>
        </w:rPr>
      </w:pPr>
    </w:p>
    <w:p w14:paraId="5C6C29FA">
      <w:pPr>
        <w:numPr>
          <w:ilvl w:val="0"/>
          <w:numId w:val="0"/>
        </w:numPr>
        <w:bidi w:val="0"/>
        <w:rPr>
          <w:rFonts w:hint="eastAsia"/>
          <w:lang w:val="en-US" w:eastAsia="zh-CN"/>
        </w:rPr>
      </w:pPr>
    </w:p>
    <w:p w14:paraId="045C9373">
      <w:pPr>
        <w:numPr>
          <w:ilvl w:val="0"/>
          <w:numId w:val="0"/>
        </w:numPr>
        <w:bidi w:val="0"/>
        <w:rPr>
          <w:rFonts w:hint="eastAsia"/>
          <w:lang w:val="en-US" w:eastAsia="zh-CN"/>
        </w:rPr>
      </w:pPr>
    </w:p>
    <w:p w14:paraId="556A7B12">
      <w:pPr>
        <w:numPr>
          <w:ilvl w:val="0"/>
          <w:numId w:val="0"/>
        </w:numPr>
        <w:bidi w:val="0"/>
        <w:rPr>
          <w:rFonts w:hint="eastAsia"/>
          <w:lang w:val="en-US" w:eastAsia="zh-CN"/>
        </w:rPr>
      </w:pPr>
    </w:p>
    <w:p w14:paraId="4A655DEB">
      <w:pPr>
        <w:numPr>
          <w:ilvl w:val="0"/>
          <w:numId w:val="0"/>
        </w:numPr>
        <w:bidi w:val="0"/>
        <w:rPr>
          <w:rFonts w:hint="eastAsia"/>
          <w:lang w:val="en-US" w:eastAsia="zh-CN"/>
        </w:rPr>
      </w:pPr>
    </w:p>
    <w:p w14:paraId="778D452D">
      <w:pPr>
        <w:numPr>
          <w:ilvl w:val="0"/>
          <w:numId w:val="0"/>
        </w:numPr>
        <w:bidi w:val="0"/>
        <w:rPr>
          <w:rFonts w:hint="eastAsia"/>
          <w:lang w:val="en-US" w:eastAsia="zh-CN"/>
        </w:rPr>
      </w:pPr>
    </w:p>
    <w:p w14:paraId="458716F8">
      <w:pPr>
        <w:numPr>
          <w:ilvl w:val="0"/>
          <w:numId w:val="0"/>
        </w:numPr>
        <w:bidi w:val="0"/>
        <w:rPr>
          <w:rFonts w:hint="eastAsia"/>
          <w:lang w:val="en-US" w:eastAsia="zh-CN"/>
        </w:rPr>
      </w:pPr>
    </w:p>
    <w:p w14:paraId="1E0C76D2">
      <w:pPr>
        <w:numPr>
          <w:ilvl w:val="0"/>
          <w:numId w:val="0"/>
        </w:numPr>
        <w:bidi w:val="0"/>
        <w:rPr>
          <w:rFonts w:hint="eastAsia"/>
          <w:lang w:val="en-US" w:eastAsia="zh-CN"/>
        </w:rPr>
      </w:pPr>
    </w:p>
    <w:p w14:paraId="2B39BF3E">
      <w:pPr>
        <w:numPr>
          <w:ilvl w:val="0"/>
          <w:numId w:val="0"/>
        </w:numPr>
        <w:bidi w:val="0"/>
        <w:rPr>
          <w:rFonts w:hint="eastAsia"/>
          <w:lang w:val="en-US" w:eastAsia="zh-CN"/>
        </w:rPr>
      </w:pPr>
    </w:p>
    <w:p w14:paraId="68EE4085">
      <w:pPr>
        <w:numPr>
          <w:ilvl w:val="0"/>
          <w:numId w:val="0"/>
        </w:numPr>
        <w:bidi w:val="0"/>
        <w:rPr>
          <w:rFonts w:hint="eastAsia"/>
          <w:lang w:val="en-US" w:eastAsia="zh-CN"/>
        </w:rPr>
      </w:pPr>
    </w:p>
    <w:p w14:paraId="39F32109">
      <w:pPr>
        <w:numPr>
          <w:ilvl w:val="0"/>
          <w:numId w:val="0"/>
        </w:numPr>
        <w:bidi w:val="0"/>
        <w:rPr>
          <w:rFonts w:hint="eastAsia"/>
          <w:lang w:val="en-US" w:eastAsia="zh-CN"/>
        </w:rPr>
      </w:pPr>
    </w:p>
    <w:p w14:paraId="5AB8CD60">
      <w:pPr>
        <w:numPr>
          <w:ilvl w:val="0"/>
          <w:numId w:val="0"/>
        </w:numPr>
        <w:bidi w:val="0"/>
        <w:rPr>
          <w:rFonts w:hint="eastAsia"/>
          <w:lang w:val="en-US" w:eastAsia="zh-CN"/>
        </w:rPr>
      </w:pPr>
    </w:p>
    <w:p w14:paraId="5FABEF53">
      <w:pPr>
        <w:numPr>
          <w:ilvl w:val="0"/>
          <w:numId w:val="0"/>
        </w:numPr>
        <w:bidi w:val="0"/>
        <w:rPr>
          <w:rFonts w:hint="eastAsia"/>
          <w:lang w:val="en-US" w:eastAsia="zh-CN"/>
        </w:rPr>
      </w:pPr>
    </w:p>
    <w:p w14:paraId="0FF01A2F">
      <w:pPr>
        <w:numPr>
          <w:ilvl w:val="0"/>
          <w:numId w:val="0"/>
        </w:numPr>
        <w:bidi w:val="0"/>
        <w:rPr>
          <w:rFonts w:hint="eastAsia"/>
          <w:lang w:val="en-US" w:eastAsia="zh-CN"/>
        </w:rPr>
      </w:pPr>
    </w:p>
    <w:p w14:paraId="2ADE89F6">
      <w:pPr>
        <w:numPr>
          <w:ilvl w:val="0"/>
          <w:numId w:val="0"/>
        </w:numPr>
        <w:bidi w:val="0"/>
        <w:rPr>
          <w:rFonts w:hint="eastAsia"/>
          <w:lang w:val="en-US" w:eastAsia="zh-CN"/>
        </w:rPr>
      </w:pPr>
    </w:p>
    <w:p w14:paraId="05454910">
      <w:pPr>
        <w:numPr>
          <w:ilvl w:val="0"/>
          <w:numId w:val="0"/>
        </w:numPr>
        <w:bidi w:val="0"/>
        <w:rPr>
          <w:rFonts w:hint="eastAsia"/>
          <w:lang w:val="en-US" w:eastAsia="zh-CN"/>
        </w:rPr>
      </w:pPr>
    </w:p>
    <w:p w14:paraId="40CC7D1A">
      <w:pPr>
        <w:numPr>
          <w:ilvl w:val="0"/>
          <w:numId w:val="0"/>
        </w:numPr>
        <w:bidi w:val="0"/>
        <w:rPr>
          <w:rFonts w:hint="eastAsia"/>
          <w:lang w:val="en-US" w:eastAsia="zh-CN"/>
        </w:rPr>
      </w:pPr>
    </w:p>
    <w:p w14:paraId="214106E9">
      <w:pPr>
        <w:numPr>
          <w:ilvl w:val="0"/>
          <w:numId w:val="0"/>
        </w:numPr>
        <w:bidi w:val="0"/>
        <w:rPr>
          <w:rFonts w:hint="eastAsia"/>
          <w:lang w:val="en-US" w:eastAsia="zh-CN"/>
        </w:rPr>
      </w:pPr>
    </w:p>
    <w:p w14:paraId="52A07C0F">
      <w:pPr>
        <w:numPr>
          <w:ilvl w:val="0"/>
          <w:numId w:val="0"/>
        </w:numPr>
        <w:bidi w:val="0"/>
        <w:rPr>
          <w:rFonts w:hint="eastAsia"/>
          <w:lang w:val="en-US" w:eastAsia="zh-CN"/>
        </w:rPr>
      </w:pPr>
    </w:p>
    <w:p w14:paraId="356637CE">
      <w:pPr>
        <w:numPr>
          <w:ilvl w:val="0"/>
          <w:numId w:val="0"/>
        </w:numPr>
        <w:bidi w:val="0"/>
        <w:rPr>
          <w:rFonts w:hint="eastAsia"/>
          <w:lang w:val="en-US" w:eastAsia="zh-CN"/>
        </w:rPr>
      </w:pPr>
    </w:p>
    <w:p w14:paraId="0C1772CC">
      <w:pPr>
        <w:numPr>
          <w:ilvl w:val="0"/>
          <w:numId w:val="0"/>
        </w:numPr>
        <w:bidi w:val="0"/>
        <w:rPr>
          <w:rFonts w:hint="eastAsia"/>
          <w:lang w:val="en-US" w:eastAsia="zh-CN"/>
        </w:rPr>
      </w:pPr>
    </w:p>
    <w:p w14:paraId="13B438A0">
      <w:pPr>
        <w:numPr>
          <w:ilvl w:val="0"/>
          <w:numId w:val="0"/>
        </w:numPr>
        <w:bidi w:val="0"/>
        <w:rPr>
          <w:rFonts w:hint="eastAsia"/>
          <w:lang w:val="en-US" w:eastAsia="zh-CN"/>
        </w:rPr>
      </w:pPr>
    </w:p>
    <w:p w14:paraId="324363B7">
      <w:pPr>
        <w:numPr>
          <w:ilvl w:val="0"/>
          <w:numId w:val="0"/>
        </w:numPr>
        <w:bidi w:val="0"/>
        <w:rPr>
          <w:rFonts w:hint="eastAsia"/>
          <w:lang w:val="en-US" w:eastAsia="zh-CN"/>
        </w:rPr>
      </w:pPr>
    </w:p>
    <w:p w14:paraId="6893B6E6">
      <w:pPr>
        <w:numPr>
          <w:ilvl w:val="0"/>
          <w:numId w:val="0"/>
        </w:numPr>
        <w:bidi w:val="0"/>
        <w:rPr>
          <w:rFonts w:hint="eastAsia"/>
          <w:lang w:val="en-US" w:eastAsia="zh-CN"/>
        </w:rPr>
      </w:pPr>
    </w:p>
    <w:p w14:paraId="5013BFB4">
      <w:pPr>
        <w:numPr>
          <w:ilvl w:val="0"/>
          <w:numId w:val="0"/>
        </w:numPr>
        <w:bidi w:val="0"/>
        <w:rPr>
          <w:rFonts w:hint="eastAsia"/>
          <w:lang w:val="en-US" w:eastAsia="zh-CN"/>
        </w:rPr>
      </w:pPr>
    </w:p>
    <w:p w14:paraId="6BB83462">
      <w:pPr>
        <w:numPr>
          <w:ilvl w:val="0"/>
          <w:numId w:val="0"/>
        </w:numPr>
        <w:bidi w:val="0"/>
        <w:rPr>
          <w:rFonts w:hint="eastAsia"/>
          <w:lang w:val="en-US" w:eastAsia="zh-CN"/>
        </w:rPr>
      </w:pPr>
    </w:p>
    <w:p w14:paraId="469F5CE7">
      <w:pPr>
        <w:numPr>
          <w:ilvl w:val="0"/>
          <w:numId w:val="0"/>
        </w:numPr>
        <w:bidi w:val="0"/>
        <w:rPr>
          <w:rFonts w:hint="eastAsia"/>
          <w:lang w:val="en-US" w:eastAsia="zh-CN"/>
        </w:rPr>
      </w:pPr>
    </w:p>
    <w:p w14:paraId="359092EC">
      <w:pPr>
        <w:numPr>
          <w:ilvl w:val="0"/>
          <w:numId w:val="0"/>
        </w:numPr>
        <w:bidi w:val="0"/>
        <w:rPr>
          <w:rFonts w:hint="eastAsia"/>
          <w:lang w:val="en-US" w:eastAsia="zh-CN"/>
        </w:rPr>
      </w:pPr>
    </w:p>
    <w:p w14:paraId="00641A2F">
      <w:pPr>
        <w:numPr>
          <w:ilvl w:val="0"/>
          <w:numId w:val="0"/>
        </w:numPr>
        <w:bidi w:val="0"/>
        <w:rPr>
          <w:rFonts w:hint="eastAsia"/>
          <w:lang w:val="en-US" w:eastAsia="zh-CN"/>
        </w:rPr>
      </w:pPr>
    </w:p>
    <w:p w14:paraId="30890074">
      <w:pPr>
        <w:numPr>
          <w:ilvl w:val="0"/>
          <w:numId w:val="0"/>
        </w:numPr>
        <w:bidi w:val="0"/>
        <w:rPr>
          <w:rFonts w:hint="eastAsia"/>
          <w:lang w:val="en-US" w:eastAsia="zh-CN"/>
        </w:rPr>
      </w:pPr>
    </w:p>
    <w:p w14:paraId="728DFBCB">
      <w:pPr>
        <w:numPr>
          <w:ilvl w:val="0"/>
          <w:numId w:val="0"/>
        </w:numPr>
        <w:bidi w:val="0"/>
        <w:rPr>
          <w:rFonts w:hint="eastAsia"/>
          <w:lang w:val="en-US" w:eastAsia="zh-CN"/>
        </w:rPr>
      </w:pPr>
    </w:p>
    <w:p w14:paraId="76521390">
      <w:pPr>
        <w:numPr>
          <w:ilvl w:val="0"/>
          <w:numId w:val="0"/>
        </w:numPr>
        <w:bidi w:val="0"/>
        <w:rPr>
          <w:rFonts w:hint="eastAsia"/>
          <w:lang w:val="en-US" w:eastAsia="zh-CN"/>
        </w:rPr>
      </w:pPr>
    </w:p>
    <w:p w14:paraId="0FE764F4">
      <w:pPr>
        <w:numPr>
          <w:ilvl w:val="0"/>
          <w:numId w:val="0"/>
        </w:numPr>
        <w:bidi w:val="0"/>
        <w:rPr>
          <w:rFonts w:hint="eastAsia"/>
          <w:lang w:val="en-US" w:eastAsia="zh-CN"/>
        </w:rPr>
      </w:pPr>
    </w:p>
    <w:p w14:paraId="2E1F4BCD">
      <w:pPr>
        <w:numPr>
          <w:ilvl w:val="0"/>
          <w:numId w:val="0"/>
        </w:numPr>
        <w:bidi w:val="0"/>
        <w:rPr>
          <w:rFonts w:hint="eastAsia"/>
          <w:lang w:val="en-US" w:eastAsia="zh-CN"/>
        </w:rPr>
      </w:pPr>
    </w:p>
    <w:p w14:paraId="4131AC63">
      <w:pPr>
        <w:numPr>
          <w:ilvl w:val="0"/>
          <w:numId w:val="0"/>
        </w:numPr>
        <w:bidi w:val="0"/>
        <w:rPr>
          <w:rFonts w:hint="eastAsia"/>
          <w:lang w:val="en-US" w:eastAsia="zh-CN"/>
        </w:rPr>
      </w:pPr>
    </w:p>
    <w:p w14:paraId="6E12E369">
      <w:pPr>
        <w:numPr>
          <w:ilvl w:val="0"/>
          <w:numId w:val="0"/>
        </w:numPr>
        <w:bidi w:val="0"/>
        <w:rPr>
          <w:rFonts w:hint="eastAsia"/>
          <w:lang w:val="en-US" w:eastAsia="zh-CN"/>
        </w:rPr>
      </w:pPr>
    </w:p>
    <w:p w14:paraId="761BBCB2">
      <w:pPr>
        <w:numPr>
          <w:ilvl w:val="0"/>
          <w:numId w:val="0"/>
        </w:numPr>
        <w:bidi w:val="0"/>
        <w:rPr>
          <w:rFonts w:hint="eastAsia"/>
          <w:lang w:val="en-US" w:eastAsia="zh-CN"/>
        </w:rPr>
      </w:pPr>
    </w:p>
    <w:p w14:paraId="3CBDD25B">
      <w:pPr>
        <w:numPr>
          <w:ilvl w:val="0"/>
          <w:numId w:val="0"/>
        </w:numPr>
        <w:bidi w:val="0"/>
        <w:rPr>
          <w:rFonts w:hint="eastAsia"/>
          <w:lang w:val="en-US" w:eastAsia="zh-CN"/>
        </w:rPr>
      </w:pPr>
    </w:p>
    <w:p w14:paraId="638C1B14">
      <w:pPr>
        <w:numPr>
          <w:ilvl w:val="0"/>
          <w:numId w:val="0"/>
        </w:numPr>
        <w:bidi w:val="0"/>
        <w:rPr>
          <w:rFonts w:hint="eastAsia"/>
          <w:lang w:val="en-US" w:eastAsia="zh-CN"/>
        </w:rPr>
      </w:pPr>
    </w:p>
    <w:p w14:paraId="280BFD0C">
      <w:pPr>
        <w:pStyle w:val="3"/>
        <w:numPr>
          <w:ilvl w:val="0"/>
          <w:numId w:val="0"/>
        </w:numPr>
        <w:spacing w:before="0" w:after="0" w:line="360" w:lineRule="auto"/>
        <w:jc w:val="center"/>
        <w:rPr>
          <w:rFonts w:hint="eastAsia" w:ascii="宋体" w:hAnsi="宋体" w:eastAsia="宋体" w:cs="宋体"/>
          <w:bCs w:val="0"/>
          <w:color w:val="auto"/>
          <w:szCs w:val="21"/>
          <w:highlight w:val="none"/>
          <w:lang w:val="en-US" w:eastAsia="zh-CN"/>
        </w:rPr>
      </w:pPr>
      <w:bookmarkStart w:id="124" w:name="_Toc6561431"/>
      <w:bookmarkStart w:id="125" w:name="_Toc8902"/>
      <w:bookmarkStart w:id="126" w:name="_Toc492288519"/>
      <w:bookmarkStart w:id="127" w:name="_Toc23321"/>
      <w:bookmarkStart w:id="128" w:name="_Toc12548"/>
      <w:r>
        <w:rPr>
          <w:rFonts w:hint="eastAsia" w:ascii="宋体" w:hAnsi="宋体" w:eastAsia="宋体" w:cs="宋体"/>
          <w:bCs w:val="0"/>
          <w:color w:val="auto"/>
          <w:szCs w:val="21"/>
          <w:highlight w:val="none"/>
          <w:lang w:val="en-US" w:eastAsia="zh-CN"/>
        </w:rPr>
        <w:t>四、商务和技术偏差表</w:t>
      </w:r>
      <w:bookmarkEnd w:id="124"/>
      <w:bookmarkEnd w:id="125"/>
      <w:bookmarkEnd w:id="126"/>
      <w:bookmarkEnd w:id="127"/>
      <w:bookmarkEnd w:id="128"/>
    </w:p>
    <w:p w14:paraId="0AC3EF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ascii="Times New Roman" w:hAnsi="Times New Roman"/>
          <w:color w:val="auto"/>
          <w:highlight w:val="none"/>
        </w:rPr>
      </w:pPr>
      <w:r>
        <w:rPr>
          <w:rFonts w:hint="eastAsia"/>
          <w:color w:val="auto"/>
          <w:highlight w:val="none"/>
          <w:lang w:val="en-US" w:eastAsia="zh-CN"/>
        </w:rPr>
        <w:t>响应</w:t>
      </w:r>
      <w:r>
        <w:rPr>
          <w:rFonts w:hint="eastAsia"/>
          <w:color w:val="auto"/>
          <w:highlight w:val="none"/>
        </w:rPr>
        <w:t>人：</w:t>
      </w:r>
      <w:r>
        <w:rPr>
          <w:color w:val="auto"/>
          <w:szCs w:val="21"/>
          <w:highlight w:val="none"/>
          <w:u w:val="single"/>
        </w:rPr>
        <w:t xml:space="preserve">           </w:t>
      </w:r>
      <w:r>
        <w:rPr>
          <w:color w:val="auto"/>
          <w:szCs w:val="21"/>
          <w:highlight w:val="none"/>
          <w:u w:val="single"/>
        </w:rPr>
        <w:tab/>
      </w:r>
      <w:r>
        <w:rPr>
          <w:rFonts w:hint="eastAsia" w:ascii="宋体" w:hAnsi="宋体" w:cs="宋体"/>
          <w:color w:val="auto"/>
          <w:szCs w:val="21"/>
          <w:highlight w:val="none"/>
        </w:rPr>
        <w:t>（盖单位章）</w:t>
      </w:r>
    </w:p>
    <w:p w14:paraId="2F3B995D">
      <w:pPr>
        <w:numPr>
          <w:ilvl w:val="0"/>
          <w:numId w:val="0"/>
        </w:numPr>
        <w:rPr>
          <w:rFonts w:hint="eastAsia"/>
          <w:color w:val="auto"/>
          <w:highlight w:val="none"/>
          <w:lang w:val="en-US" w:eastAsia="zh-CN"/>
        </w:rPr>
      </w:pP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041"/>
        <w:gridCol w:w="3092"/>
        <w:gridCol w:w="2762"/>
        <w:gridCol w:w="1453"/>
      </w:tblGrid>
      <w:tr w14:paraId="6DD287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noWrap w:val="0"/>
            <w:vAlign w:val="center"/>
          </w:tcPr>
          <w:p w14:paraId="6D85BBCD">
            <w:pPr>
              <w:widowControl/>
              <w:snapToGrid w:val="0"/>
              <w:jc w:val="center"/>
              <w:rPr>
                <w:rFonts w:ascii="宋体" w:hAnsi="宋体"/>
                <w:b/>
                <w:color w:val="auto"/>
                <w:kern w:val="0"/>
                <w:szCs w:val="21"/>
                <w:highlight w:val="none"/>
              </w:rPr>
            </w:pPr>
            <w:r>
              <w:rPr>
                <w:rFonts w:hint="eastAsia" w:ascii="宋体" w:hAnsi="宋体"/>
                <w:color w:val="auto"/>
                <w:kern w:val="0"/>
                <w:szCs w:val="21"/>
                <w:highlight w:val="none"/>
                <w:lang w:val="en-US" w:eastAsia="zh-CN"/>
              </w:rPr>
              <w:t>偏差</w:t>
            </w:r>
          </w:p>
        </w:tc>
        <w:tc>
          <w:tcPr>
            <w:tcW w:w="1041" w:type="dxa"/>
            <w:noWrap w:val="0"/>
            <w:vAlign w:val="center"/>
          </w:tcPr>
          <w:p w14:paraId="1DAC07A8">
            <w:pPr>
              <w:widowControl/>
              <w:snapToGrid w:val="0"/>
              <w:jc w:val="center"/>
              <w:rPr>
                <w:rFonts w:ascii="宋体" w:hAnsi="宋体"/>
                <w:b/>
                <w:color w:val="auto"/>
                <w:kern w:val="0"/>
                <w:szCs w:val="21"/>
                <w:highlight w:val="none"/>
              </w:rPr>
            </w:pPr>
            <w:r>
              <w:rPr>
                <w:rFonts w:ascii="宋体" w:hAnsi="宋体"/>
                <w:b/>
                <w:color w:val="auto"/>
                <w:kern w:val="0"/>
                <w:szCs w:val="21"/>
                <w:highlight w:val="none"/>
              </w:rPr>
              <w:t>序号</w:t>
            </w:r>
          </w:p>
        </w:tc>
        <w:tc>
          <w:tcPr>
            <w:tcW w:w="3092" w:type="dxa"/>
            <w:noWrap w:val="0"/>
            <w:vAlign w:val="center"/>
          </w:tcPr>
          <w:p w14:paraId="27B72001">
            <w:pPr>
              <w:widowControl/>
              <w:snapToGrid w:val="0"/>
              <w:jc w:val="center"/>
              <w:rPr>
                <w:rFonts w:ascii="宋体" w:hAnsi="宋体"/>
                <w:b/>
                <w:color w:val="auto"/>
                <w:kern w:val="0"/>
                <w:szCs w:val="21"/>
                <w:highlight w:val="none"/>
              </w:rPr>
            </w:pPr>
            <w:r>
              <w:rPr>
                <w:rFonts w:hint="eastAsia" w:ascii="宋体" w:hAnsi="宋体"/>
                <w:b/>
                <w:color w:val="auto"/>
                <w:kern w:val="0"/>
                <w:szCs w:val="21"/>
                <w:highlight w:val="none"/>
                <w:lang w:eastAsia="zh-CN"/>
              </w:rPr>
              <w:t>竞争性谈判文件</w:t>
            </w:r>
            <w:r>
              <w:rPr>
                <w:rFonts w:ascii="宋体" w:hAnsi="宋体"/>
                <w:b/>
                <w:color w:val="auto"/>
                <w:kern w:val="0"/>
                <w:szCs w:val="21"/>
                <w:highlight w:val="none"/>
              </w:rPr>
              <w:t>章节及条款号</w:t>
            </w:r>
          </w:p>
        </w:tc>
        <w:tc>
          <w:tcPr>
            <w:tcW w:w="2762" w:type="dxa"/>
            <w:noWrap w:val="0"/>
            <w:vAlign w:val="center"/>
          </w:tcPr>
          <w:p w14:paraId="2C78B9DD">
            <w:pPr>
              <w:widowControl/>
              <w:snapToGrid w:val="0"/>
              <w:jc w:val="center"/>
              <w:rPr>
                <w:rFonts w:ascii="宋体" w:hAnsi="宋体"/>
                <w:b/>
                <w:color w:val="auto"/>
                <w:kern w:val="0"/>
                <w:szCs w:val="21"/>
                <w:highlight w:val="none"/>
              </w:rPr>
            </w:pPr>
            <w:r>
              <w:rPr>
                <w:rFonts w:hint="eastAsia" w:ascii="宋体" w:hAnsi="宋体" w:eastAsia="宋体"/>
                <w:b/>
                <w:color w:val="auto"/>
                <w:kern w:val="0"/>
                <w:szCs w:val="21"/>
                <w:highlight w:val="none"/>
                <w:lang w:eastAsia="zh-CN"/>
              </w:rPr>
              <w:t>响应</w:t>
            </w:r>
            <w:r>
              <w:rPr>
                <w:rFonts w:ascii="宋体" w:hAnsi="宋体"/>
                <w:b/>
                <w:color w:val="auto"/>
                <w:kern w:val="0"/>
                <w:szCs w:val="21"/>
                <w:highlight w:val="none"/>
              </w:rPr>
              <w:t>文件章节及条款号</w:t>
            </w:r>
          </w:p>
        </w:tc>
        <w:tc>
          <w:tcPr>
            <w:tcW w:w="1453" w:type="dxa"/>
            <w:noWrap w:val="0"/>
            <w:vAlign w:val="center"/>
          </w:tcPr>
          <w:p w14:paraId="50C5CE33">
            <w:pPr>
              <w:widowControl/>
              <w:snapToGrid w:val="0"/>
              <w:jc w:val="center"/>
              <w:rPr>
                <w:rFonts w:ascii="宋体" w:hAnsi="宋体"/>
                <w:b/>
                <w:color w:val="auto"/>
                <w:kern w:val="0"/>
                <w:szCs w:val="21"/>
                <w:highlight w:val="none"/>
              </w:rPr>
            </w:pPr>
            <w:r>
              <w:rPr>
                <w:rFonts w:ascii="宋体" w:hAnsi="宋体"/>
                <w:b/>
                <w:color w:val="auto"/>
                <w:kern w:val="0"/>
                <w:szCs w:val="21"/>
                <w:highlight w:val="none"/>
              </w:rPr>
              <w:t>偏差说明</w:t>
            </w:r>
          </w:p>
        </w:tc>
      </w:tr>
      <w:tr w14:paraId="66F8C3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noWrap w:val="0"/>
            <w:vAlign w:val="center"/>
          </w:tcPr>
          <w:p w14:paraId="225B1633">
            <w:pPr>
              <w:widowControl/>
              <w:snapToGrid w:val="0"/>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商务</w:t>
            </w:r>
          </w:p>
        </w:tc>
        <w:tc>
          <w:tcPr>
            <w:tcW w:w="1041" w:type="dxa"/>
            <w:noWrap w:val="0"/>
            <w:vAlign w:val="center"/>
          </w:tcPr>
          <w:p w14:paraId="5A579B9F">
            <w:pPr>
              <w:widowControl/>
              <w:snapToGrid w:val="0"/>
              <w:jc w:val="center"/>
              <w:rPr>
                <w:rFonts w:hint="default"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1</w:t>
            </w:r>
          </w:p>
        </w:tc>
        <w:tc>
          <w:tcPr>
            <w:tcW w:w="3092" w:type="dxa"/>
            <w:noWrap w:val="0"/>
            <w:vAlign w:val="center"/>
          </w:tcPr>
          <w:p w14:paraId="641D961F">
            <w:pPr>
              <w:widowControl/>
              <w:snapToGrid w:val="0"/>
              <w:jc w:val="center"/>
              <w:rPr>
                <w:rFonts w:ascii="宋体" w:hAnsi="宋体"/>
                <w:color w:val="auto"/>
                <w:kern w:val="0"/>
                <w:szCs w:val="21"/>
                <w:highlight w:val="none"/>
              </w:rPr>
            </w:pPr>
          </w:p>
        </w:tc>
        <w:tc>
          <w:tcPr>
            <w:tcW w:w="2762" w:type="dxa"/>
            <w:noWrap w:val="0"/>
            <w:vAlign w:val="center"/>
          </w:tcPr>
          <w:p w14:paraId="3A9512F1">
            <w:pPr>
              <w:widowControl/>
              <w:snapToGrid w:val="0"/>
              <w:jc w:val="center"/>
              <w:rPr>
                <w:rFonts w:ascii="宋体" w:hAnsi="宋体"/>
                <w:color w:val="auto"/>
                <w:kern w:val="0"/>
                <w:szCs w:val="21"/>
                <w:highlight w:val="none"/>
              </w:rPr>
            </w:pPr>
          </w:p>
        </w:tc>
        <w:tc>
          <w:tcPr>
            <w:tcW w:w="1453" w:type="dxa"/>
            <w:noWrap w:val="0"/>
            <w:vAlign w:val="center"/>
          </w:tcPr>
          <w:p w14:paraId="71555172">
            <w:pPr>
              <w:widowControl/>
              <w:snapToGrid w:val="0"/>
              <w:jc w:val="center"/>
              <w:rPr>
                <w:rFonts w:ascii="宋体" w:hAnsi="宋体"/>
                <w:color w:val="auto"/>
                <w:kern w:val="0"/>
                <w:szCs w:val="21"/>
                <w:highlight w:val="none"/>
              </w:rPr>
            </w:pPr>
          </w:p>
        </w:tc>
      </w:tr>
      <w:tr w14:paraId="06976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630780A9">
            <w:pPr>
              <w:widowControl/>
              <w:snapToGrid w:val="0"/>
              <w:jc w:val="center"/>
              <w:rPr>
                <w:rFonts w:ascii="宋体" w:hAnsi="宋体"/>
                <w:color w:val="auto"/>
                <w:kern w:val="0"/>
                <w:szCs w:val="21"/>
                <w:highlight w:val="none"/>
              </w:rPr>
            </w:pPr>
          </w:p>
        </w:tc>
        <w:tc>
          <w:tcPr>
            <w:tcW w:w="1041" w:type="dxa"/>
            <w:noWrap w:val="0"/>
            <w:vAlign w:val="center"/>
          </w:tcPr>
          <w:p w14:paraId="2EE30357">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2</w:t>
            </w:r>
          </w:p>
        </w:tc>
        <w:tc>
          <w:tcPr>
            <w:tcW w:w="3092" w:type="dxa"/>
            <w:noWrap w:val="0"/>
            <w:vAlign w:val="center"/>
          </w:tcPr>
          <w:p w14:paraId="144C240E">
            <w:pPr>
              <w:widowControl/>
              <w:snapToGrid w:val="0"/>
              <w:jc w:val="center"/>
              <w:rPr>
                <w:rFonts w:ascii="宋体" w:hAnsi="宋体"/>
                <w:color w:val="auto"/>
                <w:kern w:val="0"/>
                <w:szCs w:val="21"/>
                <w:highlight w:val="none"/>
              </w:rPr>
            </w:pPr>
          </w:p>
        </w:tc>
        <w:tc>
          <w:tcPr>
            <w:tcW w:w="2762" w:type="dxa"/>
            <w:noWrap w:val="0"/>
            <w:vAlign w:val="center"/>
          </w:tcPr>
          <w:p w14:paraId="096F56DA">
            <w:pPr>
              <w:widowControl/>
              <w:snapToGrid w:val="0"/>
              <w:jc w:val="center"/>
              <w:rPr>
                <w:rFonts w:ascii="宋体" w:hAnsi="宋体"/>
                <w:color w:val="auto"/>
                <w:kern w:val="0"/>
                <w:szCs w:val="21"/>
                <w:highlight w:val="none"/>
              </w:rPr>
            </w:pPr>
          </w:p>
        </w:tc>
        <w:tc>
          <w:tcPr>
            <w:tcW w:w="1453" w:type="dxa"/>
            <w:noWrap w:val="0"/>
            <w:vAlign w:val="center"/>
          </w:tcPr>
          <w:p w14:paraId="041CE511">
            <w:pPr>
              <w:widowControl/>
              <w:snapToGrid w:val="0"/>
              <w:jc w:val="center"/>
              <w:rPr>
                <w:rFonts w:ascii="宋体" w:hAnsi="宋体"/>
                <w:color w:val="auto"/>
                <w:kern w:val="0"/>
                <w:szCs w:val="21"/>
                <w:highlight w:val="none"/>
              </w:rPr>
            </w:pPr>
          </w:p>
        </w:tc>
      </w:tr>
      <w:tr w14:paraId="73F4DE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3A915545">
            <w:pPr>
              <w:widowControl/>
              <w:snapToGrid w:val="0"/>
              <w:jc w:val="center"/>
              <w:rPr>
                <w:rFonts w:ascii="宋体" w:hAnsi="宋体"/>
                <w:color w:val="auto"/>
                <w:kern w:val="0"/>
                <w:szCs w:val="21"/>
                <w:highlight w:val="none"/>
              </w:rPr>
            </w:pPr>
          </w:p>
        </w:tc>
        <w:tc>
          <w:tcPr>
            <w:tcW w:w="1041" w:type="dxa"/>
            <w:noWrap w:val="0"/>
            <w:vAlign w:val="center"/>
          </w:tcPr>
          <w:p w14:paraId="13D5FFD0">
            <w:pPr>
              <w:widowControl/>
              <w:snapToGrid w:val="0"/>
              <w:jc w:val="center"/>
              <w:rPr>
                <w:rFonts w:hint="default" w:ascii="宋体" w:hAnsi="宋体" w:eastAsia="宋体"/>
                <w:color w:val="auto"/>
                <w:kern w:val="0"/>
                <w:szCs w:val="21"/>
                <w:highlight w:val="none"/>
                <w:lang w:val="en-US" w:eastAsia="zh-CN"/>
              </w:rPr>
            </w:pPr>
            <w:r>
              <w:rPr>
                <w:rFonts w:ascii="宋体" w:hAnsi="宋体"/>
                <w:color w:val="auto"/>
                <w:kern w:val="0"/>
                <w:szCs w:val="21"/>
                <w:highlight w:val="none"/>
              </w:rPr>
              <w:t>……</w:t>
            </w:r>
          </w:p>
        </w:tc>
        <w:tc>
          <w:tcPr>
            <w:tcW w:w="3092" w:type="dxa"/>
            <w:noWrap w:val="0"/>
            <w:vAlign w:val="center"/>
          </w:tcPr>
          <w:p w14:paraId="42910809">
            <w:pPr>
              <w:widowControl/>
              <w:snapToGrid w:val="0"/>
              <w:jc w:val="center"/>
              <w:rPr>
                <w:rFonts w:ascii="宋体" w:hAnsi="宋体"/>
                <w:color w:val="auto"/>
                <w:kern w:val="0"/>
                <w:szCs w:val="21"/>
                <w:highlight w:val="none"/>
              </w:rPr>
            </w:pPr>
          </w:p>
        </w:tc>
        <w:tc>
          <w:tcPr>
            <w:tcW w:w="2762" w:type="dxa"/>
            <w:noWrap w:val="0"/>
            <w:vAlign w:val="center"/>
          </w:tcPr>
          <w:p w14:paraId="109FA42B">
            <w:pPr>
              <w:widowControl/>
              <w:snapToGrid w:val="0"/>
              <w:jc w:val="center"/>
              <w:rPr>
                <w:rFonts w:ascii="宋体" w:hAnsi="宋体"/>
                <w:color w:val="auto"/>
                <w:kern w:val="0"/>
                <w:szCs w:val="21"/>
                <w:highlight w:val="none"/>
              </w:rPr>
            </w:pPr>
          </w:p>
        </w:tc>
        <w:tc>
          <w:tcPr>
            <w:tcW w:w="1453" w:type="dxa"/>
            <w:noWrap w:val="0"/>
            <w:vAlign w:val="center"/>
          </w:tcPr>
          <w:p w14:paraId="0437C930">
            <w:pPr>
              <w:widowControl/>
              <w:snapToGrid w:val="0"/>
              <w:jc w:val="center"/>
              <w:rPr>
                <w:rFonts w:ascii="宋体" w:hAnsi="宋体"/>
                <w:color w:val="auto"/>
                <w:kern w:val="0"/>
                <w:szCs w:val="21"/>
                <w:highlight w:val="none"/>
              </w:rPr>
            </w:pPr>
          </w:p>
        </w:tc>
      </w:tr>
      <w:tr w14:paraId="2C23D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noWrap w:val="0"/>
            <w:vAlign w:val="center"/>
          </w:tcPr>
          <w:p w14:paraId="28BC974A">
            <w:pPr>
              <w:widowControl/>
              <w:snapToGri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val="en-US" w:eastAsia="zh-CN"/>
              </w:rPr>
              <w:t>技术</w:t>
            </w:r>
          </w:p>
        </w:tc>
        <w:tc>
          <w:tcPr>
            <w:tcW w:w="1041" w:type="dxa"/>
            <w:noWrap w:val="0"/>
            <w:vAlign w:val="center"/>
          </w:tcPr>
          <w:p w14:paraId="7554B30D">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1</w:t>
            </w:r>
          </w:p>
        </w:tc>
        <w:tc>
          <w:tcPr>
            <w:tcW w:w="3092" w:type="dxa"/>
            <w:noWrap w:val="0"/>
            <w:vAlign w:val="center"/>
          </w:tcPr>
          <w:p w14:paraId="75D2BEAB">
            <w:pPr>
              <w:widowControl/>
              <w:snapToGrid w:val="0"/>
              <w:jc w:val="center"/>
              <w:rPr>
                <w:rFonts w:ascii="宋体" w:hAnsi="宋体"/>
                <w:color w:val="auto"/>
                <w:kern w:val="0"/>
                <w:szCs w:val="21"/>
                <w:highlight w:val="none"/>
              </w:rPr>
            </w:pPr>
          </w:p>
        </w:tc>
        <w:tc>
          <w:tcPr>
            <w:tcW w:w="2762" w:type="dxa"/>
            <w:noWrap w:val="0"/>
            <w:vAlign w:val="center"/>
          </w:tcPr>
          <w:p w14:paraId="73519039">
            <w:pPr>
              <w:widowControl/>
              <w:snapToGrid w:val="0"/>
              <w:jc w:val="center"/>
              <w:rPr>
                <w:rFonts w:ascii="宋体" w:hAnsi="宋体"/>
                <w:color w:val="auto"/>
                <w:kern w:val="0"/>
                <w:szCs w:val="21"/>
                <w:highlight w:val="none"/>
              </w:rPr>
            </w:pPr>
          </w:p>
        </w:tc>
        <w:tc>
          <w:tcPr>
            <w:tcW w:w="1453" w:type="dxa"/>
            <w:noWrap w:val="0"/>
            <w:vAlign w:val="center"/>
          </w:tcPr>
          <w:p w14:paraId="7BEA7437">
            <w:pPr>
              <w:widowControl/>
              <w:snapToGrid w:val="0"/>
              <w:jc w:val="center"/>
              <w:rPr>
                <w:rFonts w:ascii="宋体" w:hAnsi="宋体"/>
                <w:color w:val="auto"/>
                <w:kern w:val="0"/>
                <w:szCs w:val="21"/>
                <w:highlight w:val="none"/>
              </w:rPr>
            </w:pPr>
          </w:p>
        </w:tc>
      </w:tr>
      <w:tr w14:paraId="69FC2E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6DB3EA75">
            <w:pPr>
              <w:widowControl/>
              <w:snapToGrid w:val="0"/>
              <w:jc w:val="center"/>
              <w:rPr>
                <w:rFonts w:ascii="宋体" w:hAnsi="宋体"/>
                <w:color w:val="auto"/>
                <w:kern w:val="0"/>
                <w:szCs w:val="21"/>
                <w:highlight w:val="none"/>
              </w:rPr>
            </w:pPr>
          </w:p>
        </w:tc>
        <w:tc>
          <w:tcPr>
            <w:tcW w:w="1041" w:type="dxa"/>
            <w:noWrap w:val="0"/>
            <w:vAlign w:val="center"/>
          </w:tcPr>
          <w:p w14:paraId="40BDEC7A">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2</w:t>
            </w:r>
          </w:p>
        </w:tc>
        <w:tc>
          <w:tcPr>
            <w:tcW w:w="3092" w:type="dxa"/>
            <w:noWrap w:val="0"/>
            <w:vAlign w:val="center"/>
          </w:tcPr>
          <w:p w14:paraId="1C571C37">
            <w:pPr>
              <w:widowControl/>
              <w:snapToGrid w:val="0"/>
              <w:jc w:val="center"/>
              <w:rPr>
                <w:rFonts w:ascii="宋体" w:hAnsi="宋体"/>
                <w:color w:val="auto"/>
                <w:kern w:val="0"/>
                <w:szCs w:val="21"/>
                <w:highlight w:val="none"/>
              </w:rPr>
            </w:pPr>
          </w:p>
        </w:tc>
        <w:tc>
          <w:tcPr>
            <w:tcW w:w="2762" w:type="dxa"/>
            <w:noWrap w:val="0"/>
            <w:vAlign w:val="center"/>
          </w:tcPr>
          <w:p w14:paraId="0367A345">
            <w:pPr>
              <w:widowControl/>
              <w:snapToGrid w:val="0"/>
              <w:jc w:val="center"/>
              <w:rPr>
                <w:rFonts w:ascii="宋体" w:hAnsi="宋体"/>
                <w:color w:val="auto"/>
                <w:kern w:val="0"/>
                <w:szCs w:val="21"/>
                <w:highlight w:val="none"/>
              </w:rPr>
            </w:pPr>
          </w:p>
        </w:tc>
        <w:tc>
          <w:tcPr>
            <w:tcW w:w="1453" w:type="dxa"/>
            <w:noWrap w:val="0"/>
            <w:vAlign w:val="center"/>
          </w:tcPr>
          <w:p w14:paraId="643DAA29">
            <w:pPr>
              <w:widowControl/>
              <w:snapToGrid w:val="0"/>
              <w:jc w:val="center"/>
              <w:rPr>
                <w:rFonts w:ascii="宋体" w:hAnsi="宋体"/>
                <w:color w:val="auto"/>
                <w:kern w:val="0"/>
                <w:szCs w:val="21"/>
                <w:highlight w:val="none"/>
              </w:rPr>
            </w:pPr>
          </w:p>
        </w:tc>
      </w:tr>
      <w:tr w14:paraId="40376C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1130" w:type="dxa"/>
            <w:vMerge w:val="continue"/>
            <w:noWrap w:val="0"/>
            <w:vAlign w:val="center"/>
          </w:tcPr>
          <w:p w14:paraId="4AD4E4BF">
            <w:pPr>
              <w:widowControl/>
              <w:snapToGrid w:val="0"/>
              <w:jc w:val="center"/>
              <w:rPr>
                <w:rFonts w:ascii="宋体" w:hAnsi="宋体"/>
                <w:color w:val="auto"/>
                <w:kern w:val="0"/>
                <w:szCs w:val="21"/>
                <w:highlight w:val="none"/>
              </w:rPr>
            </w:pPr>
          </w:p>
        </w:tc>
        <w:tc>
          <w:tcPr>
            <w:tcW w:w="1041" w:type="dxa"/>
            <w:noWrap w:val="0"/>
            <w:vAlign w:val="center"/>
          </w:tcPr>
          <w:p w14:paraId="29EB078F">
            <w:pPr>
              <w:widowControl/>
              <w:snapToGrid w:val="0"/>
              <w:jc w:val="center"/>
              <w:rPr>
                <w:rFonts w:ascii="宋体" w:hAnsi="宋体"/>
                <w:color w:val="auto"/>
                <w:kern w:val="0"/>
                <w:szCs w:val="21"/>
                <w:highlight w:val="none"/>
              </w:rPr>
            </w:pPr>
            <w:r>
              <w:rPr>
                <w:rFonts w:ascii="宋体" w:hAnsi="宋体"/>
                <w:color w:val="auto"/>
                <w:kern w:val="0"/>
                <w:szCs w:val="21"/>
                <w:highlight w:val="none"/>
              </w:rPr>
              <w:t>……</w:t>
            </w:r>
          </w:p>
        </w:tc>
        <w:tc>
          <w:tcPr>
            <w:tcW w:w="3092" w:type="dxa"/>
            <w:noWrap w:val="0"/>
            <w:vAlign w:val="center"/>
          </w:tcPr>
          <w:p w14:paraId="4619BAE6">
            <w:pPr>
              <w:widowControl/>
              <w:snapToGrid w:val="0"/>
              <w:jc w:val="center"/>
              <w:rPr>
                <w:rFonts w:ascii="宋体" w:hAnsi="宋体"/>
                <w:color w:val="auto"/>
                <w:kern w:val="0"/>
                <w:szCs w:val="21"/>
                <w:highlight w:val="none"/>
              </w:rPr>
            </w:pPr>
          </w:p>
        </w:tc>
        <w:tc>
          <w:tcPr>
            <w:tcW w:w="2762" w:type="dxa"/>
            <w:noWrap w:val="0"/>
            <w:vAlign w:val="center"/>
          </w:tcPr>
          <w:p w14:paraId="5D64C549">
            <w:pPr>
              <w:widowControl/>
              <w:snapToGrid w:val="0"/>
              <w:jc w:val="center"/>
              <w:rPr>
                <w:rFonts w:ascii="宋体" w:hAnsi="宋体"/>
                <w:color w:val="auto"/>
                <w:kern w:val="0"/>
                <w:szCs w:val="21"/>
                <w:highlight w:val="none"/>
              </w:rPr>
            </w:pPr>
          </w:p>
        </w:tc>
        <w:tc>
          <w:tcPr>
            <w:tcW w:w="1453" w:type="dxa"/>
            <w:noWrap w:val="0"/>
            <w:vAlign w:val="center"/>
          </w:tcPr>
          <w:p w14:paraId="6F2BCEF9">
            <w:pPr>
              <w:widowControl/>
              <w:snapToGrid w:val="0"/>
              <w:jc w:val="center"/>
              <w:rPr>
                <w:rFonts w:ascii="宋体" w:hAnsi="宋体"/>
                <w:color w:val="auto"/>
                <w:kern w:val="0"/>
                <w:szCs w:val="21"/>
                <w:highlight w:val="none"/>
              </w:rPr>
            </w:pPr>
          </w:p>
        </w:tc>
      </w:tr>
    </w:tbl>
    <w:p w14:paraId="2B4D6497">
      <w:pPr>
        <w:rPr>
          <w:rFonts w:ascii="Times New Roman" w:hAnsi="Times New Roman"/>
          <w:color w:val="auto"/>
          <w:szCs w:val="21"/>
          <w:highlight w:val="none"/>
        </w:rPr>
      </w:pPr>
      <w:r>
        <w:rPr>
          <w:rFonts w:hint="eastAsia" w:ascii="Times New Roman" w:hAnsi="Times New Roman"/>
          <w:color w:val="auto"/>
          <w:szCs w:val="21"/>
          <w:highlight w:val="none"/>
        </w:rPr>
        <w:t>注：1</w:t>
      </w:r>
      <w:r>
        <w:rPr>
          <w:rFonts w:ascii="Times New Roman" w:hAnsi="Times New Roman"/>
          <w:color w:val="auto"/>
          <w:szCs w:val="21"/>
          <w:highlight w:val="none"/>
        </w:rPr>
        <w:t>.</w:t>
      </w:r>
      <w:r>
        <w:rPr>
          <w:rFonts w:hint="eastAsia" w:ascii="Times New Roman" w:hAnsi="Times New Roman" w:eastAsia="宋体"/>
          <w:color w:val="auto"/>
          <w:szCs w:val="21"/>
          <w:highlight w:val="none"/>
          <w:lang w:eastAsia="zh-CN"/>
        </w:rPr>
        <w:t>响应</w:t>
      </w:r>
      <w:r>
        <w:rPr>
          <w:rFonts w:ascii="Times New Roman" w:hAnsi="Times New Roman"/>
          <w:color w:val="auto"/>
          <w:szCs w:val="21"/>
          <w:highlight w:val="none"/>
        </w:rPr>
        <w:t>人</w:t>
      </w:r>
      <w:r>
        <w:rPr>
          <w:rFonts w:hint="eastAsia" w:ascii="Times New Roman" w:hAnsi="Times New Roman"/>
          <w:color w:val="auto"/>
          <w:szCs w:val="21"/>
          <w:highlight w:val="none"/>
          <w:lang w:val="en-US" w:eastAsia="zh-CN"/>
        </w:rPr>
        <w:t>保证</w:t>
      </w:r>
      <w:r>
        <w:rPr>
          <w:rFonts w:ascii="Times New Roman" w:hAnsi="Times New Roman"/>
          <w:color w:val="auto"/>
          <w:szCs w:val="21"/>
          <w:highlight w:val="none"/>
        </w:rPr>
        <w:t>：除商务和技术偏差表列出的偏差外，</w:t>
      </w:r>
      <w:r>
        <w:rPr>
          <w:rFonts w:hint="eastAsia" w:ascii="Times New Roman" w:hAnsi="Times New Roman" w:eastAsia="宋体"/>
          <w:color w:val="auto"/>
          <w:szCs w:val="21"/>
          <w:highlight w:val="none"/>
          <w:lang w:eastAsia="zh-CN"/>
        </w:rPr>
        <w:t>响应</w:t>
      </w:r>
      <w:r>
        <w:rPr>
          <w:rFonts w:ascii="Times New Roman" w:hAnsi="Times New Roman"/>
          <w:color w:val="auto"/>
          <w:szCs w:val="21"/>
          <w:highlight w:val="none"/>
        </w:rPr>
        <w:t>人响应</w:t>
      </w:r>
      <w:r>
        <w:rPr>
          <w:rFonts w:hint="eastAsia" w:ascii="Times New Roman" w:hAnsi="Times New Roman"/>
          <w:color w:val="auto"/>
          <w:szCs w:val="21"/>
          <w:highlight w:val="none"/>
          <w:lang w:eastAsia="zh-CN"/>
        </w:rPr>
        <w:t>竞争性谈判文件</w:t>
      </w:r>
      <w:r>
        <w:rPr>
          <w:rFonts w:ascii="Times New Roman" w:hAnsi="Times New Roman"/>
          <w:color w:val="auto"/>
          <w:szCs w:val="21"/>
          <w:highlight w:val="none"/>
        </w:rPr>
        <w:t>的全部要求</w:t>
      </w:r>
      <w:r>
        <w:rPr>
          <w:rFonts w:hint="eastAsia" w:ascii="Times New Roman" w:hAnsi="Times New Roman"/>
          <w:color w:val="auto"/>
          <w:szCs w:val="21"/>
          <w:highlight w:val="none"/>
        </w:rPr>
        <w:t>；</w:t>
      </w:r>
    </w:p>
    <w:p w14:paraId="26F96FBF">
      <w:pPr>
        <w:numPr>
          <w:ilvl w:val="0"/>
          <w:numId w:val="0"/>
        </w:numPr>
        <w:ind w:firstLine="420" w:firstLineChars="200"/>
        <w:rPr>
          <w:rFonts w:hint="eastAsia"/>
          <w:color w:val="auto"/>
          <w:highlight w:val="none"/>
        </w:rPr>
      </w:pPr>
      <w:r>
        <w:rPr>
          <w:rFonts w:hint="eastAsia" w:eastAsia="宋体"/>
          <w:color w:val="auto"/>
          <w:highlight w:val="none"/>
          <w:lang w:val="en-US" w:eastAsia="zh-CN"/>
        </w:rPr>
        <w:t>2.</w:t>
      </w:r>
      <w:r>
        <w:rPr>
          <w:rFonts w:hint="eastAsia" w:eastAsia="宋体"/>
          <w:color w:val="auto"/>
          <w:highlight w:val="none"/>
          <w:lang w:eastAsia="zh-CN"/>
        </w:rPr>
        <w:t>响应</w:t>
      </w:r>
      <w:r>
        <w:rPr>
          <w:rFonts w:hint="eastAsia"/>
          <w:color w:val="auto"/>
          <w:highlight w:val="none"/>
        </w:rPr>
        <w:t>人要按所提供的表格填写</w:t>
      </w:r>
      <w:r>
        <w:rPr>
          <w:rFonts w:hint="eastAsia" w:eastAsia="宋体"/>
          <w:color w:val="auto"/>
          <w:highlight w:val="none"/>
          <w:lang w:eastAsia="zh-CN"/>
        </w:rPr>
        <w:t>响应</w:t>
      </w:r>
      <w:r>
        <w:rPr>
          <w:rFonts w:hint="eastAsia"/>
          <w:color w:val="auto"/>
          <w:highlight w:val="none"/>
        </w:rPr>
        <w:t>文件和</w:t>
      </w:r>
      <w:r>
        <w:rPr>
          <w:rFonts w:hint="eastAsia"/>
          <w:color w:val="auto"/>
          <w:highlight w:val="none"/>
          <w:lang w:eastAsia="zh-CN"/>
        </w:rPr>
        <w:t>竞争性谈判文件</w:t>
      </w:r>
      <w:r>
        <w:rPr>
          <w:rFonts w:hint="eastAsia"/>
          <w:color w:val="auto"/>
          <w:highlight w:val="none"/>
        </w:rPr>
        <w:t>之间的偏差</w:t>
      </w:r>
      <w:r>
        <w:rPr>
          <w:rFonts w:hint="eastAsia"/>
          <w:color w:val="auto"/>
          <w:highlight w:val="none"/>
          <w:lang w:eastAsia="zh-CN"/>
        </w:rPr>
        <w:t>，</w:t>
      </w:r>
      <w:r>
        <w:rPr>
          <w:rFonts w:hint="eastAsia"/>
          <w:color w:val="auto"/>
          <w:highlight w:val="none"/>
        </w:rPr>
        <w:t>并将商务和技术偏差分别</w:t>
      </w:r>
      <w:r>
        <w:rPr>
          <w:rFonts w:hint="eastAsia"/>
          <w:color w:val="auto"/>
          <w:highlight w:val="none"/>
          <w:lang w:val="en-US" w:eastAsia="zh-CN"/>
        </w:rPr>
        <w:t>列出；</w:t>
      </w:r>
    </w:p>
    <w:p w14:paraId="366F2318">
      <w:pPr>
        <w:ind w:firstLine="410"/>
        <w:rPr>
          <w:color w:val="auto"/>
          <w:highlight w:val="none"/>
        </w:rPr>
      </w:pPr>
      <w:r>
        <w:rPr>
          <w:rFonts w:hint="eastAsia"/>
          <w:color w:val="auto"/>
          <w:highlight w:val="none"/>
          <w:lang w:val="en-US" w:eastAsia="zh-CN"/>
        </w:rPr>
        <w:t>3.</w:t>
      </w:r>
      <w:r>
        <w:rPr>
          <w:rFonts w:hint="eastAsia"/>
          <w:color w:val="auto"/>
          <w:highlight w:val="none"/>
        </w:rPr>
        <w:t>响应人在上表中未提出偏差，视为完全响应</w:t>
      </w:r>
      <w:r>
        <w:rPr>
          <w:rFonts w:hint="eastAsia" w:ascii="Times New Roman" w:hAnsi="Times New Roman"/>
          <w:color w:val="auto"/>
          <w:szCs w:val="21"/>
          <w:highlight w:val="none"/>
          <w:lang w:eastAsia="zh-CN"/>
        </w:rPr>
        <w:t>竞争性谈判文件</w:t>
      </w:r>
      <w:r>
        <w:rPr>
          <w:rFonts w:hint="eastAsia"/>
          <w:color w:val="auto"/>
          <w:highlight w:val="none"/>
        </w:rPr>
        <w:t>。</w:t>
      </w:r>
    </w:p>
    <w:p w14:paraId="49C7E204">
      <w:pPr>
        <w:ind w:firstLine="410"/>
        <w:rPr>
          <w:color w:val="auto"/>
          <w:highlight w:val="none"/>
        </w:rPr>
      </w:pPr>
    </w:p>
    <w:p w14:paraId="17B07305">
      <w:pPr>
        <w:ind w:firstLine="410"/>
        <w:rPr>
          <w:color w:val="auto"/>
          <w:highlight w:val="none"/>
        </w:rPr>
      </w:pPr>
    </w:p>
    <w:p w14:paraId="4E701ABB">
      <w:pPr>
        <w:pStyle w:val="3"/>
        <w:numPr>
          <w:ilvl w:val="0"/>
          <w:numId w:val="0"/>
        </w:numPr>
        <w:spacing w:before="0" w:after="0" w:line="360" w:lineRule="auto"/>
        <w:jc w:val="center"/>
        <w:outlineLvl w:val="1"/>
        <w:rPr>
          <w:rFonts w:hint="eastAsia" w:ascii="宋体" w:hAnsi="宋体" w:eastAsia="宋体" w:cs="宋体"/>
          <w:bCs w:val="0"/>
          <w:szCs w:val="21"/>
          <w:lang w:val="en-US" w:eastAsia="zh-CN"/>
        </w:rPr>
      </w:pPr>
      <w:r>
        <w:rPr>
          <w:rFonts w:hint="eastAsia" w:ascii="宋体" w:hAnsi="宋体" w:cs="宋体"/>
          <w:bCs w:val="0"/>
          <w:szCs w:val="21"/>
          <w:lang w:val="en-US" w:eastAsia="zh-CN"/>
        </w:rPr>
        <w:t xml:space="preserve">IV </w:t>
      </w:r>
      <w:r>
        <w:rPr>
          <w:rFonts w:hint="eastAsia" w:ascii="宋体" w:hAnsi="宋体" w:eastAsia="宋体" w:cs="宋体"/>
          <w:bCs w:val="0"/>
          <w:szCs w:val="21"/>
          <w:lang w:val="en-US" w:eastAsia="zh-CN"/>
        </w:rPr>
        <w:t>Tableau des écarts commerciaux et techniques</w:t>
      </w:r>
    </w:p>
    <w:p w14:paraId="0BAB8E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ascii="Times New Roman" w:hAnsi="Times New Roman"/>
          <w:color w:val="auto"/>
          <w:highlight w:val="none"/>
        </w:rPr>
      </w:pPr>
      <w:r>
        <w:rPr>
          <w:rFonts w:hint="eastAsia"/>
          <w:highlight w:val="none"/>
          <w:lang w:val="en-US" w:eastAsia="zh-CN"/>
        </w:rPr>
        <w:t>répondant</w:t>
      </w:r>
      <w:r>
        <w:rPr>
          <w:rFonts w:hint="eastAsia"/>
          <w:highlight w:val="none"/>
        </w:rPr>
        <w:t>：</w:t>
      </w:r>
      <w:r>
        <w:rPr>
          <w:szCs w:val="21"/>
          <w:highlight w:val="none"/>
          <w:u w:val="single"/>
        </w:rPr>
        <w:t xml:space="preserve">           </w:t>
      </w:r>
      <w:r>
        <w:rPr>
          <w:szCs w:val="21"/>
          <w:highlight w:val="none"/>
          <w:u w:val="single"/>
        </w:rPr>
        <w:tab/>
      </w:r>
      <w:r>
        <w:rPr>
          <w:rFonts w:hint="eastAsia" w:eastAsia="宋体" w:cs="Times New Roman"/>
          <w:highlight w:val="none"/>
          <w:lang w:val="en-US" w:eastAsia="zh-CN"/>
        </w:rPr>
        <w:t>（apposer un label de qualité）</w:t>
      </w:r>
    </w:p>
    <w:p w14:paraId="2EC7023E">
      <w:pPr>
        <w:numPr>
          <w:ilvl w:val="0"/>
          <w:numId w:val="0"/>
        </w:numPr>
        <w:rPr>
          <w:rFonts w:hint="eastAsia"/>
          <w:lang w:val="en-US" w:eastAsia="zh-CN"/>
        </w:rPr>
      </w:pP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041"/>
        <w:gridCol w:w="3092"/>
        <w:gridCol w:w="2762"/>
        <w:gridCol w:w="1453"/>
      </w:tblGrid>
      <w:tr w14:paraId="08ACC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3" w:hRule="exact"/>
          <w:jc w:val="center"/>
        </w:trPr>
        <w:tc>
          <w:tcPr>
            <w:tcW w:w="1130" w:type="dxa"/>
            <w:noWrap w:val="0"/>
            <w:vAlign w:val="center"/>
          </w:tcPr>
          <w:p w14:paraId="4F94DAB1">
            <w:pPr>
              <w:widowControl/>
              <w:snapToGrid w:val="0"/>
              <w:jc w:val="center"/>
              <w:rPr>
                <w:rFonts w:hint="eastAsia" w:ascii="宋体" w:hAnsi="宋体"/>
                <w:color w:val="auto"/>
                <w:kern w:val="0"/>
                <w:szCs w:val="21"/>
                <w:highlight w:val="none"/>
                <w:lang w:val="en-US" w:eastAsia="zh-CN"/>
              </w:rPr>
            </w:pPr>
            <w:r>
              <w:rPr>
                <w:rFonts w:hint="eastAsia" w:ascii="宋体" w:hAnsi="宋体" w:eastAsia="宋体" w:cs="Times New Roman"/>
                <w:b/>
                <w:color w:val="auto"/>
                <w:kern w:val="0"/>
                <w:szCs w:val="21"/>
                <w:highlight w:val="none"/>
                <w:lang w:val="en-US" w:eastAsia="zh-CN"/>
              </w:rPr>
              <w:t>désalignement</w:t>
            </w:r>
          </w:p>
        </w:tc>
        <w:tc>
          <w:tcPr>
            <w:tcW w:w="1041" w:type="dxa"/>
            <w:noWrap w:val="0"/>
            <w:vAlign w:val="center"/>
          </w:tcPr>
          <w:p w14:paraId="5C44FC49">
            <w:pPr>
              <w:widowControl/>
              <w:snapToGrid w:val="0"/>
              <w:jc w:val="center"/>
              <w:rPr>
                <w:rFonts w:ascii="宋体" w:hAnsi="宋体"/>
                <w:b/>
                <w:color w:val="auto"/>
                <w:kern w:val="0"/>
                <w:szCs w:val="21"/>
                <w:highlight w:val="none"/>
              </w:rPr>
            </w:pPr>
            <w:r>
              <w:rPr>
                <w:rFonts w:hint="eastAsia" w:ascii="宋体" w:hAnsi="宋体"/>
                <w:b/>
                <w:color w:val="auto"/>
                <w:kern w:val="0"/>
                <w:szCs w:val="21"/>
                <w:highlight w:val="none"/>
              </w:rPr>
              <w:t>numéro de série</w:t>
            </w:r>
          </w:p>
        </w:tc>
        <w:tc>
          <w:tcPr>
            <w:tcW w:w="3092" w:type="dxa"/>
            <w:noWrap w:val="0"/>
            <w:vAlign w:val="center"/>
          </w:tcPr>
          <w:p w14:paraId="41083429">
            <w:pPr>
              <w:widowControl/>
              <w:snapToGrid w:val="0"/>
              <w:jc w:val="center"/>
              <w:rPr>
                <w:rFonts w:ascii="宋体" w:hAnsi="宋体"/>
                <w:b/>
                <w:color w:val="auto"/>
                <w:kern w:val="0"/>
                <w:szCs w:val="21"/>
                <w:highlight w:val="none"/>
              </w:rPr>
            </w:pPr>
            <w:r>
              <w:rPr>
                <w:rFonts w:hint="eastAsia" w:ascii="宋体" w:hAnsi="宋体"/>
                <w:b/>
                <w:color w:val="auto"/>
                <w:kern w:val="0"/>
                <w:szCs w:val="21"/>
                <w:highlight w:val="none"/>
              </w:rPr>
              <w:t>Section et clause de l'appel d'offres</w:t>
            </w:r>
          </w:p>
        </w:tc>
        <w:tc>
          <w:tcPr>
            <w:tcW w:w="2762" w:type="dxa"/>
            <w:noWrap w:val="0"/>
            <w:vAlign w:val="center"/>
          </w:tcPr>
          <w:p w14:paraId="72B9706F">
            <w:pPr>
              <w:widowControl/>
              <w:snapToGrid w:val="0"/>
              <w:jc w:val="center"/>
              <w:rPr>
                <w:rFonts w:ascii="宋体" w:hAnsi="宋体"/>
                <w:b/>
                <w:color w:val="auto"/>
                <w:kern w:val="0"/>
                <w:szCs w:val="21"/>
                <w:highlight w:val="none"/>
              </w:rPr>
            </w:pPr>
            <w:r>
              <w:rPr>
                <w:rFonts w:hint="eastAsia" w:ascii="宋体" w:hAnsi="宋体"/>
                <w:b/>
                <w:color w:val="auto"/>
                <w:kern w:val="0"/>
                <w:szCs w:val="21"/>
                <w:highlight w:val="none"/>
              </w:rPr>
              <w:t>Section et numéro de clause du document de réponse</w:t>
            </w:r>
          </w:p>
        </w:tc>
        <w:tc>
          <w:tcPr>
            <w:tcW w:w="1453" w:type="dxa"/>
            <w:noWrap w:val="0"/>
            <w:vAlign w:val="center"/>
          </w:tcPr>
          <w:p w14:paraId="5507AEBD">
            <w:pPr>
              <w:widowControl/>
              <w:snapToGrid w:val="0"/>
              <w:jc w:val="center"/>
              <w:rPr>
                <w:rFonts w:ascii="宋体" w:hAnsi="宋体"/>
                <w:b/>
                <w:color w:val="auto"/>
                <w:kern w:val="0"/>
                <w:szCs w:val="21"/>
                <w:highlight w:val="none"/>
              </w:rPr>
            </w:pPr>
            <w:r>
              <w:rPr>
                <w:rFonts w:hint="eastAsia" w:ascii="宋体" w:hAnsi="宋体"/>
                <w:b/>
                <w:color w:val="auto"/>
                <w:kern w:val="0"/>
                <w:szCs w:val="21"/>
                <w:highlight w:val="none"/>
              </w:rPr>
              <w:t>Description des écarts</w:t>
            </w:r>
          </w:p>
        </w:tc>
      </w:tr>
      <w:tr w14:paraId="55DEF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noWrap w:val="0"/>
            <w:vAlign w:val="center"/>
          </w:tcPr>
          <w:p w14:paraId="25C18A1A">
            <w:pPr>
              <w:widowControl/>
              <w:snapToGrid w:val="0"/>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affaires commerciales</w:t>
            </w:r>
          </w:p>
        </w:tc>
        <w:tc>
          <w:tcPr>
            <w:tcW w:w="1041" w:type="dxa"/>
            <w:noWrap w:val="0"/>
            <w:vAlign w:val="center"/>
          </w:tcPr>
          <w:p w14:paraId="32FC3E9F">
            <w:pPr>
              <w:widowControl/>
              <w:snapToGrid w:val="0"/>
              <w:jc w:val="center"/>
              <w:rPr>
                <w:rFonts w:hint="default"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1</w:t>
            </w:r>
          </w:p>
        </w:tc>
        <w:tc>
          <w:tcPr>
            <w:tcW w:w="3092" w:type="dxa"/>
            <w:noWrap w:val="0"/>
            <w:vAlign w:val="center"/>
          </w:tcPr>
          <w:p w14:paraId="045069EF">
            <w:pPr>
              <w:widowControl/>
              <w:snapToGrid w:val="0"/>
              <w:jc w:val="center"/>
              <w:rPr>
                <w:rFonts w:ascii="宋体" w:hAnsi="宋体"/>
                <w:color w:val="auto"/>
                <w:kern w:val="0"/>
                <w:szCs w:val="21"/>
                <w:highlight w:val="none"/>
              </w:rPr>
            </w:pPr>
          </w:p>
        </w:tc>
        <w:tc>
          <w:tcPr>
            <w:tcW w:w="2762" w:type="dxa"/>
            <w:noWrap w:val="0"/>
            <w:vAlign w:val="center"/>
          </w:tcPr>
          <w:p w14:paraId="5A0984A0">
            <w:pPr>
              <w:widowControl/>
              <w:snapToGrid w:val="0"/>
              <w:jc w:val="center"/>
              <w:rPr>
                <w:rFonts w:ascii="宋体" w:hAnsi="宋体"/>
                <w:color w:val="auto"/>
                <w:kern w:val="0"/>
                <w:szCs w:val="21"/>
                <w:highlight w:val="none"/>
              </w:rPr>
            </w:pPr>
          </w:p>
        </w:tc>
        <w:tc>
          <w:tcPr>
            <w:tcW w:w="1453" w:type="dxa"/>
            <w:noWrap w:val="0"/>
            <w:vAlign w:val="center"/>
          </w:tcPr>
          <w:p w14:paraId="099A2350">
            <w:pPr>
              <w:widowControl/>
              <w:snapToGrid w:val="0"/>
              <w:jc w:val="center"/>
              <w:rPr>
                <w:rFonts w:ascii="宋体" w:hAnsi="宋体"/>
                <w:color w:val="auto"/>
                <w:kern w:val="0"/>
                <w:szCs w:val="21"/>
                <w:highlight w:val="none"/>
              </w:rPr>
            </w:pPr>
          </w:p>
        </w:tc>
      </w:tr>
      <w:tr w14:paraId="53FE9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1BD16849">
            <w:pPr>
              <w:widowControl/>
              <w:snapToGrid w:val="0"/>
              <w:jc w:val="center"/>
              <w:rPr>
                <w:rFonts w:ascii="宋体" w:hAnsi="宋体"/>
                <w:color w:val="auto"/>
                <w:kern w:val="0"/>
                <w:szCs w:val="21"/>
                <w:highlight w:val="none"/>
              </w:rPr>
            </w:pPr>
          </w:p>
        </w:tc>
        <w:tc>
          <w:tcPr>
            <w:tcW w:w="1041" w:type="dxa"/>
            <w:noWrap w:val="0"/>
            <w:vAlign w:val="center"/>
          </w:tcPr>
          <w:p w14:paraId="5B29A90E">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2</w:t>
            </w:r>
          </w:p>
        </w:tc>
        <w:tc>
          <w:tcPr>
            <w:tcW w:w="3092" w:type="dxa"/>
            <w:noWrap w:val="0"/>
            <w:vAlign w:val="center"/>
          </w:tcPr>
          <w:p w14:paraId="060B6184">
            <w:pPr>
              <w:widowControl/>
              <w:snapToGrid w:val="0"/>
              <w:jc w:val="center"/>
              <w:rPr>
                <w:rFonts w:ascii="宋体" w:hAnsi="宋体"/>
                <w:color w:val="auto"/>
                <w:kern w:val="0"/>
                <w:szCs w:val="21"/>
                <w:highlight w:val="none"/>
              </w:rPr>
            </w:pPr>
          </w:p>
        </w:tc>
        <w:tc>
          <w:tcPr>
            <w:tcW w:w="2762" w:type="dxa"/>
            <w:noWrap w:val="0"/>
            <w:vAlign w:val="center"/>
          </w:tcPr>
          <w:p w14:paraId="564DE593">
            <w:pPr>
              <w:widowControl/>
              <w:snapToGrid w:val="0"/>
              <w:jc w:val="center"/>
              <w:rPr>
                <w:rFonts w:ascii="宋体" w:hAnsi="宋体"/>
                <w:color w:val="auto"/>
                <w:kern w:val="0"/>
                <w:szCs w:val="21"/>
                <w:highlight w:val="none"/>
              </w:rPr>
            </w:pPr>
          </w:p>
        </w:tc>
        <w:tc>
          <w:tcPr>
            <w:tcW w:w="1453" w:type="dxa"/>
            <w:noWrap w:val="0"/>
            <w:vAlign w:val="center"/>
          </w:tcPr>
          <w:p w14:paraId="4CEB7BCA">
            <w:pPr>
              <w:widowControl/>
              <w:snapToGrid w:val="0"/>
              <w:jc w:val="center"/>
              <w:rPr>
                <w:rFonts w:ascii="宋体" w:hAnsi="宋体"/>
                <w:color w:val="auto"/>
                <w:kern w:val="0"/>
                <w:szCs w:val="21"/>
                <w:highlight w:val="none"/>
              </w:rPr>
            </w:pPr>
          </w:p>
        </w:tc>
      </w:tr>
      <w:tr w14:paraId="089CB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0B01F596">
            <w:pPr>
              <w:widowControl/>
              <w:snapToGrid w:val="0"/>
              <w:jc w:val="center"/>
              <w:rPr>
                <w:rFonts w:ascii="宋体" w:hAnsi="宋体"/>
                <w:color w:val="auto"/>
                <w:kern w:val="0"/>
                <w:szCs w:val="21"/>
                <w:highlight w:val="none"/>
              </w:rPr>
            </w:pPr>
          </w:p>
        </w:tc>
        <w:tc>
          <w:tcPr>
            <w:tcW w:w="1041" w:type="dxa"/>
            <w:noWrap w:val="0"/>
            <w:vAlign w:val="center"/>
          </w:tcPr>
          <w:p w14:paraId="0739E677">
            <w:pPr>
              <w:widowControl/>
              <w:snapToGrid w:val="0"/>
              <w:jc w:val="center"/>
              <w:rPr>
                <w:rFonts w:hint="default" w:ascii="宋体" w:hAnsi="宋体" w:eastAsia="宋体"/>
                <w:color w:val="auto"/>
                <w:kern w:val="0"/>
                <w:szCs w:val="21"/>
                <w:highlight w:val="none"/>
                <w:lang w:val="en-US" w:eastAsia="zh-CN"/>
              </w:rPr>
            </w:pPr>
            <w:r>
              <w:rPr>
                <w:rFonts w:ascii="宋体" w:hAnsi="宋体"/>
                <w:color w:val="auto"/>
                <w:kern w:val="0"/>
                <w:szCs w:val="21"/>
                <w:highlight w:val="none"/>
              </w:rPr>
              <w:t>……</w:t>
            </w:r>
          </w:p>
        </w:tc>
        <w:tc>
          <w:tcPr>
            <w:tcW w:w="3092" w:type="dxa"/>
            <w:noWrap w:val="0"/>
            <w:vAlign w:val="center"/>
          </w:tcPr>
          <w:p w14:paraId="780A2181">
            <w:pPr>
              <w:widowControl/>
              <w:snapToGrid w:val="0"/>
              <w:jc w:val="center"/>
              <w:rPr>
                <w:rFonts w:ascii="宋体" w:hAnsi="宋体"/>
                <w:color w:val="auto"/>
                <w:kern w:val="0"/>
                <w:szCs w:val="21"/>
                <w:highlight w:val="none"/>
              </w:rPr>
            </w:pPr>
          </w:p>
        </w:tc>
        <w:tc>
          <w:tcPr>
            <w:tcW w:w="2762" w:type="dxa"/>
            <w:noWrap w:val="0"/>
            <w:vAlign w:val="center"/>
          </w:tcPr>
          <w:p w14:paraId="61C564F5">
            <w:pPr>
              <w:widowControl/>
              <w:snapToGrid w:val="0"/>
              <w:jc w:val="center"/>
              <w:rPr>
                <w:rFonts w:ascii="宋体" w:hAnsi="宋体"/>
                <w:color w:val="auto"/>
                <w:kern w:val="0"/>
                <w:szCs w:val="21"/>
                <w:highlight w:val="none"/>
              </w:rPr>
            </w:pPr>
          </w:p>
        </w:tc>
        <w:tc>
          <w:tcPr>
            <w:tcW w:w="1453" w:type="dxa"/>
            <w:noWrap w:val="0"/>
            <w:vAlign w:val="center"/>
          </w:tcPr>
          <w:p w14:paraId="29251ECE">
            <w:pPr>
              <w:widowControl/>
              <w:snapToGrid w:val="0"/>
              <w:jc w:val="center"/>
              <w:rPr>
                <w:rFonts w:ascii="宋体" w:hAnsi="宋体"/>
                <w:color w:val="auto"/>
                <w:kern w:val="0"/>
                <w:szCs w:val="21"/>
                <w:highlight w:val="none"/>
              </w:rPr>
            </w:pPr>
          </w:p>
        </w:tc>
      </w:tr>
      <w:tr w14:paraId="3F910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noWrap w:val="0"/>
            <w:vAlign w:val="center"/>
          </w:tcPr>
          <w:p w14:paraId="657E9548">
            <w:pPr>
              <w:widowControl/>
              <w:snapToGri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val="en-US" w:eastAsia="zh-CN"/>
              </w:rPr>
              <w:t>compétence</w:t>
            </w:r>
          </w:p>
        </w:tc>
        <w:tc>
          <w:tcPr>
            <w:tcW w:w="1041" w:type="dxa"/>
            <w:noWrap w:val="0"/>
            <w:vAlign w:val="center"/>
          </w:tcPr>
          <w:p w14:paraId="727B499F">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1</w:t>
            </w:r>
          </w:p>
        </w:tc>
        <w:tc>
          <w:tcPr>
            <w:tcW w:w="3092" w:type="dxa"/>
            <w:noWrap w:val="0"/>
            <w:vAlign w:val="center"/>
          </w:tcPr>
          <w:p w14:paraId="4EEA453E">
            <w:pPr>
              <w:widowControl/>
              <w:snapToGrid w:val="0"/>
              <w:jc w:val="center"/>
              <w:rPr>
                <w:rFonts w:ascii="宋体" w:hAnsi="宋体"/>
                <w:color w:val="auto"/>
                <w:kern w:val="0"/>
                <w:szCs w:val="21"/>
                <w:highlight w:val="none"/>
              </w:rPr>
            </w:pPr>
          </w:p>
        </w:tc>
        <w:tc>
          <w:tcPr>
            <w:tcW w:w="2762" w:type="dxa"/>
            <w:noWrap w:val="0"/>
            <w:vAlign w:val="center"/>
          </w:tcPr>
          <w:p w14:paraId="21A9E6B2">
            <w:pPr>
              <w:widowControl/>
              <w:snapToGrid w:val="0"/>
              <w:jc w:val="center"/>
              <w:rPr>
                <w:rFonts w:ascii="宋体" w:hAnsi="宋体"/>
                <w:color w:val="auto"/>
                <w:kern w:val="0"/>
                <w:szCs w:val="21"/>
                <w:highlight w:val="none"/>
              </w:rPr>
            </w:pPr>
          </w:p>
        </w:tc>
        <w:tc>
          <w:tcPr>
            <w:tcW w:w="1453" w:type="dxa"/>
            <w:noWrap w:val="0"/>
            <w:vAlign w:val="center"/>
          </w:tcPr>
          <w:p w14:paraId="7A695512">
            <w:pPr>
              <w:widowControl/>
              <w:snapToGrid w:val="0"/>
              <w:jc w:val="center"/>
              <w:rPr>
                <w:rFonts w:ascii="宋体" w:hAnsi="宋体"/>
                <w:color w:val="auto"/>
                <w:kern w:val="0"/>
                <w:szCs w:val="21"/>
                <w:highlight w:val="none"/>
              </w:rPr>
            </w:pPr>
          </w:p>
        </w:tc>
      </w:tr>
      <w:tr w14:paraId="22DE05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02D82605">
            <w:pPr>
              <w:widowControl/>
              <w:snapToGrid w:val="0"/>
              <w:jc w:val="center"/>
              <w:rPr>
                <w:rFonts w:ascii="宋体" w:hAnsi="宋体"/>
                <w:color w:val="auto"/>
                <w:kern w:val="0"/>
                <w:szCs w:val="21"/>
                <w:highlight w:val="none"/>
              </w:rPr>
            </w:pPr>
          </w:p>
        </w:tc>
        <w:tc>
          <w:tcPr>
            <w:tcW w:w="1041" w:type="dxa"/>
            <w:noWrap w:val="0"/>
            <w:vAlign w:val="center"/>
          </w:tcPr>
          <w:p w14:paraId="2878CF39">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2</w:t>
            </w:r>
          </w:p>
        </w:tc>
        <w:tc>
          <w:tcPr>
            <w:tcW w:w="3092" w:type="dxa"/>
            <w:noWrap w:val="0"/>
            <w:vAlign w:val="center"/>
          </w:tcPr>
          <w:p w14:paraId="526B6C1E">
            <w:pPr>
              <w:widowControl/>
              <w:snapToGrid w:val="0"/>
              <w:jc w:val="center"/>
              <w:rPr>
                <w:rFonts w:ascii="宋体" w:hAnsi="宋体"/>
                <w:color w:val="auto"/>
                <w:kern w:val="0"/>
                <w:szCs w:val="21"/>
                <w:highlight w:val="none"/>
              </w:rPr>
            </w:pPr>
          </w:p>
        </w:tc>
        <w:tc>
          <w:tcPr>
            <w:tcW w:w="2762" w:type="dxa"/>
            <w:noWrap w:val="0"/>
            <w:vAlign w:val="center"/>
          </w:tcPr>
          <w:p w14:paraId="19889B45">
            <w:pPr>
              <w:widowControl/>
              <w:snapToGrid w:val="0"/>
              <w:jc w:val="center"/>
              <w:rPr>
                <w:rFonts w:ascii="宋体" w:hAnsi="宋体"/>
                <w:color w:val="auto"/>
                <w:kern w:val="0"/>
                <w:szCs w:val="21"/>
                <w:highlight w:val="none"/>
              </w:rPr>
            </w:pPr>
          </w:p>
        </w:tc>
        <w:tc>
          <w:tcPr>
            <w:tcW w:w="1453" w:type="dxa"/>
            <w:noWrap w:val="0"/>
            <w:vAlign w:val="center"/>
          </w:tcPr>
          <w:p w14:paraId="44752938">
            <w:pPr>
              <w:widowControl/>
              <w:snapToGrid w:val="0"/>
              <w:jc w:val="center"/>
              <w:rPr>
                <w:rFonts w:ascii="宋体" w:hAnsi="宋体"/>
                <w:color w:val="auto"/>
                <w:kern w:val="0"/>
                <w:szCs w:val="21"/>
                <w:highlight w:val="none"/>
              </w:rPr>
            </w:pPr>
          </w:p>
        </w:tc>
      </w:tr>
      <w:tr w14:paraId="16CE02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1130" w:type="dxa"/>
            <w:vMerge w:val="continue"/>
            <w:noWrap w:val="0"/>
            <w:vAlign w:val="center"/>
          </w:tcPr>
          <w:p w14:paraId="57480DF0">
            <w:pPr>
              <w:widowControl/>
              <w:snapToGrid w:val="0"/>
              <w:jc w:val="center"/>
              <w:rPr>
                <w:rFonts w:ascii="宋体" w:hAnsi="宋体"/>
                <w:color w:val="auto"/>
                <w:kern w:val="0"/>
                <w:szCs w:val="21"/>
                <w:highlight w:val="none"/>
              </w:rPr>
            </w:pPr>
          </w:p>
        </w:tc>
        <w:tc>
          <w:tcPr>
            <w:tcW w:w="1041" w:type="dxa"/>
            <w:noWrap w:val="0"/>
            <w:vAlign w:val="center"/>
          </w:tcPr>
          <w:p w14:paraId="08430D31">
            <w:pPr>
              <w:widowControl/>
              <w:snapToGrid w:val="0"/>
              <w:jc w:val="center"/>
              <w:rPr>
                <w:rFonts w:ascii="宋体" w:hAnsi="宋体"/>
                <w:color w:val="auto"/>
                <w:kern w:val="0"/>
                <w:szCs w:val="21"/>
                <w:highlight w:val="none"/>
              </w:rPr>
            </w:pPr>
            <w:r>
              <w:rPr>
                <w:rFonts w:ascii="宋体" w:hAnsi="宋体"/>
                <w:color w:val="auto"/>
                <w:kern w:val="0"/>
                <w:szCs w:val="21"/>
                <w:highlight w:val="none"/>
              </w:rPr>
              <w:t>……</w:t>
            </w:r>
          </w:p>
        </w:tc>
        <w:tc>
          <w:tcPr>
            <w:tcW w:w="3092" w:type="dxa"/>
            <w:noWrap w:val="0"/>
            <w:vAlign w:val="center"/>
          </w:tcPr>
          <w:p w14:paraId="09266499">
            <w:pPr>
              <w:widowControl/>
              <w:snapToGrid w:val="0"/>
              <w:jc w:val="center"/>
              <w:rPr>
                <w:rFonts w:ascii="宋体" w:hAnsi="宋体"/>
                <w:color w:val="auto"/>
                <w:kern w:val="0"/>
                <w:szCs w:val="21"/>
                <w:highlight w:val="none"/>
              </w:rPr>
            </w:pPr>
          </w:p>
        </w:tc>
        <w:tc>
          <w:tcPr>
            <w:tcW w:w="2762" w:type="dxa"/>
            <w:noWrap w:val="0"/>
            <w:vAlign w:val="center"/>
          </w:tcPr>
          <w:p w14:paraId="3ED98779">
            <w:pPr>
              <w:widowControl/>
              <w:snapToGrid w:val="0"/>
              <w:jc w:val="center"/>
              <w:rPr>
                <w:rFonts w:ascii="宋体" w:hAnsi="宋体"/>
                <w:color w:val="auto"/>
                <w:kern w:val="0"/>
                <w:szCs w:val="21"/>
                <w:highlight w:val="none"/>
              </w:rPr>
            </w:pPr>
          </w:p>
        </w:tc>
        <w:tc>
          <w:tcPr>
            <w:tcW w:w="1453" w:type="dxa"/>
            <w:noWrap w:val="0"/>
            <w:vAlign w:val="center"/>
          </w:tcPr>
          <w:p w14:paraId="77E4A872">
            <w:pPr>
              <w:widowControl/>
              <w:snapToGrid w:val="0"/>
              <w:jc w:val="center"/>
              <w:rPr>
                <w:rFonts w:ascii="宋体" w:hAnsi="宋体"/>
                <w:color w:val="auto"/>
                <w:kern w:val="0"/>
                <w:szCs w:val="21"/>
                <w:highlight w:val="none"/>
              </w:rPr>
            </w:pPr>
          </w:p>
        </w:tc>
      </w:tr>
    </w:tbl>
    <w:p w14:paraId="5FA5F06D">
      <w:pPr>
        <w:ind w:firstLine="410"/>
        <w:rPr>
          <w:rFonts w:hint="eastAsia" w:ascii="Times New Roman" w:hAnsi="Times New Roman"/>
          <w:color w:val="auto"/>
          <w:szCs w:val="21"/>
          <w:highlight w:val="none"/>
        </w:rPr>
      </w:pPr>
      <w:r>
        <w:rPr>
          <w:rFonts w:hint="eastAsia" w:ascii="Times New Roman" w:hAnsi="Times New Roman"/>
          <w:color w:val="auto"/>
          <w:szCs w:val="21"/>
          <w:highlight w:val="none"/>
        </w:rPr>
        <w:t>Note : 1) Le soumissionnaire garantit que, à l'exception des écarts énumérés dans le tableau des écarts commerciaux et techniques, il répondra à toutes les exigences du document du RFQ ;</w:t>
      </w:r>
    </w:p>
    <w:p w14:paraId="5F5E4721">
      <w:pPr>
        <w:ind w:firstLine="410"/>
        <w:rPr>
          <w:rFonts w:hint="eastAsia" w:ascii="Times New Roman" w:hAnsi="Times New Roman"/>
          <w:color w:val="auto"/>
          <w:szCs w:val="21"/>
          <w:highlight w:val="none"/>
        </w:rPr>
      </w:pPr>
      <w:r>
        <w:rPr>
          <w:rFonts w:hint="eastAsia" w:ascii="Times New Roman" w:hAnsi="Times New Roman"/>
          <w:color w:val="auto"/>
          <w:szCs w:val="21"/>
          <w:highlight w:val="none"/>
        </w:rPr>
        <w:t>2) Le soumissionnaire doit indiquer les écarts entre le document de réponse et le document de demande de propositions conformément au tableau fourni, et énumérer les écarts commerciaux et techniques séparément ;</w:t>
      </w:r>
    </w:p>
    <w:p w14:paraId="7DEB4BC8">
      <w:pPr>
        <w:ind w:firstLine="410"/>
        <w:rPr>
          <w:color w:val="auto"/>
          <w:highlight w:val="none"/>
        </w:rPr>
      </w:pPr>
      <w:r>
        <w:rPr>
          <w:rFonts w:hint="eastAsia" w:ascii="Times New Roman" w:hAnsi="Times New Roman"/>
          <w:color w:val="auto"/>
          <w:szCs w:val="21"/>
          <w:highlight w:val="none"/>
        </w:rPr>
        <w:t>3. les soumissionnaires qui ne proposent pas de divergences dans le tableau ci-dessus sont réputés avoir pleinement répondu aux documents de l'appel d'offres.</w:t>
      </w:r>
    </w:p>
    <w:p w14:paraId="1DC5CB6C">
      <w:pPr>
        <w:ind w:firstLine="410"/>
        <w:rPr>
          <w:color w:val="auto"/>
          <w:highlight w:val="none"/>
        </w:rPr>
      </w:pPr>
    </w:p>
    <w:p w14:paraId="2838BB9A">
      <w:pPr>
        <w:ind w:firstLine="410"/>
        <w:rPr>
          <w:rFonts w:ascii="Times New Roman" w:hAnsi="Times New Roman"/>
          <w:color w:val="auto"/>
          <w:szCs w:val="21"/>
          <w:highlight w:val="none"/>
        </w:rPr>
      </w:pPr>
    </w:p>
    <w:p w14:paraId="17A98963">
      <w:pPr>
        <w:pStyle w:val="3"/>
        <w:keepLines w:val="0"/>
        <w:pageBreakBefore w:val="0"/>
        <w:widowControl w:val="0"/>
        <w:kinsoku/>
        <w:wordWrap/>
        <w:overflowPunct/>
        <w:topLinePunct w:val="0"/>
        <w:autoSpaceDE/>
        <w:autoSpaceDN/>
        <w:bidi w:val="0"/>
        <w:snapToGrid/>
        <w:spacing w:before="0" w:after="0" w:line="360" w:lineRule="auto"/>
        <w:ind w:left="0" w:leftChars="0" w:right="0" w:rightChars="0"/>
        <w:jc w:val="center"/>
        <w:rPr>
          <w:rFonts w:hint="eastAsia" w:ascii="宋体" w:hAnsi="宋体" w:eastAsia="宋体" w:cs="宋体"/>
          <w:b/>
          <w:bCs w:val="0"/>
          <w:color w:val="auto"/>
          <w:kern w:val="2"/>
          <w:sz w:val="28"/>
          <w:szCs w:val="21"/>
          <w:highlight w:val="none"/>
          <w:lang w:val="en-US" w:eastAsia="zh-CN" w:bidi="ar-SA"/>
        </w:rPr>
      </w:pPr>
      <w:r>
        <w:rPr>
          <w:rFonts w:ascii="Times New Roman" w:hAnsi="Times New Roman" w:eastAsia="黑体"/>
          <w:color w:val="auto"/>
          <w:sz w:val="20"/>
          <w:highlight w:val="none"/>
        </w:rPr>
        <w:br w:type="page"/>
      </w:r>
      <w:bookmarkStart w:id="129" w:name="_Toc492288523"/>
      <w:bookmarkStart w:id="130" w:name="_Toc6561435"/>
      <w:bookmarkStart w:id="131" w:name="_Toc27797"/>
      <w:bookmarkStart w:id="132" w:name="_Toc7213"/>
      <w:bookmarkStart w:id="133" w:name="_Toc6561436"/>
      <w:bookmarkStart w:id="134" w:name="_Toc492288524"/>
      <w:r>
        <w:rPr>
          <w:rFonts w:hint="eastAsia" w:ascii="宋体" w:hAnsi="宋体" w:eastAsia="宋体" w:cs="宋体"/>
          <w:b/>
          <w:bCs w:val="0"/>
          <w:color w:val="auto"/>
          <w:kern w:val="2"/>
          <w:sz w:val="28"/>
          <w:szCs w:val="21"/>
          <w:highlight w:val="none"/>
          <w:lang w:val="en-US" w:eastAsia="zh-CN" w:bidi="ar-SA"/>
        </w:rPr>
        <w:t>五、</w:t>
      </w:r>
      <w:bookmarkEnd w:id="129"/>
      <w:bookmarkEnd w:id="130"/>
      <w:r>
        <w:rPr>
          <w:rFonts w:hint="eastAsia" w:ascii="宋体" w:hAnsi="宋体" w:eastAsia="宋体" w:cs="宋体"/>
          <w:b/>
          <w:bCs w:val="0"/>
          <w:color w:val="auto"/>
          <w:kern w:val="2"/>
          <w:sz w:val="28"/>
          <w:szCs w:val="21"/>
          <w:highlight w:val="none"/>
          <w:lang w:val="en-US" w:eastAsia="zh-CN" w:bidi="ar-SA"/>
        </w:rPr>
        <w:t>资格审查资料</w:t>
      </w:r>
      <w:bookmarkEnd w:id="131"/>
      <w:bookmarkEnd w:id="132"/>
    </w:p>
    <w:p w14:paraId="49B96026">
      <w:pPr>
        <w:keepLines w:val="0"/>
        <w:pageBreakBefore w:val="0"/>
        <w:widowControl w:val="0"/>
        <w:kinsoku/>
        <w:wordWrap/>
        <w:overflowPunct/>
        <w:topLinePunct w:val="0"/>
        <w:autoSpaceDE/>
        <w:autoSpaceDN/>
        <w:bidi w:val="0"/>
        <w:snapToGrid/>
        <w:spacing w:before="0" w:after="0" w:line="360" w:lineRule="auto"/>
        <w:ind w:left="0" w:leftChars="0" w:right="0" w:rightChars="0"/>
        <w:jc w:val="center"/>
        <w:outlineLvl w:val="9"/>
        <w:rPr>
          <w:rFonts w:hint="eastAsia" w:ascii="Times New Roman"/>
          <w:b/>
          <w:bCs/>
          <w:color w:val="auto"/>
          <w:kern w:val="2"/>
          <w:sz w:val="21"/>
          <w:szCs w:val="21"/>
          <w:highlight w:val="none"/>
          <w:lang w:val="en-US" w:eastAsia="zh-CN" w:bidi="ar-SA"/>
        </w:rPr>
      </w:pPr>
      <w:bookmarkStart w:id="135" w:name="_Toc15348"/>
      <w:r>
        <w:rPr>
          <w:rFonts w:hint="eastAsia" w:ascii="Times New Roman"/>
          <w:b/>
          <w:bCs/>
          <w:color w:val="auto"/>
          <w:kern w:val="2"/>
          <w:sz w:val="21"/>
          <w:szCs w:val="21"/>
          <w:highlight w:val="none"/>
          <w:lang w:val="en-US" w:eastAsia="zh-CN" w:bidi="ar-SA"/>
        </w:rPr>
        <w:t>V. Informations sur l'éligibilité</w:t>
      </w:r>
    </w:p>
    <w:p w14:paraId="688925D3">
      <w:pPr>
        <w:keepLines w:val="0"/>
        <w:pageBreakBefore w:val="0"/>
        <w:widowControl w:val="0"/>
        <w:kinsoku/>
        <w:wordWrap/>
        <w:overflowPunct/>
        <w:topLinePunct w:val="0"/>
        <w:autoSpaceDE/>
        <w:autoSpaceDN/>
        <w:bidi w:val="0"/>
        <w:snapToGrid/>
        <w:spacing w:before="0" w:after="0" w:line="360" w:lineRule="auto"/>
        <w:ind w:left="0" w:leftChars="0" w:right="0" w:rightChars="0"/>
        <w:jc w:val="center"/>
        <w:outlineLvl w:val="9"/>
        <w:rPr>
          <w:rFonts w:hint="eastAsia" w:ascii="Times New Roman"/>
          <w:b w:val="0"/>
          <w:color w:val="auto"/>
          <w:kern w:val="2"/>
          <w:sz w:val="21"/>
          <w:szCs w:val="21"/>
          <w:highlight w:val="none"/>
          <w:lang w:val="en-US" w:eastAsia="zh-CN" w:bidi="ar-SA"/>
        </w:rPr>
      </w:pPr>
      <w:r>
        <w:rPr>
          <w:rFonts w:hint="eastAsia" w:ascii="Times New Roman"/>
          <w:b w:val="0"/>
          <w:color w:val="auto"/>
          <w:kern w:val="2"/>
          <w:sz w:val="21"/>
          <w:szCs w:val="21"/>
          <w:highlight w:val="none"/>
          <w:lang w:val="en-US" w:eastAsia="zh-CN" w:bidi="ar-SA"/>
        </w:rPr>
        <w:t>（注：响应人根据前附表资质要求在此处附相关证明材料）</w:t>
      </w:r>
    </w:p>
    <w:p w14:paraId="6D55CB5D">
      <w:pPr>
        <w:keepLines w:val="0"/>
        <w:pageBreakBefore w:val="0"/>
        <w:widowControl w:val="0"/>
        <w:numPr>
          <w:ilvl w:val="0"/>
          <w:numId w:val="19"/>
        </w:numPr>
        <w:kinsoku/>
        <w:wordWrap/>
        <w:overflowPunct/>
        <w:topLinePunct w:val="0"/>
        <w:autoSpaceDE/>
        <w:autoSpaceDN/>
        <w:bidi w:val="0"/>
        <w:snapToGrid/>
        <w:spacing w:before="0" w:after="0" w:line="360" w:lineRule="auto"/>
        <w:ind w:left="0" w:leftChars="0" w:right="0" w:rightChars="0"/>
        <w:jc w:val="both"/>
        <w:outlineLvl w:val="9"/>
        <w:rPr>
          <w:rFonts w:hint="eastAsia"/>
          <w:b w:val="0"/>
          <w:color w:val="auto"/>
          <w:kern w:val="2"/>
          <w:sz w:val="21"/>
          <w:szCs w:val="21"/>
          <w:highlight w:val="none"/>
          <w:lang w:val="en-US" w:eastAsia="zh-CN" w:bidi="ar-SA"/>
        </w:rPr>
      </w:pPr>
      <w:r>
        <w:rPr>
          <w:rFonts w:hint="eastAsia"/>
          <w:b w:val="0"/>
          <w:color w:val="auto"/>
          <w:kern w:val="2"/>
          <w:sz w:val="21"/>
          <w:szCs w:val="21"/>
          <w:highlight w:val="none"/>
          <w:lang w:val="en-US" w:eastAsia="zh-CN" w:bidi="ar-SA"/>
        </w:rPr>
        <w:t>.响应人应取得几内亚海关行政部门批复海关代理资格许可，并具有独立订立合同的资格</w:t>
      </w:r>
    </w:p>
    <w:p w14:paraId="2EB710EE">
      <w:pPr>
        <w:keepLines w:val="0"/>
        <w:pageBreakBefore w:val="0"/>
        <w:widowControl w:val="0"/>
        <w:numPr>
          <w:ilvl w:val="-1"/>
          <w:numId w:val="0"/>
        </w:numPr>
        <w:kinsoku/>
        <w:wordWrap/>
        <w:overflowPunct/>
        <w:topLinePunct w:val="0"/>
        <w:autoSpaceDE/>
        <w:autoSpaceDN/>
        <w:bidi w:val="0"/>
        <w:snapToGrid/>
        <w:spacing w:before="0" w:after="0" w:line="360" w:lineRule="auto"/>
        <w:ind w:left="0" w:leftChars="0" w:right="0" w:rightChars="0"/>
        <w:jc w:val="both"/>
        <w:outlineLvl w:val="9"/>
        <w:rPr>
          <w:rFonts w:hint="eastAsia"/>
          <w:b w:val="0"/>
          <w:color w:val="auto"/>
          <w:kern w:val="2"/>
          <w:sz w:val="21"/>
          <w:szCs w:val="21"/>
          <w:highlight w:val="none"/>
          <w:lang w:val="en-US" w:eastAsia="zh-CN" w:bidi="ar-SA"/>
        </w:rPr>
      </w:pPr>
      <w:r>
        <w:rPr>
          <w:rFonts w:hint="eastAsia"/>
          <w:b w:val="0"/>
          <w:color w:val="auto"/>
          <w:kern w:val="2"/>
          <w:sz w:val="21"/>
          <w:szCs w:val="21"/>
          <w:highlight w:val="none"/>
          <w:lang w:val="en-US" w:eastAsia="zh-CN" w:bidi="ar-SA"/>
        </w:rPr>
        <w:t>L'entité concernée doit avoir obtenu de l'autorisation du service douanier guinéen pour exercer les fonctions d'agence douanière et être en mesure de conclure des contrats de manière indépendante.</w:t>
      </w:r>
    </w:p>
    <w:p w14:paraId="48497700">
      <w:pPr>
        <w:keepLines w:val="0"/>
        <w:pageBreakBefore w:val="0"/>
        <w:widowControl w:val="0"/>
        <w:numPr>
          <w:ilvl w:val="-1"/>
          <w:numId w:val="0"/>
        </w:numPr>
        <w:kinsoku/>
        <w:wordWrap/>
        <w:overflowPunct/>
        <w:topLinePunct w:val="0"/>
        <w:autoSpaceDE/>
        <w:autoSpaceDN/>
        <w:bidi w:val="0"/>
        <w:snapToGrid/>
        <w:spacing w:before="0" w:after="0" w:line="360" w:lineRule="auto"/>
        <w:ind w:left="0" w:leftChars="0" w:right="0" w:rightChars="0"/>
        <w:jc w:val="both"/>
        <w:outlineLvl w:val="9"/>
        <w:rPr>
          <w:rFonts w:hint="eastAsia"/>
          <w:b w:val="0"/>
          <w:color w:val="auto"/>
          <w:kern w:val="2"/>
          <w:sz w:val="21"/>
          <w:szCs w:val="21"/>
          <w:highlight w:val="none"/>
          <w:lang w:val="en-US" w:eastAsia="zh-CN" w:bidi="ar-SA"/>
        </w:rPr>
      </w:pPr>
    </w:p>
    <w:p w14:paraId="4891A623">
      <w:pPr>
        <w:pStyle w:val="30"/>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响应人</w:t>
      </w:r>
      <w:r>
        <w:rPr>
          <w:rFonts w:hint="eastAsia" w:hAnsi="Times New Roman" w:eastAsia="宋体" w:cs="Times New Roman"/>
          <w:color w:val="auto"/>
          <w:kern w:val="2"/>
          <w:sz w:val="21"/>
          <w:szCs w:val="21"/>
          <w:highlight w:val="none"/>
          <w:lang w:val="en-US" w:eastAsia="zh-CN" w:bidi="ar-SA"/>
        </w:rPr>
        <w:t>营业执照</w:t>
      </w:r>
    </w:p>
    <w:p w14:paraId="53CDB90A">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r>
        <w:rPr>
          <w:rFonts w:hint="eastAsia" w:hAnsi="Times New Roman" w:eastAsia="宋体" w:cs="Times New Roman"/>
          <w:color w:val="auto"/>
          <w:kern w:val="2"/>
          <w:sz w:val="21"/>
          <w:szCs w:val="21"/>
          <w:highlight w:val="none"/>
          <w:lang w:val="en-US" w:eastAsia="zh-CN" w:bidi="ar-SA"/>
        </w:rPr>
        <w:t xml:space="preserve"> Licence d'exploitation du défendeur</w:t>
      </w:r>
    </w:p>
    <w:p w14:paraId="29877FE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p>
    <w:p w14:paraId="58A90683">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提供有效的NIF号及TVA号</w:t>
      </w:r>
    </w:p>
    <w:p w14:paraId="31E9A0A0">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210" w:firstLineChars="100"/>
        <w:jc w:val="both"/>
        <w:textAlignment w:val="auto"/>
        <w:outlineLvl w:val="9"/>
        <w:rPr>
          <w:rFonts w:hint="eastAsia" w:hAnsi="Times New Roman" w:eastAsia="宋体" w:cs="Times New Roman"/>
          <w:color w:val="auto"/>
          <w:kern w:val="2"/>
          <w:sz w:val="21"/>
          <w:szCs w:val="21"/>
          <w:highlight w:val="none"/>
          <w:lang w:val="en-US" w:eastAsia="zh-CN" w:bidi="ar-SA"/>
        </w:rPr>
      </w:pPr>
      <w:r>
        <w:rPr>
          <w:rFonts w:hint="eastAsia" w:hAnsi="Times New Roman" w:eastAsia="宋体" w:cs="Times New Roman"/>
          <w:color w:val="auto"/>
          <w:kern w:val="2"/>
          <w:sz w:val="21"/>
          <w:szCs w:val="21"/>
          <w:highlight w:val="none"/>
          <w:lang w:val="en-US" w:eastAsia="zh-CN" w:bidi="ar-SA"/>
        </w:rPr>
        <w:t>Fourniez votre numéro NIF et votre numéro TVA.</w:t>
      </w:r>
    </w:p>
    <w:p w14:paraId="13E64263">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210" w:firstLineChars="100"/>
        <w:jc w:val="both"/>
        <w:textAlignment w:val="auto"/>
        <w:outlineLvl w:val="9"/>
        <w:rPr>
          <w:rFonts w:hint="eastAsia" w:hAnsi="Times New Roman" w:eastAsia="宋体" w:cs="Times New Roman"/>
          <w:color w:val="auto"/>
          <w:kern w:val="2"/>
          <w:sz w:val="21"/>
          <w:szCs w:val="21"/>
          <w:highlight w:val="none"/>
          <w:lang w:val="en-US" w:eastAsia="zh-CN" w:bidi="ar-SA"/>
        </w:rPr>
      </w:pPr>
    </w:p>
    <w:p w14:paraId="530237FE">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（四）响应人近3年内至少具有1个矿石出口代理服务业绩；（提供符合本招标要求的业绩合同扫描件，包括合同封面、合同范围页、签字页等）。</w:t>
      </w:r>
    </w:p>
    <w:p w14:paraId="44273222">
      <w:pPr>
        <w:numPr>
          <w:ilvl w:val="0"/>
          <w:numId w:val="0"/>
        </w:numPr>
        <w:spacing w:line="360" w:lineRule="auto"/>
        <w:outlineLvl w:val="9"/>
        <w:rPr>
          <w:rFonts w:hint="eastAsia" w:hAnsi="Times New Roman" w:eastAsia="宋体" w:cs="Times New Roman"/>
          <w:color w:val="auto"/>
          <w:kern w:val="2"/>
          <w:sz w:val="21"/>
          <w:szCs w:val="21"/>
          <w:highlight w:val="none"/>
          <w:lang w:val="en-US" w:eastAsia="zh-CN" w:bidi="ar-SA"/>
        </w:rPr>
      </w:pPr>
      <w:r>
        <w:rPr>
          <w:rFonts w:hint="eastAsia" w:hAnsi="Times New Roman" w:eastAsia="宋体" w:cs="Times New Roman"/>
          <w:color w:val="auto"/>
          <w:kern w:val="2"/>
          <w:sz w:val="21"/>
          <w:szCs w:val="21"/>
          <w:highlight w:val="none"/>
          <w:lang w:val="en-US" w:eastAsia="zh-CN" w:bidi="ar-SA"/>
        </w:rPr>
        <w:t>L'entité soumissionnaire doit avoir au moins une expérience dans le domaine des services d'agence d'exportation d'ores au cours des trois dernières années ; (Fournir une copie numérisée du contrat d'expérience correspondant aux exigences de cette appel d'offres, incluant la couverture du contrat, la page décrivant le champ d'application du contrat, la page de signature, etc.)</w:t>
      </w:r>
    </w:p>
    <w:p w14:paraId="4655E1F5">
      <w:pPr>
        <w:pStyle w:val="152"/>
        <w:rPr>
          <w:rFonts w:hint="eastAsia" w:ascii="Times New Roman" w:hAnsi="Times New Roman" w:eastAsia="宋体" w:cs="Times New Roman"/>
          <w:color w:val="auto"/>
          <w:kern w:val="2"/>
          <w:sz w:val="21"/>
          <w:szCs w:val="21"/>
          <w:highlight w:val="none"/>
          <w:lang w:val="en-US" w:eastAsia="zh-CN" w:bidi="ar-SA"/>
        </w:rPr>
      </w:pPr>
    </w:p>
    <w:p w14:paraId="4709F8C0">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（五）</w:t>
      </w:r>
      <w:r>
        <w:rPr>
          <w:rFonts w:hint="eastAsia" w:ascii="Times New Roman" w:hAnsi="Times New Roman" w:eastAsia="宋体" w:cs="Times New Roman"/>
          <w:color w:val="auto"/>
          <w:szCs w:val="21"/>
          <w:highlight w:val="none"/>
          <w:lang w:val="en-US" w:eastAsia="zh-CN"/>
        </w:rPr>
        <w:t>响应人提供近36个月内不存在骗取中标、严重违约及因自身的责任而使任何合同被解除的情形的承诺或证明材料</w:t>
      </w:r>
    </w:p>
    <w:p w14:paraId="33D11647">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Le répondant doit fournir une déclaration ou des documents justificatifs attestant qu'aucune situation de fraude pour obtenir un marché, de violation grave du contrat ou d'annulation de tout contrat due à sa propre responsabilité n'a eu lieu au cours des 36 derniers mois.</w:t>
      </w:r>
    </w:p>
    <w:p w14:paraId="3EF38164">
      <w:pPr>
        <w:pStyle w:val="152"/>
        <w:rPr>
          <w:rFonts w:hint="eastAsia" w:ascii="Times New Roman" w:hAnsi="Times New Roman" w:eastAsia="宋体" w:cs="Times New Roman"/>
          <w:color w:val="auto"/>
          <w:szCs w:val="21"/>
          <w:highlight w:val="none"/>
          <w:lang w:val="en-US" w:eastAsia="zh-CN"/>
        </w:rPr>
      </w:pPr>
    </w:p>
    <w:p w14:paraId="0FFC8420">
      <w:pPr>
        <w:topLinePunct/>
        <w:spacing w:line="440" w:lineRule="exact"/>
        <w:jc w:val="center"/>
        <w:outlineLvl w:val="1"/>
        <w:rPr>
          <w:rFonts w:hint="eastAsia" w:ascii="宋体" w:hAnsi="宋体" w:eastAsia="宋体" w:cs="宋体"/>
          <w:b/>
          <w:bCs w:val="0"/>
          <w:color w:val="auto"/>
          <w:kern w:val="2"/>
          <w:sz w:val="28"/>
          <w:szCs w:val="21"/>
          <w:highlight w:val="none"/>
          <w:lang w:val="en-US" w:eastAsia="zh-CN" w:bidi="ar-SA"/>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50F46773">
      <w:pPr>
        <w:topLinePunct/>
        <w:spacing w:line="240" w:lineRule="auto"/>
        <w:jc w:val="center"/>
        <w:outlineLvl w:val="1"/>
        <w:rPr>
          <w:rFonts w:hint="eastAsia" w:ascii="宋体" w:hAnsi="宋体" w:eastAsia="宋体" w:cs="宋体"/>
          <w:b/>
          <w:bCs w:val="0"/>
          <w:color w:val="auto"/>
          <w:kern w:val="2"/>
          <w:sz w:val="28"/>
          <w:szCs w:val="21"/>
          <w:highlight w:val="none"/>
          <w:lang w:val="en-US" w:eastAsia="zh-CN" w:bidi="ar-SA"/>
        </w:rPr>
      </w:pPr>
      <w:r>
        <w:rPr>
          <w:rFonts w:hint="eastAsia" w:ascii="宋体" w:hAnsi="宋体" w:eastAsia="宋体" w:cs="宋体"/>
          <w:b/>
          <w:bCs w:val="0"/>
          <w:color w:val="auto"/>
          <w:kern w:val="2"/>
          <w:sz w:val="28"/>
          <w:szCs w:val="21"/>
          <w:highlight w:val="none"/>
          <w:lang w:val="en-US" w:eastAsia="zh-CN" w:bidi="ar-SA"/>
        </w:rPr>
        <w:t>六、近年完成的类似项目情况表</w:t>
      </w:r>
      <w:bookmarkEnd w:id="133"/>
      <w:bookmarkEnd w:id="134"/>
      <w:bookmarkEnd w:id="135"/>
    </w:p>
    <w:tbl>
      <w:tblPr>
        <w:tblStyle w:val="3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188"/>
        <w:gridCol w:w="1424"/>
        <w:gridCol w:w="1204"/>
        <w:gridCol w:w="1206"/>
        <w:gridCol w:w="1206"/>
        <w:gridCol w:w="1207"/>
        <w:gridCol w:w="1582"/>
      </w:tblGrid>
      <w:tr w14:paraId="4635B4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717" w:type="dxa"/>
            <w:noWrap w:val="0"/>
            <w:vAlign w:val="center"/>
          </w:tcPr>
          <w:p w14:paraId="324B3A4D">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序号</w:t>
            </w:r>
          </w:p>
        </w:tc>
        <w:tc>
          <w:tcPr>
            <w:tcW w:w="1188" w:type="dxa"/>
            <w:noWrap w:val="0"/>
            <w:vAlign w:val="center"/>
          </w:tcPr>
          <w:p w14:paraId="62A341F1">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项目名称</w:t>
            </w:r>
          </w:p>
        </w:tc>
        <w:tc>
          <w:tcPr>
            <w:tcW w:w="1424" w:type="dxa"/>
            <w:noWrap w:val="0"/>
            <w:vAlign w:val="center"/>
          </w:tcPr>
          <w:p w14:paraId="30C8AFBF">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项目所在地</w:t>
            </w:r>
          </w:p>
        </w:tc>
        <w:tc>
          <w:tcPr>
            <w:tcW w:w="1204" w:type="dxa"/>
            <w:noWrap w:val="0"/>
            <w:vAlign w:val="center"/>
          </w:tcPr>
          <w:p w14:paraId="455C00AA">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合同价格</w:t>
            </w:r>
          </w:p>
        </w:tc>
        <w:tc>
          <w:tcPr>
            <w:tcW w:w="1206" w:type="dxa"/>
            <w:noWrap w:val="0"/>
            <w:vAlign w:val="center"/>
          </w:tcPr>
          <w:p w14:paraId="08296803">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服务期限</w:t>
            </w:r>
          </w:p>
        </w:tc>
        <w:tc>
          <w:tcPr>
            <w:tcW w:w="1206" w:type="dxa"/>
            <w:noWrap w:val="0"/>
            <w:vAlign w:val="center"/>
          </w:tcPr>
          <w:p w14:paraId="14E443A4">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总负责人</w:t>
            </w:r>
          </w:p>
        </w:tc>
        <w:tc>
          <w:tcPr>
            <w:tcW w:w="1207" w:type="dxa"/>
            <w:noWrap w:val="0"/>
            <w:vAlign w:val="center"/>
          </w:tcPr>
          <w:p w14:paraId="4079EB72">
            <w:pPr>
              <w:widowControl/>
              <w:jc w:val="center"/>
              <w:rPr>
                <w:rFonts w:ascii="Times New Roman" w:hAnsi="Times New Roman"/>
                <w:b/>
                <w:bCs/>
                <w:color w:val="auto"/>
                <w:szCs w:val="21"/>
                <w:highlight w:val="none"/>
              </w:rPr>
            </w:pPr>
            <w:r>
              <w:rPr>
                <w:rFonts w:hint="eastAsia" w:ascii="宋体" w:hAnsi="宋体" w:cs="宋体"/>
                <w:b/>
                <w:bCs/>
                <w:color w:val="auto"/>
                <w:kern w:val="0"/>
                <w:szCs w:val="21"/>
                <w:highlight w:val="none"/>
              </w:rPr>
              <w:t>项目描述</w:t>
            </w:r>
          </w:p>
        </w:tc>
        <w:tc>
          <w:tcPr>
            <w:tcW w:w="1582" w:type="dxa"/>
            <w:noWrap w:val="0"/>
            <w:vAlign w:val="center"/>
          </w:tcPr>
          <w:p w14:paraId="7849B585">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备注</w:t>
            </w:r>
          </w:p>
        </w:tc>
      </w:tr>
      <w:tr w14:paraId="79DCB6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7FDC01DB">
            <w:pPr>
              <w:jc w:val="center"/>
              <w:rPr>
                <w:rFonts w:ascii="Times New Roman" w:hAnsi="Times New Roman"/>
                <w:color w:val="auto"/>
                <w:highlight w:val="none"/>
              </w:rPr>
            </w:pPr>
          </w:p>
        </w:tc>
        <w:tc>
          <w:tcPr>
            <w:tcW w:w="1188" w:type="dxa"/>
            <w:noWrap w:val="0"/>
            <w:vAlign w:val="center"/>
          </w:tcPr>
          <w:p w14:paraId="53CF9A01">
            <w:pPr>
              <w:jc w:val="center"/>
              <w:rPr>
                <w:rFonts w:ascii="Times New Roman" w:hAnsi="Times New Roman"/>
                <w:color w:val="auto"/>
                <w:highlight w:val="none"/>
              </w:rPr>
            </w:pPr>
          </w:p>
        </w:tc>
        <w:tc>
          <w:tcPr>
            <w:tcW w:w="1424" w:type="dxa"/>
            <w:noWrap w:val="0"/>
            <w:vAlign w:val="center"/>
          </w:tcPr>
          <w:p w14:paraId="1FE2692A">
            <w:pPr>
              <w:jc w:val="center"/>
              <w:rPr>
                <w:rFonts w:ascii="Times New Roman" w:hAnsi="Times New Roman"/>
                <w:color w:val="auto"/>
                <w:highlight w:val="none"/>
              </w:rPr>
            </w:pPr>
          </w:p>
        </w:tc>
        <w:tc>
          <w:tcPr>
            <w:tcW w:w="1204" w:type="dxa"/>
            <w:noWrap w:val="0"/>
            <w:vAlign w:val="center"/>
          </w:tcPr>
          <w:p w14:paraId="38610494">
            <w:pPr>
              <w:jc w:val="center"/>
              <w:rPr>
                <w:rFonts w:ascii="Times New Roman" w:hAnsi="Times New Roman"/>
                <w:color w:val="auto"/>
                <w:highlight w:val="none"/>
              </w:rPr>
            </w:pPr>
          </w:p>
        </w:tc>
        <w:tc>
          <w:tcPr>
            <w:tcW w:w="1206" w:type="dxa"/>
            <w:noWrap w:val="0"/>
            <w:vAlign w:val="center"/>
          </w:tcPr>
          <w:p w14:paraId="0974FFFA">
            <w:pPr>
              <w:jc w:val="center"/>
              <w:rPr>
                <w:rFonts w:ascii="Times New Roman" w:hAnsi="Times New Roman"/>
                <w:color w:val="auto"/>
                <w:highlight w:val="none"/>
              </w:rPr>
            </w:pPr>
          </w:p>
        </w:tc>
        <w:tc>
          <w:tcPr>
            <w:tcW w:w="1206" w:type="dxa"/>
            <w:noWrap w:val="0"/>
            <w:vAlign w:val="center"/>
          </w:tcPr>
          <w:p w14:paraId="17818FF8">
            <w:pPr>
              <w:jc w:val="center"/>
              <w:rPr>
                <w:rFonts w:ascii="Times New Roman" w:hAnsi="Times New Roman"/>
                <w:color w:val="auto"/>
                <w:highlight w:val="none"/>
              </w:rPr>
            </w:pPr>
          </w:p>
        </w:tc>
        <w:tc>
          <w:tcPr>
            <w:tcW w:w="1207" w:type="dxa"/>
            <w:noWrap w:val="0"/>
            <w:vAlign w:val="center"/>
          </w:tcPr>
          <w:p w14:paraId="6F63A3A7">
            <w:pPr>
              <w:jc w:val="center"/>
              <w:rPr>
                <w:rFonts w:ascii="Times New Roman" w:hAnsi="Times New Roman"/>
                <w:color w:val="auto"/>
                <w:highlight w:val="none"/>
              </w:rPr>
            </w:pPr>
          </w:p>
        </w:tc>
        <w:tc>
          <w:tcPr>
            <w:tcW w:w="1582" w:type="dxa"/>
            <w:noWrap w:val="0"/>
            <w:vAlign w:val="center"/>
          </w:tcPr>
          <w:p w14:paraId="356F22E3">
            <w:pPr>
              <w:jc w:val="center"/>
              <w:rPr>
                <w:rFonts w:ascii="Times New Roman" w:hAnsi="Times New Roman"/>
                <w:color w:val="auto"/>
                <w:highlight w:val="none"/>
              </w:rPr>
            </w:pPr>
          </w:p>
        </w:tc>
      </w:tr>
      <w:tr w14:paraId="17787A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38DB1354">
            <w:pPr>
              <w:jc w:val="center"/>
              <w:rPr>
                <w:rFonts w:ascii="Times New Roman" w:hAnsi="Times New Roman"/>
                <w:color w:val="auto"/>
                <w:highlight w:val="none"/>
              </w:rPr>
            </w:pPr>
          </w:p>
        </w:tc>
        <w:tc>
          <w:tcPr>
            <w:tcW w:w="1188" w:type="dxa"/>
            <w:noWrap w:val="0"/>
            <w:vAlign w:val="center"/>
          </w:tcPr>
          <w:p w14:paraId="5E233D2B">
            <w:pPr>
              <w:jc w:val="center"/>
              <w:rPr>
                <w:rFonts w:ascii="Times New Roman" w:hAnsi="Times New Roman"/>
                <w:color w:val="auto"/>
                <w:highlight w:val="none"/>
              </w:rPr>
            </w:pPr>
          </w:p>
        </w:tc>
        <w:tc>
          <w:tcPr>
            <w:tcW w:w="1424" w:type="dxa"/>
            <w:noWrap w:val="0"/>
            <w:vAlign w:val="center"/>
          </w:tcPr>
          <w:p w14:paraId="476AC1F5">
            <w:pPr>
              <w:jc w:val="center"/>
              <w:rPr>
                <w:rFonts w:ascii="Times New Roman" w:hAnsi="Times New Roman"/>
                <w:color w:val="auto"/>
                <w:highlight w:val="none"/>
              </w:rPr>
            </w:pPr>
          </w:p>
        </w:tc>
        <w:tc>
          <w:tcPr>
            <w:tcW w:w="1204" w:type="dxa"/>
            <w:noWrap w:val="0"/>
            <w:vAlign w:val="center"/>
          </w:tcPr>
          <w:p w14:paraId="5E8BD6DF">
            <w:pPr>
              <w:jc w:val="center"/>
              <w:rPr>
                <w:rFonts w:ascii="Times New Roman" w:hAnsi="Times New Roman"/>
                <w:color w:val="auto"/>
                <w:highlight w:val="none"/>
              </w:rPr>
            </w:pPr>
          </w:p>
        </w:tc>
        <w:tc>
          <w:tcPr>
            <w:tcW w:w="1206" w:type="dxa"/>
            <w:noWrap w:val="0"/>
            <w:vAlign w:val="center"/>
          </w:tcPr>
          <w:p w14:paraId="1A26201D">
            <w:pPr>
              <w:jc w:val="center"/>
              <w:rPr>
                <w:rFonts w:ascii="Times New Roman" w:hAnsi="Times New Roman"/>
                <w:color w:val="auto"/>
                <w:highlight w:val="none"/>
              </w:rPr>
            </w:pPr>
          </w:p>
        </w:tc>
        <w:tc>
          <w:tcPr>
            <w:tcW w:w="1206" w:type="dxa"/>
            <w:noWrap w:val="0"/>
            <w:vAlign w:val="center"/>
          </w:tcPr>
          <w:p w14:paraId="0E1E417E">
            <w:pPr>
              <w:jc w:val="center"/>
              <w:rPr>
                <w:rFonts w:ascii="Times New Roman" w:hAnsi="Times New Roman"/>
                <w:color w:val="auto"/>
                <w:highlight w:val="none"/>
              </w:rPr>
            </w:pPr>
          </w:p>
        </w:tc>
        <w:tc>
          <w:tcPr>
            <w:tcW w:w="1207" w:type="dxa"/>
            <w:noWrap w:val="0"/>
            <w:vAlign w:val="center"/>
          </w:tcPr>
          <w:p w14:paraId="0F2765DE">
            <w:pPr>
              <w:jc w:val="center"/>
              <w:rPr>
                <w:rFonts w:ascii="Times New Roman" w:hAnsi="Times New Roman"/>
                <w:color w:val="auto"/>
                <w:highlight w:val="none"/>
              </w:rPr>
            </w:pPr>
          </w:p>
        </w:tc>
        <w:tc>
          <w:tcPr>
            <w:tcW w:w="1582" w:type="dxa"/>
            <w:noWrap w:val="0"/>
            <w:vAlign w:val="center"/>
          </w:tcPr>
          <w:p w14:paraId="5C49338F">
            <w:pPr>
              <w:jc w:val="center"/>
              <w:rPr>
                <w:rFonts w:ascii="Times New Roman" w:hAnsi="Times New Roman"/>
                <w:color w:val="auto"/>
                <w:highlight w:val="none"/>
              </w:rPr>
            </w:pPr>
          </w:p>
        </w:tc>
      </w:tr>
      <w:tr w14:paraId="606FEB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68797746">
            <w:pPr>
              <w:jc w:val="center"/>
              <w:rPr>
                <w:rFonts w:ascii="Times New Roman" w:hAnsi="Times New Roman"/>
                <w:color w:val="auto"/>
                <w:highlight w:val="none"/>
              </w:rPr>
            </w:pPr>
          </w:p>
        </w:tc>
        <w:tc>
          <w:tcPr>
            <w:tcW w:w="1188" w:type="dxa"/>
            <w:noWrap w:val="0"/>
            <w:vAlign w:val="center"/>
          </w:tcPr>
          <w:p w14:paraId="6EFE796F">
            <w:pPr>
              <w:jc w:val="center"/>
              <w:rPr>
                <w:rFonts w:ascii="Times New Roman" w:hAnsi="Times New Roman"/>
                <w:color w:val="auto"/>
                <w:highlight w:val="none"/>
              </w:rPr>
            </w:pPr>
          </w:p>
        </w:tc>
        <w:tc>
          <w:tcPr>
            <w:tcW w:w="1424" w:type="dxa"/>
            <w:noWrap w:val="0"/>
            <w:vAlign w:val="center"/>
          </w:tcPr>
          <w:p w14:paraId="09687968">
            <w:pPr>
              <w:jc w:val="center"/>
              <w:rPr>
                <w:rFonts w:ascii="Times New Roman" w:hAnsi="Times New Roman"/>
                <w:color w:val="auto"/>
                <w:highlight w:val="none"/>
              </w:rPr>
            </w:pPr>
          </w:p>
        </w:tc>
        <w:tc>
          <w:tcPr>
            <w:tcW w:w="1204" w:type="dxa"/>
            <w:noWrap w:val="0"/>
            <w:vAlign w:val="center"/>
          </w:tcPr>
          <w:p w14:paraId="06418DED">
            <w:pPr>
              <w:jc w:val="center"/>
              <w:rPr>
                <w:rFonts w:ascii="Times New Roman" w:hAnsi="Times New Roman"/>
                <w:color w:val="auto"/>
                <w:highlight w:val="none"/>
              </w:rPr>
            </w:pPr>
          </w:p>
        </w:tc>
        <w:tc>
          <w:tcPr>
            <w:tcW w:w="1206" w:type="dxa"/>
            <w:noWrap w:val="0"/>
            <w:vAlign w:val="center"/>
          </w:tcPr>
          <w:p w14:paraId="3F436FF2">
            <w:pPr>
              <w:jc w:val="center"/>
              <w:rPr>
                <w:rFonts w:ascii="Times New Roman" w:hAnsi="Times New Roman"/>
                <w:color w:val="auto"/>
                <w:highlight w:val="none"/>
              </w:rPr>
            </w:pPr>
          </w:p>
        </w:tc>
        <w:tc>
          <w:tcPr>
            <w:tcW w:w="1206" w:type="dxa"/>
            <w:noWrap w:val="0"/>
            <w:vAlign w:val="center"/>
          </w:tcPr>
          <w:p w14:paraId="2D741ACE">
            <w:pPr>
              <w:jc w:val="center"/>
              <w:rPr>
                <w:rFonts w:ascii="Times New Roman" w:hAnsi="Times New Roman"/>
                <w:color w:val="auto"/>
                <w:highlight w:val="none"/>
              </w:rPr>
            </w:pPr>
          </w:p>
        </w:tc>
        <w:tc>
          <w:tcPr>
            <w:tcW w:w="1207" w:type="dxa"/>
            <w:noWrap w:val="0"/>
            <w:vAlign w:val="center"/>
          </w:tcPr>
          <w:p w14:paraId="719B664A">
            <w:pPr>
              <w:jc w:val="center"/>
              <w:rPr>
                <w:rFonts w:ascii="Times New Roman" w:hAnsi="Times New Roman"/>
                <w:color w:val="auto"/>
                <w:highlight w:val="none"/>
              </w:rPr>
            </w:pPr>
          </w:p>
        </w:tc>
        <w:tc>
          <w:tcPr>
            <w:tcW w:w="1582" w:type="dxa"/>
            <w:noWrap w:val="0"/>
            <w:vAlign w:val="center"/>
          </w:tcPr>
          <w:p w14:paraId="0C6D9C10">
            <w:pPr>
              <w:jc w:val="center"/>
              <w:rPr>
                <w:rFonts w:ascii="Times New Roman" w:hAnsi="Times New Roman"/>
                <w:color w:val="auto"/>
                <w:highlight w:val="none"/>
              </w:rPr>
            </w:pPr>
          </w:p>
        </w:tc>
      </w:tr>
      <w:tr w14:paraId="5BF2CB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717" w:type="dxa"/>
            <w:noWrap w:val="0"/>
            <w:vAlign w:val="center"/>
          </w:tcPr>
          <w:p w14:paraId="029F4C16">
            <w:pPr>
              <w:jc w:val="center"/>
              <w:rPr>
                <w:rFonts w:ascii="Times New Roman" w:hAnsi="Times New Roman"/>
                <w:color w:val="auto"/>
                <w:highlight w:val="none"/>
              </w:rPr>
            </w:pPr>
          </w:p>
        </w:tc>
        <w:tc>
          <w:tcPr>
            <w:tcW w:w="1188" w:type="dxa"/>
            <w:noWrap w:val="0"/>
            <w:vAlign w:val="center"/>
          </w:tcPr>
          <w:p w14:paraId="2E774238">
            <w:pPr>
              <w:jc w:val="center"/>
              <w:rPr>
                <w:rFonts w:ascii="Times New Roman" w:hAnsi="Times New Roman"/>
                <w:color w:val="auto"/>
                <w:highlight w:val="none"/>
              </w:rPr>
            </w:pPr>
          </w:p>
        </w:tc>
        <w:tc>
          <w:tcPr>
            <w:tcW w:w="1424" w:type="dxa"/>
            <w:noWrap w:val="0"/>
            <w:vAlign w:val="center"/>
          </w:tcPr>
          <w:p w14:paraId="30F66900">
            <w:pPr>
              <w:jc w:val="center"/>
              <w:rPr>
                <w:rFonts w:ascii="Times New Roman" w:hAnsi="Times New Roman"/>
                <w:color w:val="auto"/>
                <w:highlight w:val="none"/>
              </w:rPr>
            </w:pPr>
          </w:p>
        </w:tc>
        <w:tc>
          <w:tcPr>
            <w:tcW w:w="1204" w:type="dxa"/>
            <w:noWrap w:val="0"/>
            <w:vAlign w:val="center"/>
          </w:tcPr>
          <w:p w14:paraId="19782410">
            <w:pPr>
              <w:jc w:val="center"/>
              <w:rPr>
                <w:rFonts w:ascii="Times New Roman" w:hAnsi="Times New Roman"/>
                <w:color w:val="auto"/>
                <w:highlight w:val="none"/>
              </w:rPr>
            </w:pPr>
          </w:p>
        </w:tc>
        <w:tc>
          <w:tcPr>
            <w:tcW w:w="1206" w:type="dxa"/>
            <w:noWrap w:val="0"/>
            <w:vAlign w:val="center"/>
          </w:tcPr>
          <w:p w14:paraId="6B0A05C4">
            <w:pPr>
              <w:jc w:val="center"/>
              <w:rPr>
                <w:rFonts w:ascii="Times New Roman" w:hAnsi="Times New Roman"/>
                <w:color w:val="auto"/>
                <w:highlight w:val="none"/>
              </w:rPr>
            </w:pPr>
          </w:p>
        </w:tc>
        <w:tc>
          <w:tcPr>
            <w:tcW w:w="1206" w:type="dxa"/>
            <w:noWrap w:val="0"/>
            <w:vAlign w:val="center"/>
          </w:tcPr>
          <w:p w14:paraId="1912B419">
            <w:pPr>
              <w:jc w:val="center"/>
              <w:rPr>
                <w:rFonts w:ascii="Times New Roman" w:hAnsi="Times New Roman"/>
                <w:color w:val="auto"/>
                <w:highlight w:val="none"/>
              </w:rPr>
            </w:pPr>
          </w:p>
        </w:tc>
        <w:tc>
          <w:tcPr>
            <w:tcW w:w="1207" w:type="dxa"/>
            <w:noWrap w:val="0"/>
            <w:vAlign w:val="center"/>
          </w:tcPr>
          <w:p w14:paraId="1B089F1C">
            <w:pPr>
              <w:jc w:val="center"/>
              <w:rPr>
                <w:rFonts w:ascii="Times New Roman" w:hAnsi="Times New Roman"/>
                <w:color w:val="auto"/>
                <w:highlight w:val="none"/>
              </w:rPr>
            </w:pPr>
          </w:p>
        </w:tc>
        <w:tc>
          <w:tcPr>
            <w:tcW w:w="1582" w:type="dxa"/>
            <w:noWrap w:val="0"/>
            <w:vAlign w:val="center"/>
          </w:tcPr>
          <w:p w14:paraId="6CF6185F">
            <w:pPr>
              <w:jc w:val="center"/>
              <w:rPr>
                <w:rFonts w:ascii="Times New Roman" w:hAnsi="Times New Roman"/>
                <w:color w:val="auto"/>
                <w:highlight w:val="none"/>
              </w:rPr>
            </w:pPr>
          </w:p>
        </w:tc>
      </w:tr>
    </w:tbl>
    <w:p w14:paraId="74BFC7F0">
      <w:pPr>
        <w:rPr>
          <w:rFonts w:ascii="Times New Roman" w:hAnsi="Times New Roman"/>
          <w:color w:val="auto"/>
          <w:highlight w:val="none"/>
        </w:rPr>
      </w:pPr>
      <w:r>
        <w:rPr>
          <w:rFonts w:ascii="Times New Roman" w:hAnsi="Times New Roman"/>
          <w:color w:val="auto"/>
          <w:highlight w:val="none"/>
        </w:rPr>
        <w:t xml:space="preserve">注：1. </w:t>
      </w:r>
      <w:r>
        <w:rPr>
          <w:rFonts w:hint="eastAsia" w:ascii="Times New Roman" w:hAnsi="Times New Roman" w:eastAsia="宋体"/>
          <w:color w:val="auto"/>
          <w:highlight w:val="none"/>
          <w:lang w:eastAsia="zh-CN"/>
        </w:rPr>
        <w:t>响应</w:t>
      </w:r>
      <w:r>
        <w:rPr>
          <w:rFonts w:ascii="Times New Roman" w:hAnsi="Times New Roman"/>
          <w:color w:val="auto"/>
          <w:highlight w:val="none"/>
        </w:rPr>
        <w:t>人应根据</w:t>
      </w:r>
      <w:r>
        <w:rPr>
          <w:rFonts w:hint="eastAsia" w:ascii="Times New Roman" w:hAnsi="Times New Roman"/>
          <w:color w:val="auto"/>
          <w:highlight w:val="none"/>
          <w:lang w:val="en-US" w:eastAsia="zh-CN"/>
        </w:rPr>
        <w:t>竞争性谈判文件</w:t>
      </w:r>
      <w:r>
        <w:rPr>
          <w:rFonts w:ascii="Times New Roman" w:hAnsi="Times New Roman"/>
          <w:color w:val="auto"/>
          <w:highlight w:val="none"/>
        </w:rPr>
        <w:t>要求</w:t>
      </w:r>
      <w:r>
        <w:rPr>
          <w:rFonts w:hint="eastAsia" w:ascii="Times New Roman" w:hAnsi="Times New Roman"/>
          <w:color w:val="auto"/>
          <w:highlight w:val="none"/>
          <w:lang w:val="en-US" w:eastAsia="zh-CN"/>
        </w:rPr>
        <w:t>的业绩</w:t>
      </w:r>
      <w:r>
        <w:rPr>
          <w:rFonts w:ascii="Times New Roman" w:hAnsi="Times New Roman"/>
          <w:color w:val="auto"/>
          <w:highlight w:val="none"/>
        </w:rPr>
        <w:t>在本表后附相关证明材料</w:t>
      </w:r>
      <w:r>
        <w:rPr>
          <w:rFonts w:hint="eastAsia" w:ascii="Times New Roman" w:hAnsi="Times New Roman"/>
          <w:color w:val="auto"/>
          <w:highlight w:val="none"/>
        </w:rPr>
        <w:t>；</w:t>
      </w:r>
    </w:p>
    <w:p w14:paraId="11EF39BF">
      <w:pPr>
        <w:ind w:firstLine="420" w:firstLineChars="200"/>
        <w:rPr>
          <w:rFonts w:hint="eastAsia" w:ascii="Times New Roman" w:hAnsi="Times New Roman"/>
          <w:color w:val="auto"/>
          <w:szCs w:val="21"/>
          <w:highlight w:val="none"/>
          <w:lang w:eastAsia="zh-CN"/>
        </w:rPr>
      </w:pPr>
      <w:r>
        <w:rPr>
          <w:rFonts w:hint="eastAsia" w:ascii="Times New Roman" w:hAnsi="Times New Roman"/>
          <w:color w:val="auto"/>
          <w:szCs w:val="21"/>
          <w:highlight w:val="none"/>
          <w:lang w:val="en-US" w:eastAsia="zh-CN"/>
        </w:rPr>
        <w:t>2</w:t>
      </w:r>
      <w:r>
        <w:rPr>
          <w:rFonts w:hint="eastAsia" w:ascii="Times New Roman" w:hAnsi="Times New Roman"/>
          <w:color w:val="auto"/>
          <w:szCs w:val="21"/>
          <w:highlight w:val="none"/>
        </w:rPr>
        <w:t>.</w:t>
      </w:r>
      <w:r>
        <w:rPr>
          <w:rFonts w:ascii="Times New Roman" w:hAnsi="Times New Roman"/>
          <w:color w:val="auto"/>
          <w:szCs w:val="21"/>
          <w:highlight w:val="none"/>
        </w:rPr>
        <w:t xml:space="preserve"> </w:t>
      </w:r>
      <w:r>
        <w:rPr>
          <w:rFonts w:hint="eastAsia" w:ascii="Times New Roman" w:hAnsi="Times New Roman"/>
          <w:color w:val="auto"/>
          <w:szCs w:val="21"/>
          <w:highlight w:val="none"/>
        </w:rPr>
        <w:t>提供业绩数量以满足资格要求的合同复印件数量为准。</w:t>
      </w:r>
      <w:r>
        <w:rPr>
          <w:rFonts w:hint="eastAsia" w:ascii="Times New Roman" w:hAnsi="Times New Roman" w:eastAsia="宋体"/>
          <w:color w:val="auto"/>
          <w:szCs w:val="21"/>
          <w:highlight w:val="none"/>
          <w:lang w:eastAsia="zh-CN"/>
        </w:rPr>
        <w:t>响应</w:t>
      </w:r>
      <w:r>
        <w:rPr>
          <w:rFonts w:hint="eastAsia" w:ascii="Times New Roman" w:hAnsi="Times New Roman"/>
          <w:color w:val="auto"/>
          <w:szCs w:val="21"/>
          <w:highlight w:val="none"/>
        </w:rPr>
        <w:t>人在递交</w:t>
      </w:r>
      <w:r>
        <w:rPr>
          <w:rFonts w:hint="eastAsia" w:ascii="Times New Roman" w:hAnsi="Times New Roman" w:eastAsia="宋体"/>
          <w:color w:val="auto"/>
          <w:szCs w:val="21"/>
          <w:highlight w:val="none"/>
          <w:lang w:eastAsia="zh-CN"/>
        </w:rPr>
        <w:t>响应</w:t>
      </w:r>
      <w:r>
        <w:rPr>
          <w:rFonts w:hint="eastAsia" w:ascii="Times New Roman" w:hAnsi="Times New Roman"/>
          <w:color w:val="auto"/>
          <w:szCs w:val="21"/>
          <w:highlight w:val="none"/>
        </w:rPr>
        <w:t>文件时，须同时提交能证明</w:t>
      </w:r>
      <w:r>
        <w:rPr>
          <w:rFonts w:hint="eastAsia" w:ascii="Times New Roman" w:hAnsi="Times New Roman" w:eastAsia="宋体"/>
          <w:color w:val="auto"/>
          <w:szCs w:val="21"/>
          <w:highlight w:val="none"/>
          <w:lang w:eastAsia="zh-CN"/>
        </w:rPr>
        <w:t>响应</w:t>
      </w:r>
      <w:r>
        <w:rPr>
          <w:rFonts w:hint="eastAsia" w:ascii="Times New Roman" w:hAnsi="Times New Roman"/>
          <w:color w:val="auto"/>
          <w:szCs w:val="21"/>
          <w:highlight w:val="none"/>
        </w:rPr>
        <w:t>人满足业绩资格要求的合同复印件（提供合同封面、签字盖章页和</w:t>
      </w:r>
      <w:r>
        <w:rPr>
          <w:rFonts w:hint="eastAsia" w:ascii="Times New Roman" w:hAnsi="Times New Roman"/>
          <w:color w:val="auto"/>
          <w:szCs w:val="21"/>
          <w:highlight w:val="none"/>
          <w:lang w:val="en-US" w:eastAsia="zh-CN"/>
        </w:rPr>
        <w:t>服务</w:t>
      </w:r>
      <w:r>
        <w:rPr>
          <w:rFonts w:hint="eastAsia" w:ascii="Times New Roman" w:hAnsi="Times New Roman"/>
          <w:color w:val="auto"/>
          <w:szCs w:val="21"/>
          <w:highlight w:val="none"/>
        </w:rPr>
        <w:t>范围页）</w:t>
      </w:r>
      <w:r>
        <w:rPr>
          <w:rFonts w:hint="eastAsia" w:ascii="Times New Roman" w:hAnsi="Times New Roman"/>
          <w:color w:val="auto"/>
          <w:szCs w:val="21"/>
          <w:highlight w:val="none"/>
          <w:lang w:eastAsia="zh-CN"/>
        </w:rPr>
        <w:t>。</w:t>
      </w:r>
    </w:p>
    <w:p w14:paraId="25560B8F">
      <w:pPr>
        <w:ind w:firstLine="420" w:firstLineChars="200"/>
        <w:rPr>
          <w:rFonts w:hint="eastAsia" w:ascii="Times New Roman" w:hAnsi="Times New Roman"/>
          <w:color w:val="auto"/>
          <w:szCs w:val="21"/>
          <w:highlight w:val="none"/>
          <w:lang w:eastAsia="zh-CN"/>
        </w:rPr>
      </w:pPr>
    </w:p>
    <w:p w14:paraId="71422D48">
      <w:pPr>
        <w:ind w:firstLine="420" w:firstLineChars="200"/>
        <w:rPr>
          <w:rFonts w:hint="eastAsia" w:ascii="Times New Roman" w:hAnsi="Times New Roman"/>
          <w:color w:val="auto"/>
          <w:szCs w:val="21"/>
          <w:highlight w:val="none"/>
          <w:lang w:eastAsia="zh-CN"/>
        </w:rPr>
      </w:pPr>
    </w:p>
    <w:p w14:paraId="5F440F6D">
      <w:pPr>
        <w:topLinePunct/>
        <w:spacing w:line="440" w:lineRule="exact"/>
        <w:jc w:val="center"/>
        <w:outlineLvl w:val="1"/>
        <w:rPr>
          <w:rFonts w:hint="eastAsia" w:ascii="宋体" w:hAnsi="宋体" w:eastAsia="宋体" w:cs="宋体"/>
          <w:b/>
          <w:bCs w:val="0"/>
          <w:kern w:val="2"/>
          <w:sz w:val="28"/>
          <w:szCs w:val="21"/>
          <w:lang w:val="en-US" w:eastAsia="zh-CN" w:bidi="ar-SA"/>
        </w:rPr>
      </w:pPr>
      <w:bookmarkStart w:id="136" w:name="_Toc28020"/>
      <w:r>
        <w:rPr>
          <w:rFonts w:hint="eastAsia" w:ascii="宋体" w:hAnsi="宋体" w:eastAsia="宋体" w:cs="宋体"/>
          <w:b/>
          <w:bCs w:val="0"/>
          <w:kern w:val="2"/>
          <w:sz w:val="28"/>
          <w:szCs w:val="21"/>
          <w:lang w:val="en-US" w:eastAsia="zh-CN" w:bidi="ar-SA"/>
        </w:rPr>
        <w:t>VI. tableau des projets similaires réalisés au cours des dernières années</w:t>
      </w:r>
    </w:p>
    <w:bookmarkEnd w:id="136"/>
    <w:tbl>
      <w:tblPr>
        <w:tblStyle w:val="3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188"/>
        <w:gridCol w:w="1424"/>
        <w:gridCol w:w="1204"/>
        <w:gridCol w:w="1120"/>
        <w:gridCol w:w="1427"/>
        <w:gridCol w:w="1506"/>
        <w:gridCol w:w="1148"/>
      </w:tblGrid>
      <w:tr w14:paraId="6689A6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717" w:type="dxa"/>
            <w:noWrap w:val="0"/>
            <w:vAlign w:val="center"/>
          </w:tcPr>
          <w:p w14:paraId="5B1892B9">
            <w:pPr>
              <w:widowControl/>
              <w:jc w:val="center"/>
              <w:rPr>
                <w:rFonts w:hint="eastAsia" w:ascii="Times New Roman" w:hAnsi="Times New Roman" w:eastAsia="宋体"/>
                <w:b/>
                <w:bCs/>
                <w:color w:val="auto"/>
                <w:highlight w:val="none"/>
                <w:lang w:eastAsia="zh-CN"/>
              </w:rPr>
            </w:pPr>
            <w:r>
              <w:rPr>
                <w:rFonts w:hint="eastAsia" w:ascii="宋体" w:hAnsi="宋体" w:cs="宋体"/>
                <w:b/>
                <w:bCs/>
                <w:color w:val="000000"/>
                <w:kern w:val="0"/>
                <w:szCs w:val="21"/>
                <w:lang w:val="en-US" w:eastAsia="zh-CN"/>
              </w:rPr>
              <w:t>N</w:t>
            </w:r>
          </w:p>
        </w:tc>
        <w:tc>
          <w:tcPr>
            <w:tcW w:w="1188" w:type="dxa"/>
            <w:noWrap w:val="0"/>
            <w:vAlign w:val="center"/>
          </w:tcPr>
          <w:p w14:paraId="4CFCA3D1">
            <w:pPr>
              <w:widowControl/>
              <w:jc w:val="center"/>
              <w:rPr>
                <w:rFonts w:ascii="Times New Roman" w:hAnsi="Times New Roman"/>
                <w:b/>
                <w:bCs/>
                <w:color w:val="auto"/>
                <w:highlight w:val="none"/>
              </w:rPr>
            </w:pPr>
            <w:r>
              <w:rPr>
                <w:rFonts w:hint="eastAsia" w:ascii="宋体" w:hAnsi="宋体" w:cs="宋体"/>
                <w:b/>
                <w:bCs/>
                <w:color w:val="000000"/>
                <w:kern w:val="0"/>
                <w:szCs w:val="21"/>
              </w:rPr>
              <w:t>Nom du projet</w:t>
            </w:r>
          </w:p>
        </w:tc>
        <w:tc>
          <w:tcPr>
            <w:tcW w:w="1424" w:type="dxa"/>
            <w:noWrap w:val="0"/>
            <w:vAlign w:val="center"/>
          </w:tcPr>
          <w:p w14:paraId="79632F5C">
            <w:pPr>
              <w:widowControl/>
              <w:jc w:val="center"/>
              <w:rPr>
                <w:rFonts w:ascii="Times New Roman" w:hAnsi="Times New Roman"/>
                <w:b/>
                <w:bCs/>
                <w:color w:val="auto"/>
                <w:highlight w:val="none"/>
              </w:rPr>
            </w:pPr>
            <w:r>
              <w:rPr>
                <w:rFonts w:hint="eastAsia" w:ascii="宋体" w:hAnsi="宋体" w:cs="宋体"/>
                <w:b/>
                <w:bCs/>
                <w:color w:val="000000"/>
                <w:kern w:val="0"/>
                <w:szCs w:val="21"/>
              </w:rPr>
              <w:t>Emplacement du projet</w:t>
            </w:r>
          </w:p>
        </w:tc>
        <w:tc>
          <w:tcPr>
            <w:tcW w:w="1204" w:type="dxa"/>
            <w:noWrap w:val="0"/>
            <w:vAlign w:val="center"/>
          </w:tcPr>
          <w:p w14:paraId="4C0E9900">
            <w:pPr>
              <w:widowControl/>
              <w:jc w:val="center"/>
              <w:rPr>
                <w:rFonts w:ascii="Times New Roman" w:hAnsi="Times New Roman"/>
                <w:b/>
                <w:bCs/>
                <w:color w:val="auto"/>
                <w:highlight w:val="none"/>
              </w:rPr>
            </w:pPr>
            <w:r>
              <w:rPr>
                <w:rFonts w:hint="eastAsia" w:ascii="宋体" w:hAnsi="宋体" w:cs="宋体"/>
                <w:b/>
                <w:bCs/>
                <w:color w:val="000000"/>
                <w:kern w:val="0"/>
                <w:szCs w:val="21"/>
              </w:rPr>
              <w:t>prix du contrat</w:t>
            </w:r>
          </w:p>
        </w:tc>
        <w:tc>
          <w:tcPr>
            <w:tcW w:w="1120" w:type="dxa"/>
            <w:noWrap w:val="0"/>
            <w:vAlign w:val="center"/>
          </w:tcPr>
          <w:p w14:paraId="62F2074D">
            <w:pPr>
              <w:widowControl/>
              <w:jc w:val="center"/>
              <w:rPr>
                <w:rFonts w:ascii="Times New Roman" w:hAnsi="Times New Roman"/>
                <w:b/>
                <w:bCs/>
                <w:color w:val="auto"/>
                <w:highlight w:val="none"/>
              </w:rPr>
            </w:pPr>
            <w:r>
              <w:rPr>
                <w:rFonts w:hint="eastAsia" w:ascii="宋体" w:hAnsi="宋体" w:cs="宋体"/>
                <w:b/>
                <w:bCs/>
                <w:color w:val="000000"/>
                <w:kern w:val="0"/>
                <w:szCs w:val="21"/>
              </w:rPr>
              <w:t>Durée du service</w:t>
            </w:r>
          </w:p>
        </w:tc>
        <w:tc>
          <w:tcPr>
            <w:tcW w:w="1427" w:type="dxa"/>
            <w:noWrap w:val="0"/>
            <w:vAlign w:val="center"/>
          </w:tcPr>
          <w:p w14:paraId="73433E66">
            <w:pPr>
              <w:widowControl/>
              <w:jc w:val="center"/>
              <w:rPr>
                <w:rFonts w:ascii="Times New Roman" w:hAnsi="Times New Roman"/>
                <w:b/>
                <w:bCs/>
                <w:color w:val="auto"/>
                <w:highlight w:val="none"/>
              </w:rPr>
            </w:pPr>
            <w:r>
              <w:rPr>
                <w:rFonts w:hint="eastAsia" w:ascii="宋体" w:hAnsi="宋体" w:cs="宋体"/>
                <w:b/>
                <w:bCs/>
                <w:color w:val="000000"/>
                <w:kern w:val="0"/>
                <w:szCs w:val="21"/>
              </w:rPr>
              <w:t>personne responsable</w:t>
            </w:r>
          </w:p>
        </w:tc>
        <w:tc>
          <w:tcPr>
            <w:tcW w:w="1506" w:type="dxa"/>
            <w:noWrap w:val="0"/>
            <w:vAlign w:val="center"/>
          </w:tcPr>
          <w:p w14:paraId="44BC3D73">
            <w:pPr>
              <w:widowControl/>
              <w:jc w:val="center"/>
              <w:rPr>
                <w:rFonts w:ascii="Times New Roman" w:hAnsi="Times New Roman"/>
                <w:b/>
                <w:bCs/>
                <w:color w:val="auto"/>
                <w:szCs w:val="21"/>
                <w:highlight w:val="none"/>
              </w:rPr>
            </w:pPr>
            <w:r>
              <w:rPr>
                <w:rFonts w:hint="eastAsia" w:ascii="宋体" w:hAnsi="宋体" w:cs="宋体"/>
                <w:b/>
                <w:bCs/>
                <w:color w:val="000000"/>
                <w:kern w:val="0"/>
                <w:szCs w:val="21"/>
              </w:rPr>
              <w:t>Description du projet</w:t>
            </w:r>
          </w:p>
        </w:tc>
        <w:tc>
          <w:tcPr>
            <w:tcW w:w="1148" w:type="dxa"/>
            <w:noWrap w:val="0"/>
            <w:vAlign w:val="center"/>
          </w:tcPr>
          <w:p w14:paraId="7E3CD269">
            <w:pPr>
              <w:widowControl/>
              <w:jc w:val="center"/>
              <w:rPr>
                <w:rFonts w:ascii="Times New Roman" w:hAnsi="Times New Roman"/>
                <w:b/>
                <w:bCs/>
                <w:color w:val="auto"/>
                <w:highlight w:val="none"/>
              </w:rPr>
            </w:pPr>
            <w:r>
              <w:rPr>
                <w:rFonts w:hint="eastAsia" w:ascii="宋体" w:hAnsi="宋体" w:cs="宋体"/>
                <w:b/>
                <w:bCs/>
                <w:color w:val="000000"/>
                <w:kern w:val="0"/>
                <w:szCs w:val="21"/>
              </w:rPr>
              <w:t>note</w:t>
            </w:r>
          </w:p>
        </w:tc>
      </w:tr>
      <w:tr w14:paraId="253FD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1FF0AB19">
            <w:pPr>
              <w:jc w:val="center"/>
              <w:rPr>
                <w:rFonts w:ascii="Times New Roman" w:hAnsi="Times New Roman"/>
                <w:color w:val="auto"/>
                <w:highlight w:val="none"/>
              </w:rPr>
            </w:pPr>
          </w:p>
        </w:tc>
        <w:tc>
          <w:tcPr>
            <w:tcW w:w="1188" w:type="dxa"/>
            <w:noWrap w:val="0"/>
            <w:vAlign w:val="center"/>
          </w:tcPr>
          <w:p w14:paraId="7C524DA3">
            <w:pPr>
              <w:jc w:val="center"/>
              <w:rPr>
                <w:rFonts w:ascii="Times New Roman" w:hAnsi="Times New Roman"/>
                <w:color w:val="auto"/>
                <w:highlight w:val="none"/>
              </w:rPr>
            </w:pPr>
          </w:p>
        </w:tc>
        <w:tc>
          <w:tcPr>
            <w:tcW w:w="1424" w:type="dxa"/>
            <w:noWrap w:val="0"/>
            <w:vAlign w:val="center"/>
          </w:tcPr>
          <w:p w14:paraId="4CC8B23A">
            <w:pPr>
              <w:jc w:val="center"/>
              <w:rPr>
                <w:rFonts w:ascii="Times New Roman" w:hAnsi="Times New Roman"/>
                <w:color w:val="auto"/>
                <w:highlight w:val="none"/>
              </w:rPr>
            </w:pPr>
          </w:p>
        </w:tc>
        <w:tc>
          <w:tcPr>
            <w:tcW w:w="1204" w:type="dxa"/>
            <w:noWrap w:val="0"/>
            <w:vAlign w:val="center"/>
          </w:tcPr>
          <w:p w14:paraId="479AF550">
            <w:pPr>
              <w:jc w:val="center"/>
              <w:rPr>
                <w:rFonts w:ascii="Times New Roman" w:hAnsi="Times New Roman"/>
                <w:color w:val="auto"/>
                <w:highlight w:val="none"/>
              </w:rPr>
            </w:pPr>
          </w:p>
        </w:tc>
        <w:tc>
          <w:tcPr>
            <w:tcW w:w="1120" w:type="dxa"/>
            <w:noWrap w:val="0"/>
            <w:vAlign w:val="center"/>
          </w:tcPr>
          <w:p w14:paraId="4F100621">
            <w:pPr>
              <w:jc w:val="center"/>
              <w:rPr>
                <w:rFonts w:ascii="Times New Roman" w:hAnsi="Times New Roman"/>
                <w:color w:val="auto"/>
                <w:highlight w:val="none"/>
              </w:rPr>
            </w:pPr>
          </w:p>
        </w:tc>
        <w:tc>
          <w:tcPr>
            <w:tcW w:w="1427" w:type="dxa"/>
            <w:noWrap w:val="0"/>
            <w:vAlign w:val="center"/>
          </w:tcPr>
          <w:p w14:paraId="2986F274">
            <w:pPr>
              <w:jc w:val="center"/>
              <w:rPr>
                <w:rFonts w:ascii="Times New Roman" w:hAnsi="Times New Roman"/>
                <w:color w:val="auto"/>
                <w:highlight w:val="none"/>
              </w:rPr>
            </w:pPr>
          </w:p>
        </w:tc>
        <w:tc>
          <w:tcPr>
            <w:tcW w:w="1506" w:type="dxa"/>
            <w:noWrap w:val="0"/>
            <w:vAlign w:val="center"/>
          </w:tcPr>
          <w:p w14:paraId="58E0E862">
            <w:pPr>
              <w:jc w:val="center"/>
              <w:rPr>
                <w:rFonts w:ascii="Times New Roman" w:hAnsi="Times New Roman"/>
                <w:color w:val="auto"/>
                <w:highlight w:val="none"/>
              </w:rPr>
            </w:pPr>
          </w:p>
        </w:tc>
        <w:tc>
          <w:tcPr>
            <w:tcW w:w="1148" w:type="dxa"/>
            <w:noWrap w:val="0"/>
            <w:vAlign w:val="center"/>
          </w:tcPr>
          <w:p w14:paraId="7F439AAC">
            <w:pPr>
              <w:jc w:val="center"/>
              <w:rPr>
                <w:rFonts w:ascii="Times New Roman" w:hAnsi="Times New Roman"/>
                <w:color w:val="auto"/>
                <w:highlight w:val="none"/>
              </w:rPr>
            </w:pPr>
          </w:p>
        </w:tc>
      </w:tr>
      <w:tr w14:paraId="3149E0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60109100">
            <w:pPr>
              <w:jc w:val="center"/>
              <w:rPr>
                <w:rFonts w:ascii="Times New Roman" w:hAnsi="Times New Roman"/>
                <w:color w:val="auto"/>
                <w:highlight w:val="none"/>
              </w:rPr>
            </w:pPr>
          </w:p>
        </w:tc>
        <w:tc>
          <w:tcPr>
            <w:tcW w:w="1188" w:type="dxa"/>
            <w:noWrap w:val="0"/>
            <w:vAlign w:val="center"/>
          </w:tcPr>
          <w:p w14:paraId="5CA9E7C2">
            <w:pPr>
              <w:jc w:val="center"/>
              <w:rPr>
                <w:rFonts w:ascii="Times New Roman" w:hAnsi="Times New Roman"/>
                <w:color w:val="auto"/>
                <w:highlight w:val="none"/>
              </w:rPr>
            </w:pPr>
          </w:p>
        </w:tc>
        <w:tc>
          <w:tcPr>
            <w:tcW w:w="1424" w:type="dxa"/>
            <w:noWrap w:val="0"/>
            <w:vAlign w:val="center"/>
          </w:tcPr>
          <w:p w14:paraId="6C3C2067">
            <w:pPr>
              <w:jc w:val="center"/>
              <w:rPr>
                <w:rFonts w:ascii="Times New Roman" w:hAnsi="Times New Roman"/>
                <w:color w:val="auto"/>
                <w:highlight w:val="none"/>
              </w:rPr>
            </w:pPr>
          </w:p>
        </w:tc>
        <w:tc>
          <w:tcPr>
            <w:tcW w:w="1204" w:type="dxa"/>
            <w:noWrap w:val="0"/>
            <w:vAlign w:val="center"/>
          </w:tcPr>
          <w:p w14:paraId="47F289B5">
            <w:pPr>
              <w:jc w:val="center"/>
              <w:rPr>
                <w:rFonts w:ascii="Times New Roman" w:hAnsi="Times New Roman"/>
                <w:color w:val="auto"/>
                <w:highlight w:val="none"/>
              </w:rPr>
            </w:pPr>
          </w:p>
        </w:tc>
        <w:tc>
          <w:tcPr>
            <w:tcW w:w="1120" w:type="dxa"/>
            <w:noWrap w:val="0"/>
            <w:vAlign w:val="center"/>
          </w:tcPr>
          <w:p w14:paraId="626F5A26">
            <w:pPr>
              <w:jc w:val="center"/>
              <w:rPr>
                <w:rFonts w:ascii="Times New Roman" w:hAnsi="Times New Roman"/>
                <w:color w:val="auto"/>
                <w:highlight w:val="none"/>
              </w:rPr>
            </w:pPr>
          </w:p>
        </w:tc>
        <w:tc>
          <w:tcPr>
            <w:tcW w:w="1427" w:type="dxa"/>
            <w:noWrap w:val="0"/>
            <w:vAlign w:val="center"/>
          </w:tcPr>
          <w:p w14:paraId="0835B737">
            <w:pPr>
              <w:jc w:val="center"/>
              <w:rPr>
                <w:rFonts w:ascii="Times New Roman" w:hAnsi="Times New Roman"/>
                <w:color w:val="auto"/>
                <w:highlight w:val="none"/>
              </w:rPr>
            </w:pPr>
          </w:p>
        </w:tc>
        <w:tc>
          <w:tcPr>
            <w:tcW w:w="1506" w:type="dxa"/>
            <w:noWrap w:val="0"/>
            <w:vAlign w:val="center"/>
          </w:tcPr>
          <w:p w14:paraId="539D4397">
            <w:pPr>
              <w:jc w:val="center"/>
              <w:rPr>
                <w:rFonts w:ascii="Times New Roman" w:hAnsi="Times New Roman"/>
                <w:color w:val="auto"/>
                <w:highlight w:val="none"/>
              </w:rPr>
            </w:pPr>
          </w:p>
        </w:tc>
        <w:tc>
          <w:tcPr>
            <w:tcW w:w="1148" w:type="dxa"/>
            <w:noWrap w:val="0"/>
            <w:vAlign w:val="center"/>
          </w:tcPr>
          <w:p w14:paraId="20FDED26">
            <w:pPr>
              <w:jc w:val="center"/>
              <w:rPr>
                <w:rFonts w:ascii="Times New Roman" w:hAnsi="Times New Roman"/>
                <w:color w:val="auto"/>
                <w:highlight w:val="none"/>
              </w:rPr>
            </w:pPr>
          </w:p>
        </w:tc>
      </w:tr>
      <w:tr w14:paraId="1570B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52DA0E98">
            <w:pPr>
              <w:jc w:val="center"/>
              <w:rPr>
                <w:rFonts w:ascii="Times New Roman" w:hAnsi="Times New Roman"/>
                <w:color w:val="auto"/>
                <w:highlight w:val="none"/>
              </w:rPr>
            </w:pPr>
          </w:p>
        </w:tc>
        <w:tc>
          <w:tcPr>
            <w:tcW w:w="1188" w:type="dxa"/>
            <w:noWrap w:val="0"/>
            <w:vAlign w:val="center"/>
          </w:tcPr>
          <w:p w14:paraId="29BC6CF5">
            <w:pPr>
              <w:jc w:val="center"/>
              <w:rPr>
                <w:rFonts w:ascii="Times New Roman" w:hAnsi="Times New Roman"/>
                <w:color w:val="auto"/>
                <w:highlight w:val="none"/>
              </w:rPr>
            </w:pPr>
          </w:p>
        </w:tc>
        <w:tc>
          <w:tcPr>
            <w:tcW w:w="1424" w:type="dxa"/>
            <w:noWrap w:val="0"/>
            <w:vAlign w:val="center"/>
          </w:tcPr>
          <w:p w14:paraId="2E98FEAE">
            <w:pPr>
              <w:jc w:val="center"/>
              <w:rPr>
                <w:rFonts w:ascii="Times New Roman" w:hAnsi="Times New Roman"/>
                <w:color w:val="auto"/>
                <w:highlight w:val="none"/>
              </w:rPr>
            </w:pPr>
          </w:p>
        </w:tc>
        <w:tc>
          <w:tcPr>
            <w:tcW w:w="1204" w:type="dxa"/>
            <w:noWrap w:val="0"/>
            <w:vAlign w:val="center"/>
          </w:tcPr>
          <w:p w14:paraId="19BD0D95">
            <w:pPr>
              <w:jc w:val="center"/>
              <w:rPr>
                <w:rFonts w:ascii="Times New Roman" w:hAnsi="Times New Roman"/>
                <w:color w:val="auto"/>
                <w:highlight w:val="none"/>
              </w:rPr>
            </w:pPr>
          </w:p>
        </w:tc>
        <w:tc>
          <w:tcPr>
            <w:tcW w:w="1120" w:type="dxa"/>
            <w:noWrap w:val="0"/>
            <w:vAlign w:val="center"/>
          </w:tcPr>
          <w:p w14:paraId="540E5502">
            <w:pPr>
              <w:jc w:val="center"/>
              <w:rPr>
                <w:rFonts w:ascii="Times New Roman" w:hAnsi="Times New Roman"/>
                <w:color w:val="auto"/>
                <w:highlight w:val="none"/>
              </w:rPr>
            </w:pPr>
          </w:p>
        </w:tc>
        <w:tc>
          <w:tcPr>
            <w:tcW w:w="1427" w:type="dxa"/>
            <w:noWrap w:val="0"/>
            <w:vAlign w:val="center"/>
          </w:tcPr>
          <w:p w14:paraId="02746832">
            <w:pPr>
              <w:jc w:val="center"/>
              <w:rPr>
                <w:rFonts w:ascii="Times New Roman" w:hAnsi="Times New Roman"/>
                <w:color w:val="auto"/>
                <w:highlight w:val="none"/>
              </w:rPr>
            </w:pPr>
          </w:p>
        </w:tc>
        <w:tc>
          <w:tcPr>
            <w:tcW w:w="1506" w:type="dxa"/>
            <w:noWrap w:val="0"/>
            <w:vAlign w:val="center"/>
          </w:tcPr>
          <w:p w14:paraId="39501AD6">
            <w:pPr>
              <w:jc w:val="center"/>
              <w:rPr>
                <w:rFonts w:ascii="Times New Roman" w:hAnsi="Times New Roman"/>
                <w:color w:val="auto"/>
                <w:highlight w:val="none"/>
              </w:rPr>
            </w:pPr>
          </w:p>
        </w:tc>
        <w:tc>
          <w:tcPr>
            <w:tcW w:w="1148" w:type="dxa"/>
            <w:noWrap w:val="0"/>
            <w:vAlign w:val="center"/>
          </w:tcPr>
          <w:p w14:paraId="2C479353">
            <w:pPr>
              <w:jc w:val="center"/>
              <w:rPr>
                <w:rFonts w:ascii="Times New Roman" w:hAnsi="Times New Roman"/>
                <w:color w:val="auto"/>
                <w:highlight w:val="none"/>
              </w:rPr>
            </w:pPr>
          </w:p>
        </w:tc>
      </w:tr>
      <w:tr w14:paraId="7B021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717" w:type="dxa"/>
            <w:noWrap w:val="0"/>
            <w:vAlign w:val="center"/>
          </w:tcPr>
          <w:p w14:paraId="0C92A05E">
            <w:pPr>
              <w:jc w:val="center"/>
              <w:rPr>
                <w:rFonts w:ascii="Times New Roman" w:hAnsi="Times New Roman"/>
                <w:color w:val="auto"/>
                <w:highlight w:val="none"/>
              </w:rPr>
            </w:pPr>
          </w:p>
        </w:tc>
        <w:tc>
          <w:tcPr>
            <w:tcW w:w="1188" w:type="dxa"/>
            <w:noWrap w:val="0"/>
            <w:vAlign w:val="center"/>
          </w:tcPr>
          <w:p w14:paraId="0FBF8C6D">
            <w:pPr>
              <w:jc w:val="center"/>
              <w:rPr>
                <w:rFonts w:ascii="Times New Roman" w:hAnsi="Times New Roman"/>
                <w:color w:val="auto"/>
                <w:highlight w:val="none"/>
              </w:rPr>
            </w:pPr>
          </w:p>
        </w:tc>
        <w:tc>
          <w:tcPr>
            <w:tcW w:w="1424" w:type="dxa"/>
            <w:noWrap w:val="0"/>
            <w:vAlign w:val="center"/>
          </w:tcPr>
          <w:p w14:paraId="101F98F8">
            <w:pPr>
              <w:jc w:val="center"/>
              <w:rPr>
                <w:rFonts w:ascii="Times New Roman" w:hAnsi="Times New Roman"/>
                <w:color w:val="auto"/>
                <w:highlight w:val="none"/>
              </w:rPr>
            </w:pPr>
          </w:p>
        </w:tc>
        <w:tc>
          <w:tcPr>
            <w:tcW w:w="1204" w:type="dxa"/>
            <w:noWrap w:val="0"/>
            <w:vAlign w:val="center"/>
          </w:tcPr>
          <w:p w14:paraId="367BD872">
            <w:pPr>
              <w:jc w:val="center"/>
              <w:rPr>
                <w:rFonts w:ascii="Times New Roman" w:hAnsi="Times New Roman"/>
                <w:color w:val="auto"/>
                <w:highlight w:val="none"/>
              </w:rPr>
            </w:pPr>
          </w:p>
        </w:tc>
        <w:tc>
          <w:tcPr>
            <w:tcW w:w="1120" w:type="dxa"/>
            <w:noWrap w:val="0"/>
            <w:vAlign w:val="center"/>
          </w:tcPr>
          <w:p w14:paraId="40DDDEF5">
            <w:pPr>
              <w:jc w:val="center"/>
              <w:rPr>
                <w:rFonts w:ascii="Times New Roman" w:hAnsi="Times New Roman"/>
                <w:color w:val="auto"/>
                <w:highlight w:val="none"/>
              </w:rPr>
            </w:pPr>
          </w:p>
        </w:tc>
        <w:tc>
          <w:tcPr>
            <w:tcW w:w="1427" w:type="dxa"/>
            <w:noWrap w:val="0"/>
            <w:vAlign w:val="center"/>
          </w:tcPr>
          <w:p w14:paraId="79AB154A">
            <w:pPr>
              <w:jc w:val="center"/>
              <w:rPr>
                <w:rFonts w:ascii="Times New Roman" w:hAnsi="Times New Roman"/>
                <w:color w:val="auto"/>
                <w:highlight w:val="none"/>
              </w:rPr>
            </w:pPr>
          </w:p>
        </w:tc>
        <w:tc>
          <w:tcPr>
            <w:tcW w:w="1506" w:type="dxa"/>
            <w:noWrap w:val="0"/>
            <w:vAlign w:val="center"/>
          </w:tcPr>
          <w:p w14:paraId="66FEBCF7">
            <w:pPr>
              <w:jc w:val="center"/>
              <w:rPr>
                <w:rFonts w:ascii="Times New Roman" w:hAnsi="Times New Roman"/>
                <w:color w:val="auto"/>
                <w:highlight w:val="none"/>
              </w:rPr>
            </w:pPr>
          </w:p>
        </w:tc>
        <w:tc>
          <w:tcPr>
            <w:tcW w:w="1148" w:type="dxa"/>
            <w:noWrap w:val="0"/>
            <w:vAlign w:val="center"/>
          </w:tcPr>
          <w:p w14:paraId="766B75EF">
            <w:pPr>
              <w:jc w:val="center"/>
              <w:rPr>
                <w:rFonts w:ascii="Times New Roman" w:hAnsi="Times New Roman"/>
                <w:color w:val="auto"/>
                <w:highlight w:val="none"/>
              </w:rPr>
            </w:pPr>
          </w:p>
        </w:tc>
      </w:tr>
    </w:tbl>
    <w:p w14:paraId="2A08D5CB">
      <w:pPr>
        <w:pStyle w:val="15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imes New Roman" w:hAnsi="Times New Roman"/>
          <w:color w:val="auto"/>
          <w:highlight w:val="none"/>
        </w:rPr>
      </w:pPr>
      <w:r>
        <w:rPr>
          <w:rFonts w:hint="eastAsia" w:ascii="Times New Roman" w:hAnsi="Times New Roman"/>
          <w:color w:val="auto"/>
          <w:highlight w:val="none"/>
        </w:rPr>
        <w:t>Note : 1. les soumissionnaires doivent joindre à ce tableau les documents justificatifs pertinents en fonction des performances requises par le document d'appel d'offres ;</w:t>
      </w:r>
    </w:p>
    <w:p w14:paraId="2B61BD07">
      <w:pPr>
        <w:pStyle w:val="152"/>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Times New Roman" w:hAnsi="Times New Roman"/>
          <w:color w:val="auto"/>
          <w:highlight w:val="none"/>
        </w:rPr>
      </w:pPr>
      <w:r>
        <w:rPr>
          <w:rFonts w:hint="eastAsia" w:ascii="Times New Roman" w:hAnsi="Times New Roman"/>
          <w:color w:val="auto"/>
          <w:highlight w:val="none"/>
        </w:rPr>
        <w:t>le nombre de performances fournies est basé sur le nombre de copies de contrats satisfaisant aux exigences de qualification. Lors de la soumission des documents de réponse, les soumissionnaires doivent également soumettre des copies des contrats qui peuvent prouver que les soumissionnaires répondent aux exigences de qualification de la performance (fournir la page de couverture, la page de signature et de sceau et la page de l'étendue du service du contrat).</w:t>
      </w:r>
    </w:p>
    <w:p w14:paraId="4289F89B">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06EACEF3">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4E8CA493">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3DF77C49">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77FF81E7">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428E3629">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4E23D42D">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3BAA6846">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0F5CAC89">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7AB3479A">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77D15CBE">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1D7512BA">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41DF7A2E">
      <w:pPr>
        <w:pStyle w:val="3"/>
        <w:spacing w:before="0" w:after="0" w:line="360" w:lineRule="auto"/>
        <w:jc w:val="center"/>
        <w:rPr>
          <w:rFonts w:hint="eastAsia" w:ascii="Times New Roman" w:hAnsi="Times New Roman" w:eastAsia="宋体"/>
          <w:b w:val="0"/>
          <w:bCs w:val="0"/>
          <w:kern w:val="2"/>
          <w:sz w:val="21"/>
          <w:szCs w:val="21"/>
          <w:highlight w:val="none"/>
          <w:lang w:val="en-US" w:eastAsia="zh-CN" w:bidi="ar-SA"/>
        </w:rPr>
      </w:pPr>
      <w:bookmarkStart w:id="137" w:name="_Toc9871"/>
      <w:bookmarkStart w:id="138" w:name="_Toc28085"/>
    </w:p>
    <w:p w14:paraId="0CF5E3A5">
      <w:pPr>
        <w:pStyle w:val="3"/>
        <w:spacing w:before="0" w:after="0" w:line="360" w:lineRule="auto"/>
        <w:jc w:val="center"/>
        <w:rPr>
          <w:rFonts w:ascii="Times New Roman" w:hAnsi="Times New Roman" w:eastAsia="宋体"/>
          <w:color w:val="auto"/>
          <w:sz w:val="21"/>
          <w:szCs w:val="21"/>
          <w:highlight w:val="none"/>
        </w:rPr>
      </w:pPr>
      <w:r>
        <w:rPr>
          <w:rFonts w:hint="eastAsia" w:ascii="宋体" w:hAnsi="宋体" w:eastAsia="宋体" w:cs="宋体"/>
          <w:b/>
          <w:bCs w:val="0"/>
          <w:color w:val="auto"/>
          <w:kern w:val="2"/>
          <w:sz w:val="28"/>
          <w:szCs w:val="21"/>
          <w:highlight w:val="none"/>
          <w:lang w:val="en-US" w:eastAsia="zh-CN" w:bidi="ar-SA"/>
        </w:rPr>
        <w:t>七、服务大纲</w:t>
      </w:r>
      <w:bookmarkEnd w:id="137"/>
      <w:bookmarkEnd w:id="138"/>
    </w:p>
    <w:p w14:paraId="7F9825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color w:val="auto"/>
          <w:highlight w:val="none"/>
        </w:rPr>
      </w:pPr>
      <w:r>
        <w:rPr>
          <w:rFonts w:hint="eastAsia" w:ascii="宋体" w:hAnsi="宋体" w:eastAsia="宋体" w:cs="Times New Roman"/>
          <w:b/>
          <w:bCs/>
          <w:color w:val="auto"/>
          <w:kern w:val="2"/>
          <w:sz w:val="21"/>
          <w:szCs w:val="21"/>
          <w:highlight w:val="none"/>
          <w:lang w:val="en-US" w:eastAsia="zh-CN" w:bidi="ar-SA"/>
        </w:rPr>
        <w:t>【编注：</w:t>
      </w:r>
      <w:r>
        <w:rPr>
          <w:rFonts w:hint="eastAsia" w:ascii="宋体" w:hAnsi="宋体" w:eastAsia="宋体"/>
          <w:b/>
          <w:color w:val="auto"/>
          <w:szCs w:val="21"/>
          <w:highlight w:val="none"/>
          <w:lang w:val="en-US" w:eastAsia="zh-CN"/>
        </w:rPr>
        <w:t>编制人根据需要响应人</w:t>
      </w:r>
      <w:r>
        <w:rPr>
          <w:rFonts w:hint="eastAsia" w:ascii="宋体" w:hAnsi="宋体" w:eastAsia="宋体" w:cs="Times New Roman"/>
          <w:b/>
          <w:bCs/>
          <w:color w:val="auto"/>
          <w:kern w:val="2"/>
          <w:sz w:val="21"/>
          <w:szCs w:val="21"/>
          <w:highlight w:val="none"/>
          <w:lang w:val="en-US" w:eastAsia="zh-CN" w:bidi="ar-SA"/>
        </w:rPr>
        <w:t>提供的服务内容</w:t>
      </w:r>
      <w:r>
        <w:rPr>
          <w:rFonts w:hint="eastAsia" w:ascii="宋体" w:hAnsi="宋体" w:eastAsia="宋体"/>
          <w:b/>
          <w:color w:val="auto"/>
          <w:szCs w:val="21"/>
          <w:highlight w:val="none"/>
          <w:lang w:val="en-US" w:eastAsia="zh-CN"/>
        </w:rPr>
        <w:t>对以下内容进行调整</w:t>
      </w:r>
      <w:r>
        <w:rPr>
          <w:rFonts w:hint="eastAsia" w:ascii="宋体" w:hAnsi="宋体" w:eastAsia="宋体"/>
          <w:b/>
          <w:color w:val="auto"/>
          <w:szCs w:val="21"/>
          <w:highlight w:val="none"/>
        </w:rPr>
        <w:t>】</w:t>
      </w:r>
    </w:p>
    <w:p w14:paraId="1E6CA11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一、服务项目概况；</w:t>
      </w:r>
    </w:p>
    <w:p w14:paraId="5940DD4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二、服务范围、服务内容；</w:t>
      </w:r>
    </w:p>
    <w:p w14:paraId="5022613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三、服务依据、</w:t>
      </w:r>
      <w:r>
        <w:rPr>
          <w:rFonts w:ascii="Times New Roman" w:hAnsi="Times New Roman"/>
          <w:color w:val="auto"/>
          <w:highlight w:val="none"/>
        </w:rPr>
        <w:t>服务工作目标</w:t>
      </w:r>
      <w:r>
        <w:rPr>
          <w:rFonts w:ascii="Times New Roman" w:hAnsi="Times New Roman"/>
          <w:color w:val="auto"/>
          <w:szCs w:val="21"/>
          <w:highlight w:val="none"/>
        </w:rPr>
        <w:t>；</w:t>
      </w:r>
    </w:p>
    <w:p w14:paraId="3E82DC5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四、服务机构设置、岗位职责；</w:t>
      </w:r>
    </w:p>
    <w:p w14:paraId="09F8CF4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五、服务工作程序、方法和制度；</w:t>
      </w:r>
    </w:p>
    <w:p w14:paraId="3A7703F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六、拟投入的服务人员、试验检测仪器设备；</w:t>
      </w:r>
    </w:p>
    <w:p w14:paraId="0516F03E">
      <w:pPr>
        <w:adjustRightInd w:val="0"/>
        <w:snapToGrid w:val="0"/>
        <w:spacing w:line="360" w:lineRule="auto"/>
        <w:rPr>
          <w:rFonts w:ascii="Times New Roman" w:hAnsi="Times New Roman"/>
          <w:color w:val="auto"/>
          <w:szCs w:val="21"/>
          <w:highlight w:val="none"/>
        </w:rPr>
      </w:pPr>
      <w:r>
        <w:rPr>
          <w:rFonts w:ascii="Times New Roman" w:hAnsi="Times New Roman"/>
          <w:color w:val="auto"/>
          <w:szCs w:val="21"/>
          <w:highlight w:val="none"/>
        </w:rPr>
        <w:t xml:space="preserve"> </w:t>
      </w:r>
    </w:p>
    <w:p w14:paraId="0E983A25">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VII. aperçu des services</w:t>
      </w:r>
    </w:p>
    <w:p w14:paraId="6DA9A62F">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[Note de l'éditeur : le préparateur ajuste ce qui suit en fonction des services à fournir par le répondant].</w:t>
      </w:r>
    </w:p>
    <w:p w14:paraId="3EF10A43">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I. Présentation du projet de service ;</w:t>
      </w:r>
    </w:p>
    <w:p w14:paraId="409990F9">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II. étendue du service, contenu du service</w:t>
      </w:r>
    </w:p>
    <w:p w14:paraId="40D4DE05">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III. base du service, objectifs du travail de service</w:t>
      </w:r>
    </w:p>
    <w:p w14:paraId="0BBFBF82">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IV. organisation du service, responsabilités professionnelles</w:t>
      </w:r>
    </w:p>
    <w:p w14:paraId="0A5888AC">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V. Procédures, méthodes et systèmes de travail du service ;</w:t>
      </w:r>
    </w:p>
    <w:p w14:paraId="088978AA">
      <w:pPr>
        <w:pStyle w:val="3"/>
        <w:spacing w:before="0" w:after="0" w:line="360" w:lineRule="auto"/>
        <w:jc w:val="left"/>
        <w:rPr>
          <w:rFonts w:hint="eastAsia" w:ascii="Times New Roman" w:hAnsi="Times New Roman" w:eastAsia="宋体"/>
          <w:color w:val="auto"/>
          <w:sz w:val="21"/>
          <w:szCs w:val="21"/>
          <w:highlight w:val="none"/>
          <w:lang w:val="en-US" w:eastAsia="zh-CN"/>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r>
        <w:rPr>
          <w:rFonts w:hint="eastAsia" w:ascii="Times New Roman" w:hAnsi="Times New Roman" w:eastAsia="宋体"/>
          <w:color w:val="auto"/>
          <w:sz w:val="21"/>
          <w:szCs w:val="21"/>
          <w:highlight w:val="none"/>
          <w:lang w:val="en-US" w:eastAsia="zh-CN"/>
        </w:rPr>
        <w:t>VI. le personnel de service, les instruments d'essai et d'inspection et l'équipement à investir ;</w:t>
      </w:r>
    </w:p>
    <w:p w14:paraId="0389B4A7">
      <w:pPr>
        <w:tabs>
          <w:tab w:val="left" w:pos="3820"/>
        </w:tabs>
        <w:spacing w:line="360" w:lineRule="auto"/>
        <w:jc w:val="center"/>
        <w:rPr>
          <w:rFonts w:hint="eastAsia" w:ascii="宋体" w:hAnsi="宋体" w:cs="宋体"/>
          <w:b/>
          <w:bCs/>
          <w:color w:val="auto"/>
          <w:sz w:val="52"/>
          <w:szCs w:val="52"/>
          <w:highlight w:val="none"/>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4F610BCD">
      <w:pPr>
        <w:tabs>
          <w:tab w:val="left" w:pos="3820"/>
        </w:tabs>
        <w:spacing w:line="360" w:lineRule="auto"/>
        <w:jc w:val="center"/>
        <w:rPr>
          <w:rFonts w:hint="eastAsia" w:ascii="宋体" w:hAnsi="宋体" w:cs="宋体"/>
          <w:b/>
          <w:bCs/>
          <w:color w:val="auto"/>
          <w:sz w:val="52"/>
          <w:szCs w:val="52"/>
          <w:highlight w:val="none"/>
        </w:rPr>
      </w:pPr>
    </w:p>
    <w:p w14:paraId="0BAFD3C7">
      <w:pPr>
        <w:tabs>
          <w:tab w:val="left" w:pos="3820"/>
        </w:tabs>
        <w:spacing w:line="360" w:lineRule="auto"/>
        <w:jc w:val="center"/>
        <w:rPr>
          <w:rFonts w:hint="eastAsia" w:ascii="宋体" w:hAnsi="宋体" w:cs="宋体"/>
          <w:b/>
          <w:bCs/>
          <w:color w:val="auto"/>
          <w:sz w:val="52"/>
          <w:szCs w:val="52"/>
          <w:highlight w:val="none"/>
        </w:rPr>
      </w:pPr>
    </w:p>
    <w:p w14:paraId="6EDC813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b/>
          <w:bCs/>
          <w:color w:val="auto"/>
          <w:sz w:val="52"/>
          <w:szCs w:val="52"/>
          <w:highlight w:val="none"/>
          <w:lang w:val="en-US" w:eastAsia="zh-CN"/>
        </w:rPr>
      </w:pPr>
    </w:p>
    <w:p w14:paraId="298E636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b/>
          <w:bCs/>
          <w:color w:val="auto"/>
          <w:sz w:val="52"/>
          <w:szCs w:val="52"/>
          <w:highlight w:val="none"/>
          <w:lang w:val="en-US" w:eastAsia="zh-CN"/>
        </w:rPr>
      </w:pPr>
      <w:r>
        <w:rPr>
          <w:rFonts w:hint="eastAsia" w:ascii="宋体" w:hAnsi="宋体"/>
          <w:b/>
          <w:bCs/>
          <w:color w:val="auto"/>
          <w:sz w:val="52"/>
          <w:szCs w:val="52"/>
          <w:highlight w:val="none"/>
          <w:lang w:val="en-US" w:eastAsia="zh-CN"/>
        </w:rPr>
        <w:t>××××公司</w:t>
      </w:r>
    </w:p>
    <w:p w14:paraId="403DE51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b/>
          <w:bCs/>
          <w:color w:val="auto"/>
          <w:sz w:val="52"/>
          <w:szCs w:val="52"/>
          <w:highlight w:val="none"/>
          <w:lang w:val="en-US" w:eastAsia="zh-CN"/>
        </w:rPr>
      </w:pPr>
      <w:r>
        <w:rPr>
          <w:rFonts w:hint="eastAsia" w:ascii="宋体" w:hAnsi="宋体"/>
          <w:b/>
          <w:bCs/>
          <w:color w:val="auto"/>
          <w:sz w:val="52"/>
          <w:szCs w:val="52"/>
          <w:highlight w:val="none"/>
          <w:lang w:val="en-US" w:eastAsia="zh-CN"/>
        </w:rPr>
        <w:t>××××（项目名称）</w:t>
      </w:r>
    </w:p>
    <w:p w14:paraId="6B01DC0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b/>
          <w:bCs/>
          <w:color w:val="auto"/>
          <w:sz w:val="52"/>
          <w:szCs w:val="52"/>
          <w:highlight w:val="none"/>
          <w:lang w:val="en-US" w:eastAsia="zh-CN"/>
        </w:rPr>
      </w:pPr>
      <w:r>
        <w:rPr>
          <w:rFonts w:hint="eastAsia" w:ascii="宋体" w:hAnsi="宋体"/>
          <w:b/>
          <w:bCs/>
          <w:color w:val="auto"/>
          <w:sz w:val="52"/>
          <w:szCs w:val="52"/>
          <w:highlight w:val="none"/>
          <w:lang w:val="en-US" w:eastAsia="zh-CN"/>
        </w:rPr>
        <w:t>响应文件B</w:t>
      </w:r>
    </w:p>
    <w:p w14:paraId="1EC1B7B3">
      <w:pPr>
        <w:bidi w:val="0"/>
        <w:rPr>
          <w:rFonts w:hint="eastAsia"/>
          <w:color w:val="auto"/>
          <w:highlight w:val="none"/>
          <w:lang w:val="en-US" w:eastAsia="zh-CN"/>
        </w:rPr>
      </w:pPr>
    </w:p>
    <w:p w14:paraId="254D3984">
      <w:pPr>
        <w:rPr>
          <w:rFonts w:hint="eastAsia" w:ascii="宋体" w:hAnsi="宋体" w:cs="宋体"/>
          <w:color w:val="auto"/>
          <w:highlight w:val="none"/>
        </w:rPr>
      </w:pPr>
    </w:p>
    <w:p w14:paraId="66EF7A74">
      <w:pPr>
        <w:rPr>
          <w:rFonts w:hint="eastAsia" w:ascii="宋体" w:hAnsi="宋体" w:cs="宋体"/>
          <w:color w:val="auto"/>
          <w:highlight w:val="none"/>
        </w:rPr>
      </w:pPr>
    </w:p>
    <w:p w14:paraId="44E84F0B">
      <w:pPr>
        <w:rPr>
          <w:rFonts w:hint="eastAsia" w:ascii="宋体" w:hAnsi="宋体" w:cs="宋体"/>
          <w:color w:val="auto"/>
          <w:highlight w:val="none"/>
        </w:rPr>
      </w:pPr>
    </w:p>
    <w:p w14:paraId="604D6EBF">
      <w:pPr>
        <w:rPr>
          <w:rFonts w:hint="eastAsia" w:ascii="宋体" w:hAnsi="宋体" w:cs="宋体"/>
          <w:color w:val="auto"/>
          <w:highlight w:val="none"/>
        </w:rPr>
      </w:pPr>
    </w:p>
    <w:p w14:paraId="295E73D7">
      <w:pPr>
        <w:rPr>
          <w:rFonts w:hint="eastAsia" w:ascii="宋体" w:hAnsi="宋体" w:cs="宋体"/>
          <w:color w:val="auto"/>
          <w:highlight w:val="none"/>
        </w:rPr>
      </w:pPr>
    </w:p>
    <w:p w14:paraId="557112CA">
      <w:pPr>
        <w:rPr>
          <w:rFonts w:hint="eastAsia" w:ascii="宋体" w:hAnsi="宋体" w:cs="宋体"/>
          <w:color w:val="auto"/>
          <w:highlight w:val="none"/>
        </w:rPr>
      </w:pPr>
    </w:p>
    <w:p w14:paraId="229F9ABA">
      <w:pPr>
        <w:rPr>
          <w:rFonts w:hint="eastAsia" w:ascii="宋体" w:hAnsi="宋体" w:cs="宋体"/>
          <w:color w:val="auto"/>
          <w:highlight w:val="none"/>
        </w:rPr>
      </w:pPr>
    </w:p>
    <w:p w14:paraId="222473B9">
      <w:pPr>
        <w:rPr>
          <w:rFonts w:hint="eastAsia" w:ascii="宋体" w:hAnsi="宋体" w:cs="宋体"/>
          <w:color w:val="auto"/>
          <w:highlight w:val="none"/>
        </w:rPr>
      </w:pPr>
    </w:p>
    <w:p w14:paraId="04BB8397">
      <w:pPr>
        <w:rPr>
          <w:rFonts w:hint="eastAsia" w:ascii="宋体" w:hAnsi="宋体" w:cs="宋体"/>
          <w:color w:val="auto"/>
          <w:highlight w:val="none"/>
        </w:rPr>
      </w:pPr>
    </w:p>
    <w:p w14:paraId="3AAC1891">
      <w:pPr>
        <w:rPr>
          <w:rFonts w:hint="eastAsia" w:ascii="宋体" w:hAnsi="宋体" w:cs="宋体"/>
          <w:color w:val="auto"/>
          <w:highlight w:val="none"/>
        </w:rPr>
      </w:pPr>
    </w:p>
    <w:p w14:paraId="001DA492">
      <w:pPr>
        <w:rPr>
          <w:rFonts w:hint="eastAsia" w:ascii="宋体" w:hAnsi="宋体" w:cs="宋体"/>
          <w:color w:val="auto"/>
          <w:highlight w:val="none"/>
        </w:rPr>
      </w:pPr>
    </w:p>
    <w:p w14:paraId="742615E6">
      <w:pPr>
        <w:rPr>
          <w:rFonts w:hint="eastAsia" w:ascii="宋体" w:hAnsi="宋体" w:cs="宋体"/>
          <w:color w:val="auto"/>
          <w:highlight w:val="none"/>
        </w:rPr>
      </w:pPr>
    </w:p>
    <w:p w14:paraId="310D026D">
      <w:pPr>
        <w:rPr>
          <w:rFonts w:hint="eastAsia" w:ascii="宋体" w:hAnsi="宋体" w:cs="宋体"/>
          <w:color w:val="auto"/>
          <w:highlight w:val="none"/>
        </w:rPr>
      </w:pPr>
    </w:p>
    <w:p w14:paraId="783CA10E">
      <w:pPr>
        <w:rPr>
          <w:rFonts w:hint="eastAsia" w:ascii="宋体" w:hAnsi="宋体" w:cs="宋体"/>
          <w:color w:val="auto"/>
          <w:highlight w:val="none"/>
        </w:rPr>
      </w:pPr>
    </w:p>
    <w:p w14:paraId="39F50BE9">
      <w:pPr>
        <w:rPr>
          <w:rFonts w:hint="eastAsia" w:ascii="宋体" w:hAnsi="宋体" w:cs="宋体"/>
          <w:color w:val="auto"/>
          <w:highlight w:val="none"/>
        </w:rPr>
      </w:pPr>
    </w:p>
    <w:p w14:paraId="49C5FABE">
      <w:pPr>
        <w:rPr>
          <w:rFonts w:hint="eastAsia" w:ascii="宋体" w:hAnsi="宋体" w:cs="宋体"/>
          <w:color w:val="auto"/>
          <w:highlight w:val="none"/>
        </w:rPr>
      </w:pPr>
    </w:p>
    <w:p w14:paraId="229C1D4A">
      <w:pPr>
        <w:rPr>
          <w:rFonts w:hint="eastAsia" w:ascii="宋体" w:hAnsi="宋体" w:cs="宋体"/>
          <w:color w:val="auto"/>
          <w:highlight w:val="none"/>
        </w:rPr>
      </w:pPr>
    </w:p>
    <w:p w14:paraId="282D4415">
      <w:pPr>
        <w:spacing w:line="360" w:lineRule="auto"/>
        <w:ind w:firstLine="1120" w:firstLineChars="400"/>
        <w:rPr>
          <w:rFonts w:hint="eastAsia" w:ascii="宋体" w:hAnsi="宋体" w:cs="宋体"/>
          <w:color w:val="auto"/>
          <w:sz w:val="28"/>
          <w:highlight w:val="none"/>
          <w:u w:val="single"/>
        </w:rPr>
      </w:pPr>
      <w:r>
        <w:rPr>
          <w:rFonts w:hint="eastAsia" w:ascii="宋体" w:hAnsi="宋体" w:eastAsia="宋体" w:cs="宋体"/>
          <w:color w:val="auto"/>
          <w:sz w:val="28"/>
          <w:highlight w:val="none"/>
          <w:lang w:eastAsia="zh-CN"/>
        </w:rPr>
        <w:t>响应</w:t>
      </w:r>
      <w:r>
        <w:rPr>
          <w:rFonts w:hint="eastAsia" w:ascii="宋体" w:hAnsi="宋体" w:cs="宋体"/>
          <w:color w:val="auto"/>
          <w:sz w:val="28"/>
          <w:highlight w:val="none"/>
        </w:rPr>
        <w:t>人：</w:t>
      </w:r>
      <w:r>
        <w:rPr>
          <w:rFonts w:hint="eastAsia" w:ascii="宋体" w:hAnsi="宋体" w:cs="宋体"/>
          <w:color w:val="auto"/>
          <w:highlight w:val="none"/>
          <w:u w:val="single"/>
        </w:rPr>
        <w:t xml:space="preserve">                                            </w:t>
      </w:r>
      <w:r>
        <w:rPr>
          <w:rFonts w:hint="eastAsia" w:ascii="宋体" w:hAnsi="宋体" w:cs="宋体"/>
          <w:color w:val="auto"/>
          <w:sz w:val="28"/>
          <w:highlight w:val="none"/>
        </w:rPr>
        <w:t>（盖单位章）</w:t>
      </w:r>
    </w:p>
    <w:p w14:paraId="2952FA91">
      <w:pPr>
        <w:spacing w:line="360" w:lineRule="auto"/>
        <w:ind w:firstLine="1120" w:firstLineChars="400"/>
        <w:jc w:val="left"/>
        <w:rPr>
          <w:rFonts w:hint="eastAsia" w:ascii="宋体" w:hAnsi="宋体" w:cs="宋体"/>
          <w:color w:val="auto"/>
          <w:sz w:val="28"/>
          <w:highlight w:val="none"/>
        </w:rPr>
      </w:pPr>
      <w:r>
        <w:rPr>
          <w:rFonts w:hint="eastAsia" w:ascii="宋体" w:hAnsi="宋体" w:cs="宋体"/>
          <w:color w:val="auto"/>
          <w:sz w:val="28"/>
          <w:highlight w:val="none"/>
        </w:rPr>
        <w:t>法定代表人或其委托代理人：</w:t>
      </w:r>
      <w:r>
        <w:rPr>
          <w:rFonts w:hint="eastAsia" w:ascii="宋体" w:hAnsi="宋体" w:cs="宋体"/>
          <w:color w:val="auto"/>
          <w:highlight w:val="none"/>
          <w:u w:val="single"/>
        </w:rPr>
        <w:t xml:space="preserve">       </w:t>
      </w:r>
      <w:r>
        <w:rPr>
          <w:rFonts w:hint="eastAsia" w:ascii="宋体" w:hAnsi="宋体" w:cs="宋体"/>
          <w:color w:val="auto"/>
          <w:sz w:val="28"/>
          <w:highlight w:val="none"/>
        </w:rPr>
        <w:t>（签字）</w:t>
      </w:r>
    </w:p>
    <w:p w14:paraId="7B058B0C">
      <w:pPr>
        <w:jc w:val="center"/>
        <w:rPr>
          <w:rFonts w:hint="eastAsia" w:ascii="宋体" w:hAnsi="宋体" w:cs="宋体"/>
          <w:color w:val="auto"/>
          <w:highlight w:val="none"/>
        </w:rPr>
      </w:pPr>
    </w:p>
    <w:p w14:paraId="0D1250C0">
      <w:pPr>
        <w:jc w:val="center"/>
        <w:rPr>
          <w:rFonts w:hint="eastAsia" w:ascii="宋体" w:hAnsi="宋体" w:cs="宋体"/>
          <w:color w:val="auto"/>
          <w:sz w:val="28"/>
          <w:highlight w:val="none"/>
        </w:rPr>
      </w:pPr>
      <w:r>
        <w:rPr>
          <w:rFonts w:hint="eastAsia" w:ascii="宋体" w:hAnsi="宋体" w:cs="宋体"/>
          <w:color w:val="auto"/>
          <w:highlight w:val="none"/>
          <w:u w:val="single"/>
        </w:rPr>
        <w:t xml:space="preserve">       </w:t>
      </w:r>
      <w:r>
        <w:rPr>
          <w:rFonts w:hint="eastAsia" w:ascii="宋体" w:hAnsi="宋体" w:cs="宋体"/>
          <w:color w:val="auto"/>
          <w:sz w:val="28"/>
          <w:highlight w:val="none"/>
        </w:rPr>
        <w:t>年</w:t>
      </w:r>
      <w:r>
        <w:rPr>
          <w:rFonts w:hint="eastAsia" w:ascii="宋体" w:hAnsi="宋体" w:cs="宋体"/>
          <w:color w:val="auto"/>
          <w:highlight w:val="none"/>
          <w:u w:val="single"/>
        </w:rPr>
        <w:t xml:space="preserve">       </w:t>
      </w:r>
      <w:r>
        <w:rPr>
          <w:rFonts w:hint="eastAsia" w:ascii="宋体" w:hAnsi="宋体" w:cs="宋体"/>
          <w:color w:val="auto"/>
          <w:sz w:val="28"/>
          <w:highlight w:val="none"/>
        </w:rPr>
        <w:t>月</w:t>
      </w:r>
      <w:r>
        <w:rPr>
          <w:rFonts w:hint="eastAsia" w:ascii="宋体" w:hAnsi="宋体" w:cs="宋体"/>
          <w:color w:val="auto"/>
          <w:highlight w:val="none"/>
          <w:u w:val="single"/>
        </w:rPr>
        <w:t xml:space="preserve">       </w:t>
      </w:r>
      <w:r>
        <w:rPr>
          <w:rFonts w:hint="eastAsia" w:ascii="宋体" w:hAnsi="宋体" w:cs="宋体"/>
          <w:color w:val="auto"/>
          <w:sz w:val="28"/>
          <w:highlight w:val="none"/>
        </w:rPr>
        <w:t>日</w:t>
      </w:r>
    </w:p>
    <w:p w14:paraId="05B694F7">
      <w:pPr>
        <w:jc w:val="center"/>
        <w:rPr>
          <w:rFonts w:hint="eastAsia" w:ascii="宋体" w:hAnsi="宋体" w:cs="宋体"/>
          <w:color w:val="auto"/>
          <w:sz w:val="28"/>
          <w:highlight w:val="none"/>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15804C43">
      <w:pPr>
        <w:bidi w:val="0"/>
        <w:rPr>
          <w:rFonts w:hint="eastAsia"/>
          <w:color w:val="auto"/>
          <w:highlight w:val="none"/>
        </w:rPr>
      </w:pPr>
    </w:p>
    <w:p w14:paraId="09522167">
      <w:pPr>
        <w:pStyle w:val="3"/>
        <w:widowControl/>
        <w:spacing w:before="0" w:after="0" w:line="360" w:lineRule="auto"/>
        <w:jc w:val="center"/>
        <w:rPr>
          <w:color w:val="auto"/>
          <w:highlight w:val="none"/>
        </w:rPr>
      </w:pPr>
      <w:bookmarkStart w:id="139" w:name="_Toc32732"/>
      <w:bookmarkStart w:id="140" w:name="_Toc7714"/>
      <w:bookmarkStart w:id="141" w:name="_Toc24789"/>
      <w:bookmarkStart w:id="142" w:name="_Toc32535"/>
      <w:bookmarkStart w:id="143" w:name="_Toc3418"/>
      <w:bookmarkStart w:id="144" w:name="_Toc32617"/>
      <w:bookmarkStart w:id="145" w:name="_Toc20768"/>
      <w:bookmarkStart w:id="146" w:name="_Toc12466"/>
      <w:bookmarkStart w:id="147" w:name="_Toc184635138"/>
      <w:bookmarkStart w:id="148" w:name="_Toc14803"/>
      <w:bookmarkStart w:id="149" w:name="_Toc13649"/>
      <w:bookmarkStart w:id="150" w:name="_Toc6702500"/>
      <w:bookmarkStart w:id="151" w:name="_Toc6701343"/>
      <w:bookmarkStart w:id="152" w:name="_Toc5714781"/>
      <w:bookmarkStart w:id="153" w:name="_Toc15869"/>
      <w:bookmarkStart w:id="154" w:name="_Toc64635491"/>
      <w:r>
        <w:rPr>
          <w:rFonts w:hint="eastAsia" w:ascii="宋体" w:hAnsi="宋体" w:eastAsia="宋体" w:cs="宋体"/>
          <w:bCs w:val="0"/>
          <w:color w:val="auto"/>
          <w:sz w:val="28"/>
          <w:szCs w:val="28"/>
          <w:highlight w:val="none"/>
        </w:rPr>
        <w:t>目  录</w:t>
      </w:r>
      <w:bookmarkEnd w:id="139"/>
    </w:p>
    <w:p w14:paraId="467716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Times New Roman" w:hAnsi="Times New Roman"/>
          <w:color w:val="auto"/>
          <w:highlight w:val="none"/>
        </w:rPr>
      </w:pPr>
      <w:r>
        <w:rPr>
          <w:rFonts w:ascii="Times New Roman" w:hAnsi="Times New Roman"/>
          <w:color w:val="auto"/>
          <w:highlight w:val="none"/>
        </w:rPr>
        <w:t>一、</w:t>
      </w:r>
      <w:r>
        <w:rPr>
          <w:rFonts w:hint="eastAsia" w:ascii="Times New Roman" w:hAnsi="Times New Roman" w:eastAsia="宋体"/>
          <w:color w:val="auto"/>
          <w:highlight w:val="none"/>
          <w:lang w:eastAsia="zh-CN"/>
        </w:rPr>
        <w:t>响应</w:t>
      </w:r>
      <w:r>
        <w:rPr>
          <w:rFonts w:ascii="Times New Roman" w:hAnsi="Times New Roman"/>
          <w:color w:val="auto"/>
          <w:highlight w:val="none"/>
        </w:rPr>
        <w:t>函</w:t>
      </w:r>
    </w:p>
    <w:p w14:paraId="4AF2AF8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二</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报价格式</w:t>
      </w:r>
    </w:p>
    <w:p w14:paraId="6411228A">
      <w:pPr>
        <w:spacing w:before="0" w:after="0" w:line="360" w:lineRule="auto"/>
        <w:outlineLvl w:val="9"/>
        <w:rPr>
          <w:rFonts w:hint="eastAsia" w:ascii="宋体" w:hAnsi="宋体" w:eastAsia="宋体" w:cs="宋体"/>
          <w:bCs w:val="0"/>
          <w:color w:val="auto"/>
          <w:szCs w:val="21"/>
          <w:highlight w:val="none"/>
        </w:rPr>
      </w:pPr>
    </w:p>
    <w:p w14:paraId="0B3B0908">
      <w:pPr>
        <w:pStyle w:val="3"/>
        <w:spacing w:before="0" w:after="0" w:line="360" w:lineRule="auto"/>
        <w:rPr>
          <w:rFonts w:hint="eastAsia" w:ascii="宋体" w:hAnsi="宋体" w:eastAsia="宋体" w:cs="宋体"/>
          <w:bCs w:val="0"/>
          <w:color w:val="auto"/>
          <w:szCs w:val="21"/>
          <w:highlight w:val="none"/>
        </w:rPr>
      </w:pPr>
      <w:r>
        <w:rPr>
          <w:rFonts w:hint="eastAsia" w:ascii="宋体" w:hAnsi="宋体" w:eastAsia="宋体" w:cs="宋体"/>
          <w:bCs w:val="0"/>
          <w:color w:val="auto"/>
          <w:szCs w:val="21"/>
          <w:highlight w:val="none"/>
        </w:rPr>
        <w:t>Table des matières</w:t>
      </w:r>
    </w:p>
    <w:p w14:paraId="7E742FBA">
      <w:pPr>
        <w:bidi w:val="0"/>
        <w:rPr>
          <w:rFonts w:hint="eastAsia"/>
        </w:rPr>
      </w:pPr>
      <w:r>
        <w:rPr>
          <w:rFonts w:hint="eastAsia"/>
        </w:rPr>
        <w:t>I. Lettre de réponse</w:t>
      </w:r>
    </w:p>
    <w:p w14:paraId="52B5AA7C">
      <w:pPr>
        <w:bidi w:val="0"/>
        <w:rPr>
          <w:rFonts w:hint="eastAsia"/>
        </w:rPr>
        <w:sectPr>
          <w:footerReference r:id="rId11" w:type="default"/>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r>
        <w:rPr>
          <w:rFonts w:hint="eastAsia"/>
        </w:rPr>
        <w:t>II. format du devis</w:t>
      </w:r>
    </w:p>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14:paraId="56B315F4">
      <w:pPr>
        <w:pStyle w:val="3"/>
        <w:numPr>
          <w:ilvl w:val="0"/>
          <w:numId w:val="21"/>
        </w:numPr>
        <w:spacing w:before="0" w:after="0" w:line="360" w:lineRule="auto"/>
        <w:jc w:val="center"/>
        <w:rPr>
          <w:rFonts w:hint="eastAsia" w:ascii="宋体" w:hAnsi="宋体" w:eastAsia="宋体" w:cs="宋体"/>
          <w:bCs w:val="0"/>
          <w:color w:val="auto"/>
          <w:szCs w:val="21"/>
          <w:highlight w:val="none"/>
        </w:rPr>
      </w:pPr>
      <w:bookmarkStart w:id="155" w:name="_Toc6561426"/>
      <w:bookmarkStart w:id="156" w:name="_Toc28433"/>
      <w:bookmarkStart w:id="157" w:name="_Toc9513"/>
      <w:bookmarkStart w:id="158" w:name="_Toc973"/>
      <w:bookmarkStart w:id="159" w:name="_Toc492288514"/>
      <w:bookmarkStart w:id="160" w:name="_Toc30268"/>
      <w:r>
        <w:rPr>
          <w:rFonts w:hint="eastAsia" w:ascii="宋体" w:hAnsi="宋体" w:eastAsia="宋体" w:cs="宋体"/>
          <w:bCs w:val="0"/>
          <w:color w:val="auto"/>
          <w:szCs w:val="21"/>
          <w:highlight w:val="none"/>
          <w:lang w:eastAsia="zh-CN"/>
        </w:rPr>
        <w:t>响应</w:t>
      </w:r>
      <w:r>
        <w:rPr>
          <w:rFonts w:hint="eastAsia" w:ascii="宋体" w:hAnsi="宋体" w:eastAsia="宋体" w:cs="宋体"/>
          <w:bCs w:val="0"/>
          <w:color w:val="auto"/>
          <w:szCs w:val="21"/>
          <w:highlight w:val="none"/>
        </w:rPr>
        <w:t>函</w:t>
      </w:r>
      <w:bookmarkEnd w:id="155"/>
      <w:bookmarkEnd w:id="156"/>
      <w:bookmarkEnd w:id="157"/>
      <w:bookmarkEnd w:id="158"/>
      <w:bookmarkEnd w:id="159"/>
    </w:p>
    <w:p w14:paraId="2AD7B54A">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eastAsia="宋体" w:cs="宋体"/>
          <w:color w:val="auto"/>
          <w:szCs w:val="21"/>
          <w:highlight w:val="none"/>
          <w:lang w:eastAsia="zh-CN"/>
        </w:rPr>
        <w:t>采购人</w:t>
      </w:r>
      <w:r>
        <w:rPr>
          <w:rFonts w:hint="eastAsia" w:ascii="宋体" w:hAnsi="宋体" w:cs="宋体"/>
          <w:color w:val="auto"/>
          <w:szCs w:val="21"/>
          <w:highlight w:val="none"/>
        </w:rPr>
        <w:t>名称</w:t>
      </w:r>
      <w:r>
        <w:rPr>
          <w:rFonts w:hint="default" w:ascii="Times New Roman" w:hAnsi="Times New Roman" w:cs="Times New Roman"/>
          <w:color w:val="auto"/>
          <w:szCs w:val="21"/>
          <w:highlight w:val="none"/>
        </w:rPr>
        <w:t>Nom de l'Acheteur</w:t>
      </w:r>
      <w:r>
        <w:rPr>
          <w:rFonts w:hint="eastAsia" w:ascii="宋体" w:hAnsi="宋体" w:cs="宋体"/>
          <w:color w:val="auto"/>
          <w:szCs w:val="21"/>
          <w:highlight w:val="none"/>
        </w:rPr>
        <w:t xml:space="preserve">）: </w:t>
      </w:r>
    </w:p>
    <w:p w14:paraId="5BC180DD">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20" w:firstLineChars="200"/>
        <w:jc w:val="both"/>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1．我方己仔细研究了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w:t>
      </w:r>
      <w:r>
        <w:rPr>
          <w:rFonts w:ascii="宋体" w:hAnsi="宋体" w:eastAsia="宋体"/>
          <w:color w:val="auto"/>
          <w:szCs w:val="21"/>
          <w:highlight w:val="none"/>
        </w:rPr>
        <w:t>服务采购项目采购文件的全部内容，</w:t>
      </w:r>
      <w:r>
        <w:rPr>
          <w:rFonts w:hint="eastAsia" w:ascii="宋体" w:hAnsi="宋体" w:cs="宋体"/>
          <w:color w:val="auto"/>
          <w:szCs w:val="21"/>
          <w:highlight w:val="none"/>
        </w:rPr>
        <w:t>愿意以</w:t>
      </w:r>
      <w:r>
        <w:rPr>
          <w:rFonts w:hint="eastAsia" w:ascii="宋体" w:hAnsi="宋体" w:cs="宋体"/>
          <w:color w:val="auto"/>
          <w:szCs w:val="21"/>
          <w:highlight w:val="none"/>
          <w:lang w:val="en-US" w:eastAsia="zh-CN"/>
        </w:rPr>
        <w:t>几郎</w:t>
      </w:r>
      <w:r>
        <w:rPr>
          <w:rFonts w:hint="eastAsia" w:ascii="宋体" w:hAnsi="宋体" w:cs="宋体"/>
          <w:color w:val="auto"/>
          <w:szCs w:val="21"/>
          <w:highlight w:val="none"/>
        </w:rPr>
        <w:t>（大写）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lang w:val="en-US" w:eastAsia="zh-CN"/>
        </w:rPr>
        <w:t>GNF</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总报价（</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含税），</w:t>
      </w:r>
      <w:r>
        <w:rPr>
          <w:rFonts w:hint="eastAsia" w:ascii="宋体" w:hAnsi="宋体" w:cs="宋体"/>
          <w:color w:val="auto"/>
          <w:szCs w:val="21"/>
          <w:highlight w:val="none"/>
          <w:lang w:eastAsia="zh-CN"/>
        </w:rPr>
        <w:t>服务期限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r>
        <w:rPr>
          <w:rFonts w:ascii="宋体" w:hAnsi="宋体" w:eastAsia="宋体"/>
          <w:color w:val="auto"/>
          <w:szCs w:val="21"/>
          <w:highlight w:val="none"/>
        </w:rPr>
        <w:t>按合同约定完成服务工作。</w:t>
      </w:r>
    </w:p>
    <w:p w14:paraId="29A93F1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2．我方承诺在</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有效期内不修改、撤销</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文件。</w:t>
      </w:r>
    </w:p>
    <w:p w14:paraId="4091688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．如我方</w:t>
      </w:r>
      <w:r>
        <w:rPr>
          <w:rFonts w:hint="eastAsia" w:ascii="宋体" w:hAnsi="宋体" w:eastAsia="宋体" w:cs="宋体"/>
          <w:color w:val="auto"/>
          <w:szCs w:val="21"/>
          <w:highlight w:val="none"/>
          <w:lang w:eastAsia="zh-CN"/>
        </w:rPr>
        <w:t>成交</w:t>
      </w:r>
      <w:r>
        <w:rPr>
          <w:rFonts w:hint="eastAsia" w:ascii="宋体" w:hAnsi="宋体" w:cs="宋体"/>
          <w:color w:val="auto"/>
          <w:szCs w:val="21"/>
          <w:highlight w:val="none"/>
        </w:rPr>
        <w:t>：</w:t>
      </w:r>
    </w:p>
    <w:p w14:paraId="56EAD64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（1）我方承诺在收到</w:t>
      </w:r>
      <w:r>
        <w:rPr>
          <w:rFonts w:hint="eastAsia" w:ascii="宋体" w:hAnsi="宋体" w:eastAsia="宋体" w:cs="宋体"/>
          <w:color w:val="auto"/>
          <w:szCs w:val="21"/>
          <w:highlight w:val="none"/>
          <w:lang w:eastAsia="zh-CN"/>
        </w:rPr>
        <w:t>成交</w:t>
      </w:r>
      <w:r>
        <w:rPr>
          <w:rFonts w:hint="eastAsia" w:ascii="宋体" w:hAnsi="宋体" w:cs="宋体"/>
          <w:color w:val="auto"/>
          <w:szCs w:val="21"/>
          <w:highlight w:val="none"/>
        </w:rPr>
        <w:t>通知书后，在</w:t>
      </w:r>
      <w:r>
        <w:rPr>
          <w:rFonts w:hint="eastAsia" w:ascii="宋体" w:hAnsi="宋体" w:eastAsia="宋体" w:cs="宋体"/>
          <w:color w:val="auto"/>
          <w:szCs w:val="21"/>
          <w:highlight w:val="none"/>
          <w:lang w:eastAsia="zh-CN"/>
        </w:rPr>
        <w:t>成交</w:t>
      </w:r>
      <w:r>
        <w:rPr>
          <w:rFonts w:hint="eastAsia" w:ascii="宋体" w:hAnsi="宋体" w:cs="宋体"/>
          <w:color w:val="auto"/>
          <w:szCs w:val="21"/>
          <w:highlight w:val="none"/>
        </w:rPr>
        <w:t>通知书规定的期限内与你方签订合同。</w:t>
      </w:r>
    </w:p>
    <w:p w14:paraId="3DDF71B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（2）随同本</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函递交的</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函附录属于合同文件的组成部分。</w:t>
      </w:r>
    </w:p>
    <w:p w14:paraId="12DCF60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（3）我方承诺按照</w:t>
      </w:r>
      <w:r>
        <w:rPr>
          <w:rFonts w:hint="eastAsia" w:ascii="宋体" w:hAnsi="宋体" w:cs="宋体"/>
          <w:color w:val="auto"/>
          <w:szCs w:val="21"/>
          <w:highlight w:val="none"/>
          <w:lang w:eastAsia="zh-CN"/>
        </w:rPr>
        <w:t>竞争性谈判文件</w:t>
      </w:r>
      <w:r>
        <w:rPr>
          <w:rFonts w:hint="eastAsia" w:ascii="宋体" w:hAnsi="宋体" w:cs="宋体"/>
          <w:color w:val="auto"/>
          <w:szCs w:val="21"/>
          <w:highlight w:val="none"/>
        </w:rPr>
        <w:t>规定向你方递交履约担保。</w:t>
      </w:r>
    </w:p>
    <w:p w14:paraId="31F245E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（4）我方承诺在合同约定的期限内完成并移交全部合同</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w:t>
      </w:r>
    </w:p>
    <w:p w14:paraId="67C4E84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（5）如遇国家增值税税率政策调整，本报价的不含增值税金额不变，含增值税金额根据国家政策进行调整</w:t>
      </w:r>
    </w:p>
    <w:p w14:paraId="13254D3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．我方在此声明，所递交的</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文件及有关资料内容完整、真实和准确。</w:t>
      </w:r>
    </w:p>
    <w:p w14:paraId="4B7489E8">
      <w:pPr>
        <w:adjustRightInd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.我方将严格按照有关</w:t>
      </w:r>
      <w:r>
        <w:rPr>
          <w:rFonts w:hint="eastAsia" w:ascii="宋体" w:hAnsi="宋体" w:eastAsia="宋体" w:cs="宋体"/>
          <w:color w:val="auto"/>
          <w:szCs w:val="21"/>
          <w:highlight w:val="none"/>
          <w:lang w:val="en-US" w:eastAsia="zh-CN"/>
        </w:rPr>
        <w:t>法律法规</w:t>
      </w:r>
      <w:r>
        <w:rPr>
          <w:rFonts w:hint="eastAsia" w:ascii="宋体" w:hAnsi="宋体" w:cs="宋体"/>
          <w:color w:val="auto"/>
          <w:szCs w:val="21"/>
          <w:highlight w:val="none"/>
        </w:rPr>
        <w:t>及</w:t>
      </w:r>
      <w:r>
        <w:rPr>
          <w:rFonts w:hint="eastAsia" w:ascii="宋体" w:hAnsi="宋体" w:cs="宋体"/>
          <w:color w:val="auto"/>
          <w:szCs w:val="21"/>
          <w:highlight w:val="none"/>
          <w:lang w:eastAsia="zh-CN"/>
        </w:rPr>
        <w:t>竞争性谈判文件</w:t>
      </w:r>
      <w:r>
        <w:rPr>
          <w:rFonts w:hint="eastAsia" w:ascii="宋体" w:hAnsi="宋体" w:cs="宋体"/>
          <w:color w:val="auto"/>
          <w:szCs w:val="21"/>
          <w:highlight w:val="none"/>
        </w:rPr>
        <w:t>规定参加</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，理解贵方不保证</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价最低的</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人</w:t>
      </w:r>
      <w:r>
        <w:rPr>
          <w:rFonts w:hint="eastAsia" w:ascii="宋体" w:hAnsi="宋体" w:eastAsia="宋体" w:cs="宋体"/>
          <w:color w:val="auto"/>
          <w:szCs w:val="21"/>
          <w:highlight w:val="none"/>
          <w:lang w:eastAsia="zh-CN"/>
        </w:rPr>
        <w:t>成交</w:t>
      </w:r>
      <w:r>
        <w:rPr>
          <w:rFonts w:hint="eastAsia" w:ascii="宋体" w:hAnsi="宋体" w:cs="宋体"/>
          <w:color w:val="auto"/>
          <w:szCs w:val="21"/>
          <w:highlight w:val="none"/>
        </w:rPr>
        <w:t>，并不要求对未</w:t>
      </w:r>
      <w:r>
        <w:rPr>
          <w:rFonts w:hint="eastAsia" w:ascii="宋体" w:hAnsi="宋体" w:eastAsia="宋体" w:cs="宋体"/>
          <w:color w:val="auto"/>
          <w:szCs w:val="21"/>
          <w:highlight w:val="none"/>
          <w:lang w:eastAsia="zh-CN"/>
        </w:rPr>
        <w:t>成交</w:t>
      </w:r>
      <w:r>
        <w:rPr>
          <w:rFonts w:hint="eastAsia" w:ascii="宋体" w:hAnsi="宋体" w:cs="宋体"/>
          <w:color w:val="auto"/>
          <w:szCs w:val="21"/>
          <w:highlight w:val="none"/>
        </w:rPr>
        <w:t>理由做出任何解释。</w:t>
      </w:r>
    </w:p>
    <w:p w14:paraId="31D2AE1C">
      <w:pPr>
        <w:adjustRightInd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（其他补充说明）。</w:t>
      </w:r>
    </w:p>
    <w:p w14:paraId="56B74FA0">
      <w:pPr>
        <w:spacing w:line="440" w:lineRule="exact"/>
        <w:ind w:firstLine="420" w:firstLineChars="200"/>
        <w:rPr>
          <w:rFonts w:ascii="Times New Roman" w:hAnsi="Times New Roman"/>
          <w:color w:val="auto"/>
          <w:szCs w:val="21"/>
          <w:highlight w:val="none"/>
        </w:rPr>
      </w:pPr>
    </w:p>
    <w:p w14:paraId="53DC9FAF">
      <w:pPr>
        <w:spacing w:line="440" w:lineRule="exact"/>
        <w:ind w:firstLine="2520" w:firstLineChars="1200"/>
        <w:jc w:val="left"/>
        <w:rPr>
          <w:rFonts w:ascii="Times New Roman" w:hAnsi="Times New Roman"/>
          <w:color w:val="auto"/>
          <w:szCs w:val="21"/>
          <w:highlight w:val="none"/>
        </w:rPr>
      </w:pPr>
      <w:r>
        <w:rPr>
          <w:rFonts w:hint="eastAsia" w:ascii="Times New Roman" w:hAnsi="Times New Roman"/>
          <w:color w:val="auto"/>
          <w:szCs w:val="21"/>
          <w:highlight w:val="none"/>
          <w:lang w:val="en-US" w:eastAsia="zh-CN"/>
        </w:rPr>
        <w:t>响 应</w:t>
      </w:r>
      <w:r>
        <w:rPr>
          <w:rFonts w:ascii="Times New Roman" w:hAnsi="Times New Roman"/>
          <w:color w:val="auto"/>
          <w:szCs w:val="21"/>
          <w:highlight w:val="none"/>
        </w:rPr>
        <w:t xml:space="preserve"> 人：</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rPr>
        <w:t>（盖单位章）</w:t>
      </w:r>
    </w:p>
    <w:p w14:paraId="68928313">
      <w:pPr>
        <w:spacing w:line="440" w:lineRule="exact"/>
        <w:jc w:val="left"/>
        <w:rPr>
          <w:rFonts w:ascii="Times New Roman" w:hAnsi="Times New Roman"/>
          <w:color w:val="auto"/>
          <w:szCs w:val="21"/>
          <w:highlight w:val="none"/>
        </w:rPr>
      </w:pPr>
      <w:r>
        <w:rPr>
          <w:rFonts w:ascii="Times New Roman" w:hAnsi="Times New Roman"/>
          <w:color w:val="auto"/>
          <w:highlight w:val="none"/>
        </w:rPr>
        <w:t xml:space="preserve">                        法定代表人（单位负责人）</w:t>
      </w:r>
      <w:r>
        <w:rPr>
          <w:rFonts w:ascii="Times New Roman" w:hAnsi="Times New Roman"/>
          <w:color w:val="auto"/>
          <w:szCs w:val="21"/>
          <w:highlight w:val="none"/>
        </w:rPr>
        <w:t>或其委托代理人：</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rPr>
        <w:t>（签字）</w:t>
      </w:r>
    </w:p>
    <w:p w14:paraId="292C7BDE">
      <w:pPr>
        <w:spacing w:line="440" w:lineRule="exact"/>
        <w:ind w:firstLine="2520" w:firstLineChars="1200"/>
        <w:jc w:val="left"/>
        <w:rPr>
          <w:rFonts w:ascii="Times New Roman" w:hAnsi="Times New Roman"/>
          <w:color w:val="auto"/>
          <w:szCs w:val="21"/>
          <w:highlight w:val="none"/>
        </w:rPr>
      </w:pPr>
      <w:r>
        <w:rPr>
          <w:rFonts w:ascii="Times New Roman" w:hAnsi="Times New Roman"/>
          <w:color w:val="auto"/>
          <w:szCs w:val="21"/>
          <w:highlight w:val="none"/>
        </w:rPr>
        <w:t>地    址：</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p>
    <w:p w14:paraId="6A5FBD0E">
      <w:pPr>
        <w:spacing w:line="440" w:lineRule="exact"/>
        <w:ind w:firstLine="2520" w:firstLineChars="1200"/>
        <w:jc w:val="left"/>
        <w:rPr>
          <w:rFonts w:ascii="Times New Roman" w:hAnsi="Times New Roman"/>
          <w:color w:val="auto"/>
          <w:szCs w:val="21"/>
          <w:highlight w:val="none"/>
        </w:rPr>
      </w:pPr>
      <w:r>
        <w:rPr>
          <w:rFonts w:ascii="Times New Roman" w:hAnsi="Times New Roman"/>
          <w:color w:val="auto"/>
          <w:szCs w:val="21"/>
          <w:highlight w:val="none"/>
        </w:rPr>
        <w:t>网    址：</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27425A44">
      <w:pPr>
        <w:spacing w:line="440" w:lineRule="exact"/>
        <w:ind w:firstLine="2520" w:firstLineChars="1200"/>
        <w:jc w:val="left"/>
        <w:rPr>
          <w:rFonts w:ascii="Times New Roman" w:hAnsi="Times New Roman"/>
          <w:color w:val="auto"/>
          <w:szCs w:val="21"/>
          <w:highlight w:val="none"/>
        </w:rPr>
      </w:pPr>
      <w:r>
        <w:rPr>
          <w:rFonts w:ascii="Times New Roman" w:hAnsi="Times New Roman"/>
          <w:color w:val="auto"/>
          <w:szCs w:val="21"/>
          <w:highlight w:val="none"/>
        </w:rPr>
        <w:t>电    话：</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6C4F589E">
      <w:pPr>
        <w:spacing w:line="440" w:lineRule="exact"/>
        <w:ind w:firstLine="2520" w:firstLineChars="1200"/>
        <w:jc w:val="left"/>
        <w:rPr>
          <w:rFonts w:ascii="Times New Roman" w:hAnsi="Times New Roman"/>
          <w:color w:val="auto"/>
          <w:szCs w:val="21"/>
          <w:highlight w:val="none"/>
        </w:rPr>
      </w:pPr>
      <w:r>
        <w:rPr>
          <w:rFonts w:ascii="Times New Roman" w:hAnsi="Times New Roman"/>
          <w:color w:val="auto"/>
          <w:szCs w:val="21"/>
          <w:highlight w:val="none"/>
        </w:rPr>
        <w:t>传    真：</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1ED0A83B">
      <w:pPr>
        <w:spacing w:line="440" w:lineRule="exact"/>
        <w:ind w:firstLine="2520" w:firstLineChars="1200"/>
        <w:jc w:val="left"/>
        <w:rPr>
          <w:rFonts w:ascii="Times New Roman" w:hAnsi="Times New Roman"/>
          <w:color w:val="auto"/>
          <w:szCs w:val="21"/>
          <w:highlight w:val="none"/>
        </w:rPr>
      </w:pPr>
      <w:r>
        <w:rPr>
          <w:rFonts w:ascii="Times New Roman" w:hAnsi="Times New Roman"/>
          <w:color w:val="auto"/>
          <w:szCs w:val="21"/>
          <w:highlight w:val="none"/>
        </w:rPr>
        <w:t>邮政编码：</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23491FB5">
      <w:pPr>
        <w:spacing w:line="440" w:lineRule="exact"/>
        <w:ind w:right="840" w:firstLine="4725" w:firstLineChars="2250"/>
        <w:jc w:val="center"/>
        <w:rPr>
          <w:color w:val="auto"/>
          <w:highlight w:val="none"/>
        </w:rPr>
      </w:pPr>
      <w:r>
        <w:rPr>
          <w:rFonts w:ascii="Times New Roman" w:hAnsi="Times New Roman"/>
          <w:color w:val="auto"/>
          <w:highlight w:val="none"/>
          <w:u w:val="single"/>
        </w:rPr>
        <w:t xml:space="preserve">      </w:t>
      </w:r>
      <w:r>
        <w:rPr>
          <w:rFonts w:ascii="Times New Roman" w:hAnsi="Times New Roman"/>
          <w:color w:val="auto"/>
          <w:szCs w:val="21"/>
          <w:highlight w:val="none"/>
        </w:rPr>
        <w:t>年</w:t>
      </w:r>
      <w:r>
        <w:rPr>
          <w:rFonts w:ascii="Times New Roman" w:hAnsi="Times New Roman"/>
          <w:color w:val="auto"/>
          <w:highlight w:val="none"/>
          <w:u w:val="single"/>
        </w:rPr>
        <w:t xml:space="preserve">      </w:t>
      </w:r>
      <w:r>
        <w:rPr>
          <w:rFonts w:ascii="Times New Roman" w:hAnsi="Times New Roman"/>
          <w:color w:val="auto"/>
          <w:szCs w:val="21"/>
          <w:highlight w:val="none"/>
        </w:rPr>
        <w:t>月</w:t>
      </w:r>
      <w:r>
        <w:rPr>
          <w:rFonts w:ascii="Times New Roman" w:hAnsi="Times New Roman"/>
          <w:color w:val="auto"/>
          <w:highlight w:val="none"/>
          <w:u w:val="single"/>
        </w:rPr>
        <w:t xml:space="preserve">      </w:t>
      </w:r>
      <w:r>
        <w:rPr>
          <w:rFonts w:ascii="Times New Roman" w:hAnsi="Times New Roman"/>
          <w:color w:val="auto"/>
          <w:szCs w:val="21"/>
          <w:highlight w:val="none"/>
        </w:rPr>
        <w:t>日</w:t>
      </w:r>
    </w:p>
    <w:bookmarkEnd w:id="160"/>
    <w:p w14:paraId="049EDB50">
      <w:pPr>
        <w:rPr>
          <w:rFonts w:hint="default" w:ascii="Times New Roman" w:hAnsi="Times New Roman" w:cs="Times New Roman"/>
          <w:bCs w:val="0"/>
          <w:color w:val="auto"/>
          <w:szCs w:val="21"/>
          <w:highlight w:val="none"/>
          <w:lang w:val="fr-FR"/>
        </w:rPr>
      </w:pPr>
    </w:p>
    <w:p w14:paraId="391FAC26">
      <w:pPr>
        <w:pStyle w:val="20"/>
        <w:rPr>
          <w:rFonts w:hint="default" w:ascii="Times New Roman" w:hAnsi="Times New Roman" w:cs="Times New Roman"/>
          <w:bCs w:val="0"/>
          <w:color w:val="auto"/>
          <w:szCs w:val="21"/>
          <w:highlight w:val="none"/>
          <w:lang w:val="fr-FR"/>
        </w:rPr>
      </w:pPr>
    </w:p>
    <w:p w14:paraId="5B7D64AB">
      <w:pPr>
        <w:pStyle w:val="21"/>
        <w:rPr>
          <w:rFonts w:hint="default" w:ascii="Times New Roman" w:hAnsi="Times New Roman" w:cs="Times New Roman"/>
          <w:bCs w:val="0"/>
          <w:color w:val="auto"/>
          <w:szCs w:val="21"/>
          <w:highlight w:val="none"/>
          <w:lang w:val="fr-FR"/>
        </w:rPr>
      </w:pPr>
    </w:p>
    <w:p w14:paraId="3E9B1F53">
      <w:pPr>
        <w:pStyle w:val="21"/>
        <w:rPr>
          <w:rFonts w:hint="default" w:ascii="Times New Roman" w:hAnsi="Times New Roman" w:cs="Times New Roman"/>
          <w:bCs w:val="0"/>
          <w:color w:val="auto"/>
          <w:szCs w:val="21"/>
          <w:highlight w:val="none"/>
          <w:lang w:val="fr-FR"/>
        </w:rPr>
      </w:pPr>
    </w:p>
    <w:p w14:paraId="086A45A1">
      <w:pPr>
        <w:pStyle w:val="21"/>
        <w:rPr>
          <w:rFonts w:hint="default" w:ascii="Times New Roman" w:hAnsi="Times New Roman" w:cs="Times New Roman"/>
          <w:bCs w:val="0"/>
          <w:color w:val="auto"/>
          <w:szCs w:val="21"/>
          <w:highlight w:val="none"/>
          <w:lang w:val="fr-FR"/>
        </w:rPr>
      </w:pPr>
    </w:p>
    <w:p w14:paraId="55FDC993">
      <w:pPr>
        <w:pStyle w:val="20"/>
        <w:rPr>
          <w:rFonts w:hint="default"/>
          <w:color w:val="auto"/>
          <w:highlight w:val="none"/>
          <w:lang w:val="fr-FR"/>
        </w:rPr>
      </w:pPr>
    </w:p>
    <w:p w14:paraId="4A9B4BD9">
      <w:pPr>
        <w:bidi w:val="0"/>
        <w:rPr>
          <w:rFonts w:hint="default"/>
        </w:rPr>
      </w:pPr>
    </w:p>
    <w:p w14:paraId="549A8462">
      <w:pPr>
        <w:bidi w:val="0"/>
        <w:rPr>
          <w:rFonts w:hint="default"/>
        </w:rPr>
      </w:pPr>
    </w:p>
    <w:p w14:paraId="56FB71E0">
      <w:pPr>
        <w:bidi w:val="0"/>
        <w:rPr>
          <w:rFonts w:hint="default"/>
        </w:rPr>
      </w:pPr>
    </w:p>
    <w:p w14:paraId="42404F96">
      <w:pPr>
        <w:bidi w:val="0"/>
        <w:rPr>
          <w:rFonts w:hint="default"/>
        </w:rPr>
      </w:pPr>
    </w:p>
    <w:p w14:paraId="233AD1B9">
      <w:pPr>
        <w:keepLines w:val="0"/>
        <w:pageBreakBefore w:val="0"/>
        <w:widowControl w:val="0"/>
        <w:kinsoku/>
        <w:wordWrap/>
        <w:overflowPunct/>
        <w:topLinePunct w:val="0"/>
        <w:autoSpaceDE/>
        <w:autoSpaceDN/>
        <w:bidi w:val="0"/>
        <w:spacing w:line="240" w:lineRule="auto"/>
        <w:rPr>
          <w:rFonts w:hint="eastAsia"/>
          <w:color w:val="auto"/>
          <w:highlight w:val="none"/>
          <w:lang w:val="en-US" w:eastAsia="zh-CN"/>
        </w:rPr>
      </w:pPr>
    </w:p>
    <w:p w14:paraId="535764FA">
      <w:pPr>
        <w:pStyle w:val="20"/>
        <w:rPr>
          <w:rFonts w:hint="eastAsia"/>
          <w:color w:val="auto"/>
          <w:highlight w:val="none"/>
          <w:lang w:val="en-US" w:eastAsia="zh-CN"/>
        </w:rPr>
      </w:pPr>
    </w:p>
    <w:p w14:paraId="28463AF9">
      <w:pPr>
        <w:pStyle w:val="21"/>
        <w:rPr>
          <w:rFonts w:hint="eastAsia"/>
          <w:color w:val="auto"/>
          <w:highlight w:val="none"/>
          <w:lang w:val="en-US" w:eastAsia="zh-CN"/>
        </w:rPr>
      </w:pPr>
    </w:p>
    <w:p w14:paraId="0E247F76">
      <w:pPr>
        <w:pStyle w:val="21"/>
        <w:jc w:val="center"/>
        <w:rPr>
          <w:rFonts w:hint="eastAsia"/>
          <w:color w:val="auto"/>
          <w:highlight w:val="none"/>
          <w:lang w:val="en-US" w:eastAsia="zh-CN"/>
        </w:rPr>
      </w:pPr>
    </w:p>
    <w:p w14:paraId="7B61CE0D">
      <w:pPr>
        <w:pStyle w:val="21"/>
        <w:jc w:val="center"/>
        <w:rPr>
          <w:rFonts w:hint="eastAsia"/>
          <w:b/>
          <w:bCs/>
          <w:color w:val="auto"/>
          <w:sz w:val="28"/>
          <w:szCs w:val="32"/>
          <w:highlight w:val="none"/>
          <w:lang w:val="en-US" w:eastAsia="zh-CN"/>
        </w:rPr>
      </w:pPr>
      <w:r>
        <w:rPr>
          <w:rFonts w:hint="eastAsia"/>
          <w:b/>
          <w:bCs/>
          <w:color w:val="auto"/>
          <w:sz w:val="28"/>
          <w:szCs w:val="32"/>
          <w:highlight w:val="none"/>
          <w:lang w:val="en-US" w:eastAsia="zh-CN"/>
        </w:rPr>
        <w:t>Lettre de réponse</w:t>
      </w:r>
    </w:p>
    <w:p w14:paraId="774661DA">
      <w:pPr>
        <w:pStyle w:val="21"/>
        <w:rPr>
          <w:rFonts w:hint="eastAsia"/>
          <w:color w:val="auto"/>
          <w:highlight w:val="none"/>
          <w:lang w:val="en-US" w:eastAsia="zh-CN"/>
        </w:rPr>
      </w:pPr>
    </w:p>
    <w:p w14:paraId="240F2876">
      <w:pPr>
        <w:keepLines w:val="0"/>
        <w:pageBreakBefore w:val="0"/>
        <w:widowControl w:val="0"/>
        <w:tabs>
          <w:tab w:val="center" w:pos="4677"/>
        </w:tabs>
        <w:kinsoku/>
        <w:wordWrap/>
        <w:overflowPunct/>
        <w:topLinePunct w:val="0"/>
        <w:autoSpaceDE/>
        <w:autoSpaceDN/>
        <w:bidi w:val="0"/>
        <w:adjustRightInd w:val="0"/>
        <w:snapToGrid w:val="0"/>
        <w:spacing w:line="240" w:lineRule="auto"/>
        <w:rPr>
          <w:rFonts w:hint="eastAsia" w:ascii="宋体" w:hAnsi="宋体" w:cs="宋体"/>
          <w:color w:val="auto"/>
          <w:szCs w:val="21"/>
          <w:highlight w:val="none"/>
          <w:lang w:eastAsia="zh-CN"/>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default" w:ascii="Times New Roman" w:hAnsi="Times New Roman" w:cs="Times New Roman"/>
          <w:color w:val="auto"/>
          <w:szCs w:val="21"/>
          <w:highlight w:val="none"/>
        </w:rPr>
        <w:t>Nom de l'Acheteur</w:t>
      </w:r>
      <w:r>
        <w:rPr>
          <w:rFonts w:hint="eastAsia" w:ascii="宋体" w:hAnsi="宋体" w:cs="宋体"/>
          <w:color w:val="auto"/>
          <w:szCs w:val="21"/>
          <w:highlight w:val="none"/>
        </w:rPr>
        <w:t>）:</w:t>
      </w:r>
      <w:r>
        <w:rPr>
          <w:rFonts w:hint="eastAsia" w:ascii="宋体" w:hAnsi="宋体" w:cs="宋体"/>
          <w:color w:val="auto"/>
          <w:szCs w:val="21"/>
          <w:highlight w:val="none"/>
          <w:lang w:eastAsia="zh-CN"/>
        </w:rPr>
        <w:tab/>
      </w:r>
    </w:p>
    <w:p w14:paraId="6EB4A1C3">
      <w:pPr>
        <w:pStyle w:val="20"/>
        <w:rPr>
          <w:rFonts w:hint="eastAsia"/>
          <w:color w:val="auto"/>
          <w:highlight w:val="none"/>
          <w:lang w:eastAsia="zh-CN"/>
        </w:rPr>
      </w:pPr>
    </w:p>
    <w:p w14:paraId="0665AE04">
      <w:pPr>
        <w:keepNext w:val="0"/>
        <w:keepLines w:val="0"/>
        <w:pageBreakBefore w:val="0"/>
        <w:widowControl w:val="0"/>
        <w:numPr>
          <w:ilvl w:val="0"/>
          <w:numId w:val="22"/>
        </w:numPr>
        <w:kinsoku/>
        <w:wordWrap/>
        <w:overflowPunct/>
        <w:topLinePunct w:val="0"/>
        <w:autoSpaceDE/>
        <w:autoSpaceDN/>
        <w:bidi w:val="0"/>
        <w:adjustRightInd w:val="0"/>
        <w:snapToGrid/>
        <w:spacing w:line="360" w:lineRule="auto"/>
        <w:ind w:left="0" w:leftChars="0" w:right="0" w:rightChars="0" w:firstLine="420" w:firstLineChars="200"/>
        <w:jc w:val="both"/>
        <w:textAlignment w:val="auto"/>
        <w:outlineLvl w:val="9"/>
        <w:rPr>
          <w:rFonts w:hint="eastAsia"/>
          <w:color w:val="auto"/>
          <w:highlight w:val="none"/>
        </w:rPr>
      </w:pPr>
      <w:r>
        <w:rPr>
          <w:rFonts w:hint="default" w:ascii="Times New Roman" w:hAnsi="Times New Roman" w:cs="Times New Roman"/>
          <w:color w:val="auto"/>
          <w:highlight w:val="none"/>
          <w:lang w:val="en-US" w:eastAsia="zh-CN"/>
        </w:rPr>
        <w:t>Nous avons étudié attentivement le document relatif au projet de passation de marchés de services</w:t>
      </w:r>
      <w:r>
        <w:rPr>
          <w:rFonts w:hint="default" w:ascii="Times New Roman" w:hAnsi="Times New Roman" w:cs="Times New Roman"/>
          <w:color w:val="auto"/>
          <w:szCs w:val="21"/>
          <w:highlight w:val="none"/>
          <w:u w:val="single"/>
        </w:rPr>
        <w:t xml:space="preserve">                      </w:t>
      </w:r>
      <w:r>
        <w:rPr>
          <w:rFonts w:hint="eastAsia" w:ascii="宋体" w:hAnsi="宋体" w:cs="宋体"/>
          <w:color w:val="auto"/>
          <w:szCs w:val="21"/>
          <w:highlight w:val="none"/>
          <w:u w:val="single"/>
        </w:rPr>
        <w:t xml:space="preserve">                    </w:t>
      </w:r>
      <w:r>
        <w:rPr>
          <w:rFonts w:hint="default" w:ascii="Times New Roman" w:hAnsi="Times New Roman" w:cs="Times New Roman"/>
          <w:color w:val="auto"/>
          <w:szCs w:val="21"/>
          <w:highlight w:val="none"/>
        </w:rPr>
        <w:t>（</w:t>
      </w:r>
      <w:r>
        <w:rPr>
          <w:rFonts w:hint="default" w:ascii="Times New Roman" w:hAnsi="Times New Roman" w:cs="Times New Roman"/>
          <w:color w:val="auto"/>
          <w:highlight w:val="none"/>
          <w:lang w:val="en-US" w:eastAsia="zh-CN"/>
        </w:rPr>
        <w:t>nom du projet</w:t>
      </w:r>
      <w:r>
        <w:rPr>
          <w:rFonts w:hint="default" w:ascii="Times New Roman" w:hAnsi="Times New Roman" w:cs="Times New Roman"/>
          <w:color w:val="auto"/>
          <w:szCs w:val="21"/>
          <w:highlight w:val="none"/>
        </w:rPr>
        <w:t>）dans son intégralité et sommes disposés à répondre à l'offre totale de</w:t>
      </w:r>
      <w:r>
        <w:rPr>
          <w:rFonts w:hint="default" w:ascii="Times New Roman" w:hAnsi="Times New Roman" w:cs="Times New Roman"/>
          <w:color w:val="auto"/>
          <w:szCs w:val="21"/>
          <w:highlight w:val="none"/>
          <w:lang w:val="en-US" w:eastAsia="zh-CN"/>
        </w:rPr>
        <w:t xml:space="preserve"> </w:t>
      </w:r>
      <w:r>
        <w:rPr>
          <w:rFonts w:hint="eastAsia" w:cs="Times New Roman"/>
          <w:color w:val="auto"/>
          <w:highlight w:val="none"/>
          <w:lang w:val="en-US" w:eastAsia="zh-CN"/>
        </w:rPr>
        <w:t>GNF</w:t>
      </w:r>
      <w:r>
        <w:rPr>
          <w:rFonts w:hint="default" w:ascii="Times New Roman" w:hAnsi="Times New Roman" w:cs="Times New Roman"/>
          <w:color w:val="auto"/>
          <w:szCs w:val="21"/>
          <w:highlight w:val="none"/>
        </w:rPr>
        <w:t>（</w:t>
      </w:r>
      <w:r>
        <w:rPr>
          <w:rFonts w:hint="default" w:ascii="Times New Roman" w:hAnsi="Times New Roman" w:cs="Times New Roman"/>
          <w:color w:val="auto"/>
          <w:highlight w:val="none"/>
          <w:lang w:val="en-US" w:eastAsia="zh-CN"/>
        </w:rPr>
        <w:t xml:space="preserve"> Majuscule</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eastAsia" w:cs="Times New Roman"/>
          <w:color w:val="auto"/>
          <w:szCs w:val="21"/>
          <w:highlight w:val="none"/>
          <w:u w:val="none"/>
          <w:lang w:val="en-US" w:eastAsia="zh-CN"/>
        </w:rPr>
        <w:t>GNF</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w:t>
      </w:r>
      <w:r>
        <w:rPr>
          <w:rFonts w:hint="default" w:ascii="Times New Roman" w:hAnsi="Times New Roman" w:cs="Times New Roman"/>
          <w:color w:val="auto"/>
          <w:highlight w:val="none"/>
          <w:lang w:val="en-US" w:eastAsia="zh-CN"/>
        </w:rPr>
        <w:t>hors taxe</w:t>
      </w:r>
      <w:r>
        <w:rPr>
          <w:rFonts w:hint="default"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l</w:t>
      </w:r>
      <w:r>
        <w:rPr>
          <w:rFonts w:hint="default" w:ascii="Times New Roman" w:hAnsi="Times New Roman" w:cs="Times New Roman"/>
          <w:color w:val="auto"/>
          <w:szCs w:val="21"/>
          <w:highlight w:val="none"/>
          <w:lang w:eastAsia="zh-CN"/>
        </w:rPr>
        <w:t>a durée du service est de</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jours calendaires，</w:t>
      </w:r>
      <w:r>
        <w:rPr>
          <w:rFonts w:hint="default" w:ascii="Times New Roman" w:hAnsi="Times New Roman" w:eastAsia="宋体" w:cs="Times New Roman"/>
          <w:color w:val="auto"/>
          <w:szCs w:val="21"/>
          <w:highlight w:val="none"/>
        </w:rPr>
        <w:t xml:space="preserve">et le travail de service sera achevé comme convenu dans le contrat. </w:t>
      </w:r>
    </w:p>
    <w:p w14:paraId="6C6A753A">
      <w:pPr>
        <w:keepNext w:val="0"/>
        <w:keepLines w:val="0"/>
        <w:pageBreakBefore w:val="0"/>
        <w:widowControl w:val="0"/>
        <w:numPr>
          <w:ilvl w:val="0"/>
          <w:numId w:val="22"/>
        </w:numPr>
        <w:kinsoku/>
        <w:wordWrap/>
        <w:overflowPunct/>
        <w:topLinePunct w:val="0"/>
        <w:autoSpaceDE/>
        <w:autoSpaceDN/>
        <w:bidi w:val="0"/>
        <w:adjustRightInd w:val="0"/>
        <w:snapToGrid/>
        <w:spacing w:line="360" w:lineRule="auto"/>
        <w:ind w:left="0" w:leftChars="0" w:right="0" w:rightChars="0" w:firstLine="420" w:firstLineChars="200"/>
        <w:jc w:val="both"/>
        <w:textAlignment w:val="auto"/>
        <w:outlineLvl w:val="9"/>
        <w:rPr>
          <w:rFonts w:hint="eastAsia"/>
          <w:color w:val="auto"/>
          <w:highlight w:val="none"/>
          <w:lang w:val="en-US" w:eastAsia="zh-CN"/>
        </w:rPr>
      </w:pPr>
      <w:r>
        <w:rPr>
          <w:rFonts w:hint="eastAsia" w:ascii="Times New Roman" w:hAnsi="Times New Roman" w:cs="Times New Roman"/>
          <w:color w:val="auto"/>
          <w:szCs w:val="21"/>
          <w:highlight w:val="none"/>
          <w:lang w:val="en-US" w:eastAsia="zh-CN"/>
        </w:rPr>
        <w:t>Nous nous engageons à ne pas modifier ou retirer le document de réponse pendant la période de validité de la réponse.</w:t>
      </w:r>
    </w:p>
    <w:p w14:paraId="6286ABEA">
      <w:pPr>
        <w:pStyle w:val="21"/>
        <w:numPr>
          <w:ilvl w:val="0"/>
          <w:numId w:val="22"/>
        </w:numPr>
        <w:ind w:left="0" w:leftChars="0"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E</w:t>
      </w:r>
      <w:r>
        <w:rPr>
          <w:rFonts w:hint="eastAsia" w:ascii="Times New Roman" w:hAnsi="Times New Roman" w:eastAsia="宋体" w:cs="Times New Roman"/>
          <w:color w:val="auto"/>
          <w:kern w:val="2"/>
          <w:sz w:val="21"/>
          <w:szCs w:val="21"/>
          <w:highlight w:val="none"/>
          <w:lang w:val="en-US" w:eastAsia="zh-CN" w:bidi="ar-SA"/>
        </w:rPr>
        <w:t>n cas de transaction :</w:t>
      </w:r>
    </w:p>
    <w:p w14:paraId="63456279">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 Nous nous engageons à signer le contrat avec vous dans le délai spécifié dans la notification d'achèvement après avoir reçu la notification d'achèvement.</w:t>
      </w:r>
    </w:p>
    <w:p w14:paraId="0C1FDAE8">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 L'annexe à la lettre de réponse soumise avec la présente lettre de réponse fait partie intégrante des documents contractuels.</w:t>
      </w:r>
    </w:p>
    <w:p w14:paraId="25089ABA">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 Nous nous engageons à vous soumettre une garantie de bonne exécution conformément aux dispositions des documents de négociation concurrentielle.</w:t>
      </w:r>
    </w:p>
    <w:p w14:paraId="733A6110">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 Nous nous engageons à achever et à remettre l'ensemble du contenu contractuel dans les délais convenus dans le contrat.</w:t>
      </w:r>
    </w:p>
    <w:p w14:paraId="6A33E9BE">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 Si la politique nationale en matière de taux de TVA est modifiée, le montant hors TVA du devis restera inchangé, et le montant contenant de la TVA sera ajusté en fonction de la politique nationale.</w:t>
      </w:r>
    </w:p>
    <w:p w14:paraId="01AF23CC">
      <w:pPr>
        <w:pStyle w:val="21"/>
        <w:rPr>
          <w:rFonts w:hint="eastAsia" w:ascii="Times New Roman" w:hAnsi="Times New Roman" w:eastAsia="宋体" w:cs="Times New Roman"/>
          <w:color w:val="auto"/>
          <w:kern w:val="2"/>
          <w:sz w:val="21"/>
          <w:highlight w:val="none"/>
          <w:lang w:val="en-US" w:eastAsia="zh-CN" w:bidi="ar-SA"/>
        </w:rPr>
      </w:pPr>
    </w:p>
    <w:p w14:paraId="4FD86F59">
      <w:pPr>
        <w:pStyle w:val="21"/>
        <w:numPr>
          <w:ilvl w:val="0"/>
          <w:numId w:val="22"/>
        </w:numPr>
        <w:ind w:left="0" w:leftChars="0" w:firstLine="420" w:firstLineChars="200"/>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 xml:space="preserve"> Nous déclarons par la présente que le contenu des documents de réponse soumis et les informations connexes sont complets, véridiques et exacts.</w:t>
      </w:r>
    </w:p>
    <w:p w14:paraId="65B9A4B3">
      <w:pPr>
        <w:pStyle w:val="21"/>
        <w:widowControl w:val="0"/>
        <w:numPr>
          <w:ilvl w:val="0"/>
          <w:numId w:val="0"/>
        </w:numPr>
        <w:pBdr>
          <w:top w:val="none" w:color="auto" w:sz="0" w:space="1"/>
          <w:left w:val="none" w:color="auto" w:sz="0" w:space="4"/>
          <w:bottom w:val="none" w:color="auto" w:sz="0" w:space="1"/>
          <w:right w:val="none" w:color="auto" w:sz="0" w:space="4"/>
        </w:pBdr>
        <w:snapToGrid w:val="0"/>
        <w:spacing w:line="240" w:lineRule="auto"/>
        <w:jc w:val="both"/>
        <w:outlineLvl w:val="9"/>
        <w:rPr>
          <w:rFonts w:hint="eastAsia" w:ascii="Times New Roman" w:hAnsi="Times New Roman" w:eastAsia="宋体" w:cs="Times New Roman"/>
          <w:color w:val="auto"/>
          <w:kern w:val="2"/>
          <w:sz w:val="21"/>
          <w:highlight w:val="none"/>
          <w:lang w:val="en-US" w:eastAsia="zh-CN" w:bidi="ar-SA"/>
        </w:rPr>
      </w:pPr>
    </w:p>
    <w:p w14:paraId="0686F497">
      <w:pPr>
        <w:pStyle w:val="21"/>
        <w:widowControl w:val="0"/>
        <w:numPr>
          <w:ilvl w:val="0"/>
          <w:numId w:val="22"/>
        </w:numPr>
        <w:pBdr>
          <w:top w:val="none" w:color="auto" w:sz="0" w:space="1"/>
          <w:left w:val="none" w:color="auto" w:sz="0" w:space="4"/>
          <w:bottom w:val="none" w:color="auto" w:sz="0" w:space="1"/>
          <w:right w:val="none" w:color="auto" w:sz="0" w:space="4"/>
        </w:pBdr>
        <w:snapToGrid w:val="0"/>
        <w:spacing w:line="240" w:lineRule="auto"/>
        <w:ind w:left="0" w:leftChars="0" w:firstLine="420" w:firstLineChars="200"/>
        <w:jc w:val="both"/>
        <w:outlineLvl w:val="9"/>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cs="Times New Roman"/>
          <w:color w:val="auto"/>
          <w:kern w:val="2"/>
          <w:sz w:val="21"/>
          <w:highlight w:val="none"/>
          <w:lang w:val="en-US" w:eastAsia="zh-CN" w:bidi="ar-SA"/>
        </w:rPr>
        <w:t>Nous participerons à la réponse dans le strict respect des lois et règlements applicables et des dispositions des documents de négociation concurrentielle,étant entendu que vous ne garantissez pas l'attribution du marché au soumissionnaire dont le prix de réponse est le plus bas</w:t>
      </w:r>
      <w:r>
        <w:rPr>
          <w:rFonts w:hint="default" w:ascii="Times New Roman" w:hAnsi="Times New Roman" w:cs="Times New Roman"/>
          <w:color w:val="auto"/>
          <w:kern w:val="2"/>
          <w:sz w:val="21"/>
          <w:highlight w:val="none"/>
          <w:lang w:val="fr-FR" w:eastAsia="zh-CN" w:bidi="ar-SA"/>
        </w:rPr>
        <w:t xml:space="preserve"> </w:t>
      </w:r>
      <w:r>
        <w:rPr>
          <w:rFonts w:hint="eastAsia" w:ascii="Times New Roman" w:hAnsi="Times New Roman" w:cs="Times New Roman"/>
          <w:color w:val="auto"/>
          <w:kern w:val="2"/>
          <w:sz w:val="21"/>
          <w:highlight w:val="none"/>
          <w:lang w:val="en-US" w:eastAsia="zh-CN" w:bidi="ar-SA"/>
        </w:rPr>
        <w:t>et que vous n'exigez pas d'explication sur les raisons pour lesquelles le contrat n'a pas été attribué.</w:t>
      </w:r>
    </w:p>
    <w:p w14:paraId="6BBE2FE0">
      <w:pPr>
        <w:pStyle w:val="21"/>
        <w:widowControl w:val="0"/>
        <w:numPr>
          <w:ilvl w:val="0"/>
          <w:numId w:val="0"/>
        </w:numPr>
        <w:pBdr>
          <w:top w:val="none" w:color="auto" w:sz="0" w:space="1"/>
          <w:left w:val="none" w:color="auto" w:sz="0" w:space="4"/>
          <w:bottom w:val="none" w:color="auto" w:sz="0" w:space="1"/>
          <w:right w:val="none" w:color="auto" w:sz="0" w:space="4"/>
        </w:pBdr>
        <w:snapToGrid w:val="0"/>
        <w:spacing w:line="240" w:lineRule="auto"/>
        <w:jc w:val="both"/>
        <w:outlineLvl w:val="9"/>
        <w:rPr>
          <w:rFonts w:hint="eastAsia" w:ascii="Times New Roman" w:hAnsi="Times New Roman" w:cs="Times New Roman"/>
          <w:color w:val="auto"/>
          <w:kern w:val="2"/>
          <w:sz w:val="21"/>
          <w:highlight w:val="none"/>
          <w:lang w:val="en-US" w:eastAsia="zh-CN" w:bidi="ar-SA"/>
        </w:rPr>
      </w:pPr>
    </w:p>
    <w:p w14:paraId="543CD8F7">
      <w:pPr>
        <w:pStyle w:val="21"/>
        <w:widowControl w:val="0"/>
        <w:numPr>
          <w:ilvl w:val="0"/>
          <w:numId w:val="22"/>
        </w:numPr>
        <w:pBdr>
          <w:top w:val="none" w:color="auto" w:sz="0" w:space="1"/>
          <w:left w:val="none" w:color="auto" w:sz="0" w:space="4"/>
          <w:bottom w:val="none" w:color="auto" w:sz="0" w:space="1"/>
          <w:right w:val="none" w:color="auto" w:sz="0" w:space="4"/>
        </w:pBdr>
        <w:snapToGrid w:val="0"/>
        <w:spacing w:line="240" w:lineRule="auto"/>
        <w:ind w:left="0" w:leftChars="0" w:firstLine="420" w:firstLineChars="200"/>
        <w:jc w:val="both"/>
        <w:outlineLvl w:val="9"/>
        <w:rPr>
          <w:rFonts w:hint="default" w:ascii="Times New Roman" w:hAnsi="Times New Roman" w:cs="Times New Roman"/>
          <w:color w:val="auto"/>
          <w:kern w:val="2"/>
          <w:sz w:val="21"/>
          <w:highlight w:val="none"/>
          <w:lang w:val="en-US" w:eastAsia="zh-CN" w:bidi="ar-SA"/>
        </w:rPr>
      </w:pPr>
      <w:r>
        <w:rPr>
          <w:rFonts w:hint="eastAsia" w:ascii="Times New Roman" w:hAnsi="Times New Roman" w:cs="Times New Roman"/>
          <w:color w:val="auto"/>
          <w:kern w:val="2"/>
          <w:sz w:val="21"/>
          <w:highlight w:val="none"/>
          <w:lang w:val="en-US" w:eastAsia="zh-CN" w:bidi="ar-SA"/>
        </w:rPr>
        <w:t xml:space="preserve"> </w:t>
      </w:r>
      <w:r>
        <w:rPr>
          <w:rFonts w:hint="eastAsia" w:ascii="宋体" w:hAnsi="宋体" w:cs="宋体"/>
          <w:color w:val="auto"/>
          <w:szCs w:val="21"/>
          <w:highlight w:val="none"/>
          <w:u w:val="single"/>
        </w:rPr>
        <w:t xml:space="preserve">                                       </w:t>
      </w:r>
      <w:r>
        <w:rPr>
          <w:rFonts w:hint="eastAsia" w:ascii="Times New Roman" w:hAnsi="Times New Roman" w:cs="Times New Roman"/>
          <w:color w:val="auto"/>
          <w:kern w:val="2"/>
          <w:sz w:val="21"/>
          <w:highlight w:val="none"/>
          <w:lang w:val="en-US" w:eastAsia="zh-CN" w:bidi="ar-SA"/>
        </w:rPr>
        <w:t>(Autres informations complémentaires).</w:t>
      </w:r>
    </w:p>
    <w:p w14:paraId="66C79692">
      <w:pPr>
        <w:pStyle w:val="21"/>
        <w:widowControl w:val="0"/>
        <w:numPr>
          <w:ilvl w:val="0"/>
          <w:numId w:val="0"/>
        </w:numPr>
        <w:pBdr>
          <w:top w:val="none" w:color="auto" w:sz="0" w:space="1"/>
          <w:left w:val="none" w:color="auto" w:sz="0" w:space="4"/>
          <w:bottom w:val="none" w:color="auto" w:sz="0" w:space="1"/>
          <w:right w:val="none" w:color="auto" w:sz="0" w:space="4"/>
        </w:pBdr>
        <w:snapToGrid w:val="0"/>
        <w:spacing w:line="240" w:lineRule="auto"/>
        <w:jc w:val="both"/>
        <w:outlineLvl w:val="9"/>
        <w:rPr>
          <w:rFonts w:hint="eastAsia" w:ascii="Times New Roman" w:hAnsi="Times New Roman" w:cs="Times New Roman"/>
          <w:color w:val="auto"/>
          <w:kern w:val="2"/>
          <w:sz w:val="21"/>
          <w:highlight w:val="none"/>
          <w:lang w:val="en-US" w:eastAsia="zh-CN" w:bidi="ar-SA"/>
        </w:rPr>
      </w:pPr>
    </w:p>
    <w:p w14:paraId="675F1048">
      <w:pPr>
        <w:pStyle w:val="21"/>
        <w:widowControl w:val="0"/>
        <w:numPr>
          <w:ilvl w:val="0"/>
          <w:numId w:val="0"/>
        </w:numPr>
        <w:pBdr>
          <w:top w:val="none" w:color="auto" w:sz="0" w:space="1"/>
          <w:left w:val="none" w:color="auto" w:sz="0" w:space="4"/>
          <w:bottom w:val="none" w:color="auto" w:sz="0" w:space="1"/>
          <w:right w:val="none" w:color="auto" w:sz="0" w:space="4"/>
        </w:pBdr>
        <w:snapToGrid w:val="0"/>
        <w:spacing w:line="240" w:lineRule="auto"/>
        <w:jc w:val="both"/>
        <w:outlineLvl w:val="9"/>
        <w:rPr>
          <w:rFonts w:hint="eastAsia" w:ascii="Times New Roman" w:hAnsi="Times New Roman" w:cs="Times New Roman"/>
          <w:color w:val="auto"/>
          <w:kern w:val="2"/>
          <w:sz w:val="21"/>
          <w:highlight w:val="none"/>
          <w:lang w:val="en-US" w:eastAsia="zh-CN" w:bidi="ar-SA"/>
        </w:rPr>
      </w:pPr>
    </w:p>
    <w:p w14:paraId="4FD1C5F6">
      <w:pPr>
        <w:keepNext w:val="0"/>
        <w:keepLines w:val="0"/>
        <w:pageBreakBefore w:val="0"/>
        <w:widowControl w:val="0"/>
        <w:kinsoku/>
        <w:wordWrap/>
        <w:overflowPunct/>
        <w:topLinePunct w:val="0"/>
        <w:autoSpaceDE/>
        <w:autoSpaceDN/>
        <w:bidi w:val="0"/>
        <w:adjustRightInd/>
        <w:spacing w:line="300" w:lineRule="atLeast"/>
        <w:jc w:val="right"/>
        <w:textAlignment w:val="auto"/>
        <w:rPr>
          <w:rFonts w:ascii="Times New Roman" w:hAnsi="Times New Roman"/>
          <w:color w:val="auto"/>
          <w:szCs w:val="21"/>
          <w:highlight w:val="none"/>
        </w:rPr>
      </w:pPr>
      <w:r>
        <w:rPr>
          <w:rFonts w:hint="eastAsia" w:ascii="Times New Roman" w:hAnsi="Times New Roman"/>
          <w:color w:val="auto"/>
          <w:szCs w:val="21"/>
          <w:highlight w:val="none"/>
          <w:lang w:val="en-US" w:eastAsia="zh-CN"/>
        </w:rPr>
        <w:t>Soumissionnaire</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rPr>
        <w:t>（</w:t>
      </w:r>
      <w:r>
        <w:rPr>
          <w:rFonts w:hint="eastAsia" w:ascii="Times New Roman" w:hAnsi="Times New Roman"/>
          <w:color w:val="auto"/>
          <w:szCs w:val="21"/>
          <w:highlight w:val="none"/>
        </w:rPr>
        <w:t>Sceau de la société</w:t>
      </w:r>
      <w:r>
        <w:rPr>
          <w:rFonts w:ascii="Times New Roman" w:hAnsi="Times New Roman"/>
          <w:color w:val="auto"/>
          <w:szCs w:val="21"/>
          <w:highlight w:val="none"/>
        </w:rPr>
        <w:t>）</w:t>
      </w:r>
    </w:p>
    <w:p w14:paraId="1A4B2D91">
      <w:pPr>
        <w:keepNext w:val="0"/>
        <w:keepLines w:val="0"/>
        <w:pageBreakBefore w:val="0"/>
        <w:widowControl w:val="0"/>
        <w:kinsoku/>
        <w:wordWrap/>
        <w:overflowPunct/>
        <w:topLinePunct w:val="0"/>
        <w:autoSpaceDE/>
        <w:autoSpaceDN/>
        <w:bidi w:val="0"/>
        <w:adjustRightInd/>
        <w:spacing w:line="300" w:lineRule="atLeast"/>
        <w:ind w:left="2520" w:hanging="2520" w:hangingChars="1200"/>
        <w:jc w:val="left"/>
        <w:textAlignment w:val="auto"/>
        <w:rPr>
          <w:rFonts w:ascii="Times New Roman" w:hAnsi="Times New Roman"/>
          <w:color w:val="auto"/>
          <w:szCs w:val="21"/>
          <w:highlight w:val="none"/>
        </w:rPr>
      </w:pPr>
      <w:r>
        <w:rPr>
          <w:rFonts w:ascii="Times New Roman" w:hAnsi="Times New Roman"/>
          <w:color w:val="auto"/>
          <w:highlight w:val="none"/>
        </w:rPr>
        <w:t xml:space="preserve">                      </w:t>
      </w:r>
      <w:r>
        <w:rPr>
          <w:rFonts w:hint="eastAsia" w:ascii="Times New Roman" w:hAnsi="Times New Roman"/>
          <w:color w:val="auto"/>
          <w:highlight w:val="none"/>
        </w:rPr>
        <w:t xml:space="preserve">Représentant légal (responsable de la société) ou son mandataire : </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hint="default" w:ascii="Times New Roman" w:hAnsi="Times New Roman"/>
          <w:color w:val="auto"/>
          <w:szCs w:val="21"/>
          <w:highlight w:val="none"/>
          <w:u w:val="single"/>
          <w:lang w:val="fr-FR"/>
        </w:rPr>
        <w:t xml:space="preserve"> </w:t>
      </w:r>
      <w:r>
        <w:rPr>
          <w:rFonts w:ascii="Times New Roman" w:hAnsi="Times New Roman"/>
          <w:color w:val="auto"/>
          <w:szCs w:val="21"/>
          <w:highlight w:val="none"/>
        </w:rPr>
        <w:t>（</w:t>
      </w:r>
      <w:r>
        <w:rPr>
          <w:rFonts w:hint="eastAsia" w:ascii="Times New Roman" w:hAnsi="Times New Roman"/>
          <w:color w:val="auto"/>
          <w:szCs w:val="21"/>
          <w:highlight w:val="none"/>
        </w:rPr>
        <w:t>Signature</w:t>
      </w:r>
      <w:r>
        <w:rPr>
          <w:rFonts w:ascii="Times New Roman" w:hAnsi="Times New Roman"/>
          <w:color w:val="auto"/>
          <w:szCs w:val="21"/>
          <w:highlight w:val="none"/>
        </w:rPr>
        <w:t>）</w:t>
      </w:r>
    </w:p>
    <w:p w14:paraId="340E6F69">
      <w:pPr>
        <w:keepNext w:val="0"/>
        <w:keepLines w:val="0"/>
        <w:pageBreakBefore w:val="0"/>
        <w:widowControl w:val="0"/>
        <w:kinsoku/>
        <w:wordWrap/>
        <w:overflowPunct/>
        <w:topLinePunct w:val="0"/>
        <w:autoSpaceDE/>
        <w:autoSpaceDN/>
        <w:bidi w:val="0"/>
        <w:adjustRightInd/>
        <w:spacing w:line="300" w:lineRule="atLeast"/>
        <w:ind w:firstLine="2310" w:firstLineChars="1100"/>
        <w:jc w:val="left"/>
        <w:textAlignment w:val="auto"/>
        <w:rPr>
          <w:rFonts w:ascii="Times New Roman" w:hAnsi="Times New Roman"/>
          <w:color w:val="auto"/>
          <w:szCs w:val="21"/>
          <w:highlight w:val="none"/>
        </w:rPr>
      </w:pPr>
      <w:r>
        <w:rPr>
          <w:rFonts w:hint="eastAsia" w:ascii="Times New Roman" w:hAnsi="Times New Roman"/>
          <w:color w:val="auto"/>
          <w:szCs w:val="21"/>
          <w:highlight w:val="none"/>
        </w:rPr>
        <w:t>Adresse</w:t>
      </w:r>
      <w:r>
        <w:rPr>
          <w:rFonts w:hint="eastAsia" w:ascii="Times New Roman" w:hAnsi="Times New Roman"/>
          <w:color w:val="auto"/>
          <w:szCs w:val="21"/>
          <w:highlight w:val="none"/>
          <w:lang w:val="en-US" w:eastAsia="zh-CN"/>
        </w:rPr>
        <w:t xml:space="preserve"> </w:t>
      </w:r>
      <w:r>
        <w:rPr>
          <w:rFonts w:ascii="Times New Roman" w:hAnsi="Times New Roman"/>
          <w:color w:val="auto"/>
          <w:szCs w:val="21"/>
          <w:highlight w:val="none"/>
        </w:rPr>
        <w:t>：</w:t>
      </w:r>
      <w:r>
        <w:rPr>
          <w:rFonts w:hint="default" w:ascii="Times New Roman" w:hAnsi="Times New Roman"/>
          <w:color w:val="auto"/>
          <w:szCs w:val="21"/>
          <w:highlight w:val="none"/>
          <w:lang w:val="fr-FR"/>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p>
    <w:p w14:paraId="2318E67E">
      <w:pPr>
        <w:keepNext w:val="0"/>
        <w:keepLines w:val="0"/>
        <w:pageBreakBefore w:val="0"/>
        <w:widowControl w:val="0"/>
        <w:kinsoku/>
        <w:wordWrap/>
        <w:overflowPunct/>
        <w:topLinePunct w:val="0"/>
        <w:autoSpaceDE/>
        <w:autoSpaceDN/>
        <w:bidi w:val="0"/>
        <w:adjustRightInd/>
        <w:spacing w:line="300" w:lineRule="atLeast"/>
        <w:ind w:firstLine="2310" w:firstLineChars="1100"/>
        <w:jc w:val="left"/>
        <w:textAlignment w:val="auto"/>
        <w:rPr>
          <w:rFonts w:ascii="Times New Roman" w:hAnsi="Times New Roman"/>
          <w:color w:val="auto"/>
          <w:szCs w:val="21"/>
          <w:highlight w:val="none"/>
        </w:rPr>
      </w:pPr>
      <w:r>
        <w:rPr>
          <w:rFonts w:hint="eastAsia" w:ascii="Times New Roman" w:hAnsi="Times New Roman"/>
          <w:color w:val="auto"/>
          <w:szCs w:val="21"/>
          <w:highlight w:val="none"/>
        </w:rPr>
        <w:t xml:space="preserve">Site web </w:t>
      </w:r>
      <w:r>
        <w:rPr>
          <w:rFonts w:ascii="Times New Roman" w:hAnsi="Times New Roman"/>
          <w:color w:val="auto"/>
          <w:szCs w:val="21"/>
          <w:highlight w:val="none"/>
        </w:rPr>
        <w:t>：</w:t>
      </w:r>
      <w:r>
        <w:rPr>
          <w:rFonts w:hint="default" w:ascii="Times New Roman" w:hAnsi="Times New Roman"/>
          <w:color w:val="auto"/>
          <w:szCs w:val="21"/>
          <w:highlight w:val="none"/>
          <w:lang w:val="fr-FR"/>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49C7F185">
      <w:pPr>
        <w:keepNext w:val="0"/>
        <w:keepLines w:val="0"/>
        <w:pageBreakBefore w:val="0"/>
        <w:widowControl w:val="0"/>
        <w:kinsoku/>
        <w:wordWrap/>
        <w:overflowPunct/>
        <w:topLinePunct w:val="0"/>
        <w:autoSpaceDE/>
        <w:autoSpaceDN/>
        <w:bidi w:val="0"/>
        <w:adjustRightInd/>
        <w:spacing w:line="300" w:lineRule="atLeast"/>
        <w:ind w:firstLine="2310" w:firstLineChars="1100"/>
        <w:jc w:val="left"/>
        <w:textAlignment w:val="auto"/>
        <w:rPr>
          <w:rFonts w:ascii="Times New Roman" w:hAnsi="Times New Roman"/>
          <w:color w:val="auto"/>
          <w:szCs w:val="21"/>
          <w:highlight w:val="none"/>
        </w:rPr>
      </w:pPr>
      <w:r>
        <w:rPr>
          <w:rFonts w:hint="eastAsia" w:ascii="Times New Roman" w:hAnsi="Times New Roman"/>
          <w:color w:val="auto"/>
          <w:szCs w:val="21"/>
          <w:highlight w:val="none"/>
          <w:lang w:val="en-US" w:eastAsia="zh-CN"/>
        </w:rPr>
        <w:t>Téléphone</w:t>
      </w:r>
      <w:r>
        <w:rPr>
          <w:rFonts w:hint="default" w:ascii="Times New Roman" w:hAnsi="Times New Roman"/>
          <w:color w:val="auto"/>
          <w:szCs w:val="21"/>
          <w:highlight w:val="none"/>
          <w:lang w:val="fr-FR" w:eastAsia="zh-CN"/>
        </w:rPr>
        <w:t xml:space="preserve"> :   </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02174E0F">
      <w:pPr>
        <w:keepNext w:val="0"/>
        <w:keepLines w:val="0"/>
        <w:pageBreakBefore w:val="0"/>
        <w:widowControl w:val="0"/>
        <w:kinsoku/>
        <w:wordWrap/>
        <w:overflowPunct/>
        <w:topLinePunct w:val="0"/>
        <w:autoSpaceDE/>
        <w:autoSpaceDN/>
        <w:bidi w:val="0"/>
        <w:adjustRightInd/>
        <w:spacing w:line="300" w:lineRule="atLeast"/>
        <w:ind w:firstLine="3045" w:firstLineChars="1450"/>
        <w:jc w:val="left"/>
        <w:textAlignment w:val="auto"/>
        <w:rPr>
          <w:rFonts w:ascii="Times New Roman" w:hAnsi="Times New Roman"/>
          <w:color w:val="auto"/>
          <w:szCs w:val="21"/>
          <w:highlight w:val="none"/>
        </w:rPr>
      </w:pPr>
      <w:r>
        <w:rPr>
          <w:rFonts w:hint="eastAsia" w:ascii="Times New Roman" w:hAnsi="Times New Roman"/>
          <w:color w:val="auto"/>
          <w:szCs w:val="21"/>
          <w:highlight w:val="none"/>
        </w:rPr>
        <w:t>Fax</w:t>
      </w:r>
      <w:r>
        <w:rPr>
          <w:rFonts w:ascii="Times New Roman" w:hAnsi="Times New Roman"/>
          <w:color w:val="auto"/>
          <w:szCs w:val="21"/>
          <w:highlight w:val="none"/>
        </w:rPr>
        <w:t>：</w:t>
      </w:r>
      <w:r>
        <w:rPr>
          <w:rFonts w:hint="default" w:ascii="Times New Roman" w:hAnsi="Times New Roman"/>
          <w:color w:val="auto"/>
          <w:szCs w:val="21"/>
          <w:highlight w:val="none"/>
          <w:lang w:val="fr-FR"/>
        </w:rPr>
        <w:t xml:space="preserve"> </w:t>
      </w:r>
      <w:r>
        <w:rPr>
          <w:rFonts w:ascii="Times New Roman" w:hAnsi="Times New Roman"/>
          <w:color w:val="auto"/>
          <w:szCs w:val="21"/>
          <w:highlight w:val="none"/>
          <w:u w:val="single"/>
        </w:rPr>
        <w:t xml:space="preserve">         </w:t>
      </w:r>
      <w:r>
        <w:rPr>
          <w:rFonts w:hint="default" w:ascii="Times New Roman" w:hAnsi="Times New Roman"/>
          <w:color w:val="auto"/>
          <w:szCs w:val="21"/>
          <w:highlight w:val="none"/>
          <w:u w:val="single"/>
          <w:lang w:val="fr-FR"/>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hint="default" w:ascii="Times New Roman" w:hAnsi="Times New Roman"/>
          <w:color w:val="auto"/>
          <w:szCs w:val="21"/>
          <w:highlight w:val="none"/>
          <w:u w:val="single"/>
          <w:lang w:val="fr-FR"/>
        </w:rPr>
        <w:t xml:space="preserve"> </w:t>
      </w:r>
      <w:r>
        <w:rPr>
          <w:rFonts w:ascii="Times New Roman" w:hAnsi="Times New Roman"/>
          <w:color w:val="auto"/>
          <w:szCs w:val="21"/>
          <w:highlight w:val="none"/>
          <w:u w:val="single"/>
        </w:rPr>
        <w:t xml:space="preserve">                                </w:t>
      </w:r>
    </w:p>
    <w:p w14:paraId="7B0025A7">
      <w:pPr>
        <w:keepNext w:val="0"/>
        <w:keepLines w:val="0"/>
        <w:pageBreakBefore w:val="0"/>
        <w:widowControl w:val="0"/>
        <w:kinsoku/>
        <w:wordWrap/>
        <w:overflowPunct/>
        <w:topLinePunct w:val="0"/>
        <w:autoSpaceDE/>
        <w:autoSpaceDN/>
        <w:bidi w:val="0"/>
        <w:adjustRightInd/>
        <w:spacing w:line="300" w:lineRule="atLeast"/>
        <w:ind w:firstLine="2310" w:firstLineChars="1100"/>
        <w:jc w:val="left"/>
        <w:textAlignment w:val="auto"/>
        <w:rPr>
          <w:rFonts w:ascii="Times New Roman" w:hAnsi="Times New Roman"/>
          <w:color w:val="auto"/>
          <w:szCs w:val="21"/>
          <w:highlight w:val="none"/>
        </w:rPr>
      </w:pPr>
      <w:r>
        <w:rPr>
          <w:rFonts w:hint="eastAsia" w:ascii="Times New Roman" w:hAnsi="Times New Roman"/>
          <w:color w:val="auto"/>
          <w:szCs w:val="21"/>
          <w:highlight w:val="none"/>
        </w:rPr>
        <w:t xml:space="preserve">Code postal </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39A265DD">
      <w:pPr>
        <w:keepNext w:val="0"/>
        <w:keepLines w:val="0"/>
        <w:pageBreakBefore w:val="0"/>
        <w:widowControl w:val="0"/>
        <w:kinsoku/>
        <w:wordWrap/>
        <w:overflowPunct/>
        <w:topLinePunct w:val="0"/>
        <w:autoSpaceDE/>
        <w:autoSpaceDN/>
        <w:bidi w:val="0"/>
        <w:adjustRightInd/>
        <w:spacing w:line="300" w:lineRule="atLeast"/>
        <w:ind w:right="840" w:firstLine="4725" w:firstLineChars="2250"/>
        <w:jc w:val="center"/>
        <w:textAlignment w:val="auto"/>
        <w:rPr>
          <w:color w:val="auto"/>
          <w:highlight w:val="none"/>
        </w:rPr>
      </w:pPr>
      <w:r>
        <w:rPr>
          <w:rFonts w:hint="default" w:ascii="Times New Roman" w:hAnsi="Times New Roman"/>
          <w:color w:val="auto"/>
          <w:highlight w:val="none"/>
          <w:u w:val="none"/>
          <w:lang w:val="fr-FR"/>
        </w:rPr>
        <w:t>Date</w:t>
      </w:r>
      <w:r>
        <w:rPr>
          <w:rFonts w:ascii="Times New Roman" w:hAnsi="Times New Roman"/>
          <w:color w:val="auto"/>
          <w:highlight w:val="none"/>
          <w:u w:val="single"/>
        </w:rPr>
        <w:t xml:space="preserve">  </w:t>
      </w:r>
      <w:r>
        <w:rPr>
          <w:rFonts w:hint="default" w:ascii="Times New Roman" w:hAnsi="Times New Roman"/>
          <w:color w:val="auto"/>
          <w:highlight w:val="none"/>
          <w:u w:val="single"/>
          <w:lang w:val="fr-FR"/>
        </w:rPr>
        <w:t xml:space="preserve"> </w:t>
      </w:r>
      <w:r>
        <w:rPr>
          <w:rFonts w:ascii="Times New Roman" w:hAnsi="Times New Roman"/>
          <w:color w:val="auto"/>
          <w:highlight w:val="none"/>
          <w:u w:val="single"/>
        </w:rPr>
        <w:t xml:space="preserve">       </w:t>
      </w:r>
    </w:p>
    <w:p w14:paraId="294892D6">
      <w:pPr>
        <w:pStyle w:val="21"/>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300" w:lineRule="atLeast"/>
        <w:jc w:val="both"/>
        <w:textAlignment w:val="auto"/>
        <w:outlineLvl w:val="9"/>
        <w:rPr>
          <w:rFonts w:hint="default" w:ascii="Times New Roman" w:hAnsi="Times New Roman" w:cs="Times New Roman"/>
          <w:color w:val="auto"/>
          <w:kern w:val="2"/>
          <w:sz w:val="21"/>
          <w:highlight w:val="none"/>
          <w:lang w:val="en-US" w:eastAsia="zh-CN" w:bidi="ar-SA"/>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9" w:charSpace="0"/>
        </w:sectPr>
      </w:pPr>
    </w:p>
    <w:p w14:paraId="7D1E7CC9">
      <w:pPr>
        <w:pStyle w:val="3"/>
        <w:numPr>
          <w:ilvl w:val="0"/>
          <w:numId w:val="21"/>
        </w:numPr>
        <w:spacing w:before="0" w:after="0" w:line="360" w:lineRule="auto"/>
        <w:ind w:left="0" w:leftChars="0" w:firstLine="0" w:firstLineChars="0"/>
        <w:jc w:val="center"/>
        <w:rPr>
          <w:rFonts w:hint="eastAsia" w:ascii="宋体" w:hAnsi="宋体" w:eastAsia="宋体" w:cs="宋体"/>
          <w:bCs w:val="0"/>
          <w:color w:val="auto"/>
          <w:szCs w:val="21"/>
          <w:highlight w:val="none"/>
          <w:lang w:val="en-US" w:eastAsia="zh-CN"/>
        </w:rPr>
      </w:pPr>
      <w:bookmarkStart w:id="161" w:name="_Toc30430"/>
      <w:r>
        <w:rPr>
          <w:rFonts w:hint="eastAsia" w:ascii="宋体" w:hAnsi="宋体" w:eastAsia="宋体" w:cs="宋体"/>
          <w:bCs w:val="0"/>
          <w:color w:val="auto"/>
          <w:szCs w:val="21"/>
          <w:highlight w:val="none"/>
          <w:lang w:val="en-US" w:eastAsia="zh-CN"/>
        </w:rPr>
        <w:t>报价格式</w:t>
      </w:r>
      <w:bookmarkEnd w:id="161"/>
      <w:r>
        <w:rPr>
          <w:rFonts w:hint="eastAsia" w:ascii="宋体" w:hAnsi="宋体" w:eastAsia="宋体" w:cs="宋体"/>
          <w:bCs w:val="0"/>
          <w:color w:val="auto"/>
          <w:szCs w:val="21"/>
          <w:highlight w:val="none"/>
          <w:lang w:val="en-US" w:eastAsia="zh-CN"/>
        </w:rPr>
        <w:t xml:space="preserve"> </w:t>
      </w:r>
    </w:p>
    <w:p w14:paraId="758315AB">
      <w:pPr>
        <w:pStyle w:val="3"/>
        <w:numPr>
          <w:ilvl w:val="0"/>
          <w:numId w:val="0"/>
        </w:numPr>
        <w:spacing w:before="0" w:after="0" w:line="360" w:lineRule="auto"/>
        <w:ind w:leftChars="0"/>
        <w:jc w:val="center"/>
        <w:rPr>
          <w:rFonts w:hint="eastAsia" w:ascii="宋体" w:hAnsi="宋体" w:eastAsia="宋体" w:cs="宋体"/>
          <w:bCs w:val="0"/>
          <w:color w:val="auto"/>
          <w:szCs w:val="21"/>
          <w:highlight w:val="none"/>
          <w:lang w:val="en-US" w:eastAsia="zh-CN"/>
        </w:rPr>
      </w:pPr>
      <w:r>
        <w:rPr>
          <w:rFonts w:hint="default" w:ascii="宋体" w:hAnsi="宋体" w:cs="宋体"/>
          <w:bCs w:val="0"/>
          <w:color w:val="auto"/>
          <w:szCs w:val="21"/>
          <w:highlight w:val="none"/>
          <w:lang w:val="fr-FR" w:eastAsia="zh-CN"/>
        </w:rPr>
        <w:t>F</w:t>
      </w:r>
      <w:r>
        <w:rPr>
          <w:rFonts w:hint="eastAsia" w:ascii="宋体" w:hAnsi="宋体" w:eastAsia="宋体" w:cs="宋体"/>
          <w:bCs w:val="0"/>
          <w:color w:val="auto"/>
          <w:szCs w:val="21"/>
          <w:highlight w:val="none"/>
          <w:lang w:val="en-US" w:eastAsia="zh-CN"/>
        </w:rPr>
        <w:t>ormat du devis</w:t>
      </w:r>
    </w:p>
    <w:p w14:paraId="73D2A025">
      <w:pPr>
        <w:numPr>
          <w:ilvl w:val="0"/>
          <w:numId w:val="0"/>
        </w:numPr>
        <w:ind w:leftChars="0"/>
        <w:rPr>
          <w:rFonts w:hint="default"/>
          <w:color w:val="auto"/>
          <w:highlight w:val="none"/>
          <w:lang w:val="en-US"/>
        </w:rPr>
      </w:pPr>
    </w:p>
    <w:p w14:paraId="6D3841DA">
      <w:pPr>
        <w:adjustRightInd w:val="0"/>
        <w:snapToGrid w:val="0"/>
        <w:spacing w:line="360" w:lineRule="auto"/>
        <w:ind w:firstLine="420"/>
        <w:rPr>
          <w:rFonts w:hint="eastAsia"/>
          <w:color w:val="auto"/>
          <w:szCs w:val="21"/>
          <w:highlight w:val="none"/>
        </w:rPr>
      </w:pPr>
      <w:r>
        <w:rPr>
          <w:rFonts w:hint="eastAsia"/>
          <w:color w:val="auto"/>
          <w:szCs w:val="21"/>
          <w:highlight w:val="none"/>
        </w:rPr>
        <w:t>1. 本项目采用</w:t>
      </w:r>
      <w:r>
        <w:rPr>
          <w:rFonts w:hint="eastAsia"/>
          <w:color w:val="auto"/>
          <w:szCs w:val="21"/>
          <w:highlight w:val="none"/>
          <w:lang w:val="en-US" w:eastAsia="zh-CN"/>
        </w:rPr>
        <w:t>固定综合单价方式</w:t>
      </w:r>
      <w:r>
        <w:rPr>
          <w:rFonts w:hint="eastAsia"/>
          <w:color w:val="auto"/>
          <w:szCs w:val="21"/>
          <w:highlight w:val="none"/>
        </w:rPr>
        <w:t>承包，</w:t>
      </w:r>
      <w:r>
        <w:rPr>
          <w:rFonts w:hint="eastAsia"/>
          <w:color w:val="auto"/>
          <w:szCs w:val="21"/>
          <w:highlight w:val="none"/>
          <w:lang w:val="en-US" w:eastAsia="zh-CN"/>
        </w:rPr>
        <w:t>服务范围</w:t>
      </w:r>
      <w:r>
        <w:rPr>
          <w:rFonts w:hint="eastAsia"/>
          <w:color w:val="auto"/>
          <w:szCs w:val="21"/>
          <w:highlight w:val="none"/>
        </w:rPr>
        <w:t>仅</w:t>
      </w:r>
      <w:r>
        <w:rPr>
          <w:rFonts w:hint="eastAsia" w:eastAsia="宋体"/>
          <w:color w:val="auto"/>
          <w:szCs w:val="21"/>
          <w:highlight w:val="none"/>
          <w:lang w:eastAsia="zh-CN"/>
        </w:rPr>
        <w:t>作为响应</w:t>
      </w:r>
      <w:r>
        <w:rPr>
          <w:rFonts w:hint="eastAsia"/>
          <w:color w:val="auto"/>
          <w:szCs w:val="21"/>
          <w:highlight w:val="none"/>
        </w:rPr>
        <w:t>报价的参考，具体以</w:t>
      </w:r>
      <w:r>
        <w:rPr>
          <w:rFonts w:hint="eastAsia"/>
          <w:color w:val="auto"/>
          <w:szCs w:val="21"/>
          <w:highlight w:val="none"/>
          <w:lang w:val="en-US" w:eastAsia="zh-CN"/>
        </w:rPr>
        <w:t>委托人要求</w:t>
      </w:r>
      <w:r>
        <w:rPr>
          <w:rFonts w:hint="eastAsia"/>
          <w:color w:val="auto"/>
          <w:szCs w:val="21"/>
          <w:highlight w:val="none"/>
        </w:rPr>
        <w:t>和现场实际情况为准，实施范围涵盖技术要求中的全部项目及标准。除非另有规定，</w:t>
      </w:r>
      <w:r>
        <w:rPr>
          <w:rFonts w:hint="eastAsia" w:eastAsia="宋体"/>
          <w:color w:val="auto"/>
          <w:szCs w:val="21"/>
          <w:highlight w:val="none"/>
          <w:lang w:eastAsia="zh-CN"/>
        </w:rPr>
        <w:t>响应</w:t>
      </w:r>
      <w:r>
        <w:rPr>
          <w:rFonts w:hint="eastAsia"/>
          <w:color w:val="auto"/>
          <w:szCs w:val="21"/>
          <w:highlight w:val="none"/>
        </w:rPr>
        <w:t>人应针对</w:t>
      </w:r>
      <w:r>
        <w:rPr>
          <w:rFonts w:hint="eastAsia"/>
          <w:color w:val="auto"/>
          <w:szCs w:val="21"/>
          <w:highlight w:val="none"/>
          <w:lang w:val="en-US" w:eastAsia="zh-CN"/>
        </w:rPr>
        <w:t>项目服务</w:t>
      </w:r>
      <w:r>
        <w:rPr>
          <w:rFonts w:hint="eastAsia"/>
          <w:color w:val="auto"/>
          <w:szCs w:val="21"/>
          <w:highlight w:val="none"/>
        </w:rPr>
        <w:t>范围及</w:t>
      </w:r>
      <w:r>
        <w:rPr>
          <w:rFonts w:hint="eastAsia"/>
          <w:color w:val="auto"/>
          <w:szCs w:val="21"/>
          <w:highlight w:val="none"/>
          <w:lang w:eastAsia="zh-CN"/>
        </w:rPr>
        <w:t>采购</w:t>
      </w:r>
      <w:r>
        <w:rPr>
          <w:rFonts w:hint="eastAsia"/>
          <w:color w:val="auto"/>
          <w:szCs w:val="21"/>
          <w:highlight w:val="none"/>
        </w:rPr>
        <w:t>质量目标要求，充分预见到各种风险，同时考虑</w:t>
      </w:r>
      <w:r>
        <w:rPr>
          <w:rFonts w:hint="eastAsia" w:eastAsia="宋体"/>
          <w:color w:val="auto"/>
          <w:szCs w:val="21"/>
          <w:highlight w:val="none"/>
          <w:lang w:eastAsia="zh-CN"/>
        </w:rPr>
        <w:t>响应</w:t>
      </w:r>
      <w:r>
        <w:rPr>
          <w:rFonts w:hint="eastAsia"/>
          <w:color w:val="auto"/>
          <w:szCs w:val="21"/>
          <w:highlight w:val="none"/>
        </w:rPr>
        <w:t>人企业管理经验和水平，对为本</w:t>
      </w:r>
      <w:r>
        <w:rPr>
          <w:rFonts w:hint="eastAsia"/>
          <w:color w:val="auto"/>
          <w:szCs w:val="21"/>
          <w:highlight w:val="none"/>
          <w:lang w:val="en-US" w:eastAsia="zh-CN"/>
        </w:rPr>
        <w:t>项目</w:t>
      </w:r>
      <w:r>
        <w:rPr>
          <w:rFonts w:hint="eastAsia"/>
          <w:color w:val="auto"/>
          <w:szCs w:val="21"/>
          <w:highlight w:val="none"/>
        </w:rPr>
        <w:t>提供满足本</w:t>
      </w:r>
      <w:r>
        <w:rPr>
          <w:rFonts w:hint="eastAsia"/>
          <w:color w:val="auto"/>
          <w:szCs w:val="21"/>
          <w:highlight w:val="none"/>
          <w:lang w:eastAsia="zh-CN"/>
        </w:rPr>
        <w:t>竞争性谈判文件</w:t>
      </w:r>
      <w:r>
        <w:rPr>
          <w:rFonts w:hint="eastAsia"/>
          <w:color w:val="auto"/>
          <w:szCs w:val="21"/>
          <w:highlight w:val="none"/>
        </w:rPr>
        <w:t>要求的全面服务而发生的全部应有费用自主报价。</w:t>
      </w:r>
    </w:p>
    <w:p w14:paraId="5A84B758">
      <w:pPr>
        <w:adjustRightInd w:val="0"/>
        <w:snapToGrid w:val="0"/>
        <w:spacing w:line="360" w:lineRule="auto"/>
        <w:ind w:firstLine="630" w:firstLineChars="300"/>
        <w:rPr>
          <w:rFonts w:hint="eastAsia"/>
          <w:color w:val="auto"/>
          <w:szCs w:val="21"/>
          <w:highlight w:val="none"/>
        </w:rPr>
      </w:pPr>
      <w:r>
        <w:rPr>
          <w:rFonts w:hint="eastAsia"/>
          <w:color w:val="auto"/>
          <w:szCs w:val="21"/>
          <w:highlight w:val="none"/>
        </w:rPr>
        <w:t>Ce projet fait l'objet d'un contrat à prix unitaire global et fixe, l'étendue des services n'est qu'une référence pour répondre à l'offre, sous réserve des exigences du donneur d'ordre et de la situation réelle sur le site, et l'étendue de la mise en œuvre couvre tous les éléments et toutes les normes des exigences techniques. Sauf indication contraire, le soumissionnaire doit, en ce qui concerne l'étendue des services et les objectifs de qualité du projet, prévoir tous les types de risques, en tenant compte de l'expérience et du niveau de gestion de l'entreprise du soumissionnaire, indiquer de manière indépendante tous les coûts encourus pour la fourniture de services complets pour le projet afin de répondre aux exigences du présent document de négociation concurrentielle.</w:t>
      </w:r>
    </w:p>
    <w:p w14:paraId="01715DC0">
      <w:pPr>
        <w:numPr>
          <w:ilvl w:val="0"/>
          <w:numId w:val="0"/>
        </w:numPr>
        <w:spacing w:line="360" w:lineRule="auto"/>
        <w:ind w:firstLine="420" w:firstLineChars="200"/>
        <w:rPr>
          <w:rFonts w:ascii="Times New Roman" w:hAnsi="Times New Roman"/>
          <w:color w:val="FF0000"/>
          <w:szCs w:val="21"/>
          <w:highlight w:val="none"/>
        </w:rPr>
      </w:pPr>
      <w:r>
        <w:rPr>
          <w:rFonts w:hint="eastAsia"/>
          <w:color w:val="auto"/>
          <w:szCs w:val="21"/>
          <w:highlight w:val="none"/>
        </w:rPr>
        <w:t xml:space="preserve">2. </w:t>
      </w:r>
      <w:r>
        <w:rPr>
          <w:rFonts w:hint="eastAsia" w:eastAsia="宋体"/>
          <w:color w:val="auto"/>
          <w:szCs w:val="21"/>
          <w:highlight w:val="none"/>
          <w:lang w:eastAsia="zh-CN"/>
        </w:rPr>
        <w:t>响应</w:t>
      </w:r>
      <w:r>
        <w:rPr>
          <w:rFonts w:hint="eastAsia"/>
          <w:color w:val="auto"/>
          <w:szCs w:val="21"/>
          <w:highlight w:val="none"/>
        </w:rPr>
        <w:t>人的报价应包括但不限于</w:t>
      </w:r>
      <w:r>
        <w:rPr>
          <w:rFonts w:hint="eastAsia"/>
          <w:color w:val="auto"/>
          <w:szCs w:val="21"/>
          <w:highlight w:val="none"/>
          <w:lang w:val="en-US" w:eastAsia="zh-CN"/>
        </w:rPr>
        <w:t>铝土矿出口税申报服务费、矿石出口装船期间政府官员正常的活动费，乙方的利润等以及</w:t>
      </w:r>
      <w:r>
        <w:rPr>
          <w:rFonts w:hint="eastAsia" w:eastAsia="宋体"/>
          <w:color w:val="auto"/>
          <w:szCs w:val="21"/>
          <w:highlight w:val="none"/>
          <w:lang w:eastAsia="zh-CN"/>
        </w:rPr>
        <w:t>其他</w:t>
      </w:r>
      <w:r>
        <w:rPr>
          <w:rFonts w:hint="eastAsia"/>
          <w:color w:val="auto"/>
          <w:szCs w:val="21"/>
          <w:highlight w:val="none"/>
        </w:rPr>
        <w:t>与本</w:t>
      </w:r>
      <w:r>
        <w:rPr>
          <w:rFonts w:hint="eastAsia"/>
          <w:color w:val="auto"/>
          <w:szCs w:val="21"/>
          <w:highlight w:val="none"/>
          <w:lang w:val="en-US" w:eastAsia="zh-CN"/>
        </w:rPr>
        <w:t>项目</w:t>
      </w:r>
      <w:r>
        <w:rPr>
          <w:rFonts w:hint="eastAsia"/>
          <w:color w:val="auto"/>
          <w:szCs w:val="21"/>
          <w:highlight w:val="none"/>
        </w:rPr>
        <w:t>有关的承包商认为应计取的一切费用</w:t>
      </w:r>
      <w:r>
        <w:rPr>
          <w:rFonts w:hint="default"/>
          <w:color w:val="auto"/>
          <w:szCs w:val="21"/>
          <w:highlight w:val="none"/>
        </w:rPr>
        <w:t>，</w:t>
      </w:r>
      <w:r>
        <w:rPr>
          <w:rFonts w:hint="default"/>
          <w:b/>
          <w:bCs/>
          <w:color w:val="auto"/>
          <w:szCs w:val="21"/>
          <w:highlight w:val="none"/>
        </w:rPr>
        <w:t>其中远洋船服务费及在维嘉港口的海关的用餐费由委托人支付</w:t>
      </w:r>
      <w:r>
        <w:rPr>
          <w:rFonts w:ascii="Times New Roman" w:hAnsi="Times New Roman"/>
          <w:color w:val="auto"/>
          <w:szCs w:val="21"/>
          <w:highlight w:val="none"/>
        </w:rPr>
        <w:t>。</w:t>
      </w:r>
    </w:p>
    <w:p w14:paraId="35301B2B">
      <w:pPr>
        <w:adjustRightInd w:val="0"/>
        <w:snapToGrid w:val="0"/>
        <w:spacing w:line="360" w:lineRule="auto"/>
        <w:rPr>
          <w:rFonts w:hint="default"/>
          <w:b/>
          <w:bCs/>
          <w:color w:val="auto"/>
          <w:szCs w:val="21"/>
          <w:highlight w:val="none"/>
        </w:rPr>
      </w:pPr>
      <w:r>
        <w:rPr>
          <w:rFonts w:hint="eastAsia"/>
          <w:color w:val="auto"/>
          <w:szCs w:val="21"/>
          <w:highlight w:val="none"/>
        </w:rPr>
        <w:t xml:space="preserve"> </w:t>
      </w:r>
      <w:r>
        <w:rPr>
          <w:rFonts w:hint="default"/>
          <w:color w:val="auto"/>
          <w:szCs w:val="21"/>
          <w:highlight w:val="none"/>
          <w:lang w:val="fr-FR"/>
        </w:rPr>
        <w:t xml:space="preserve">  </w:t>
      </w:r>
      <w:r>
        <w:rPr>
          <w:rFonts w:hint="eastAsia"/>
          <w:color w:val="auto"/>
          <w:szCs w:val="21"/>
          <w:highlight w:val="none"/>
        </w:rPr>
        <w:t>L'offre du soumissionnaire comprendra, sans s'y limiter, les frais de service liés à la déclaration de la taxe à l'exportation de la bauxite, les activités normales des fonctionnaires pendant le chargement du minerai à l'exportation, les frais de service du navire océanique, le bénéfice de la partie B, etc., et tous les autres coûts liés au projet que le contractant considère comme accumulés, et tous les coûts supplémentaires encourus par les fonctionnaires qui viennent sur le site de la partie A pour une inspection sur une base ad hoc ou pour toute autre raison due à la partie A, seront payés par la partie A séparément et en fonction des faits</w:t>
      </w:r>
      <w:r>
        <w:rPr>
          <w:rFonts w:hint="default"/>
          <w:color w:val="auto"/>
          <w:szCs w:val="21"/>
          <w:highlight w:val="none"/>
        </w:rPr>
        <w:t>，</w:t>
      </w:r>
      <w:r>
        <w:rPr>
          <w:rFonts w:hint="default"/>
          <w:b/>
          <w:bCs/>
          <w:color w:val="auto"/>
          <w:szCs w:val="21"/>
          <w:highlight w:val="none"/>
        </w:rPr>
        <w:t>dont le coût des services aux navires de haute mer et des repas en douane dans le port de Vega sont à la charge du donneur d'ordre.</w:t>
      </w:r>
    </w:p>
    <w:p w14:paraId="0BD377B8">
      <w:pPr>
        <w:adjustRightInd w:val="0"/>
        <w:snapToGrid w:val="0"/>
        <w:spacing w:line="360" w:lineRule="auto"/>
        <w:jc w:val="center"/>
        <w:textAlignment w:val="baseline"/>
        <w:rPr>
          <w:rFonts w:hint="eastAsia"/>
          <w:b/>
          <w:color w:val="auto"/>
          <w:kern w:val="0"/>
          <w:szCs w:val="21"/>
          <w:highlight w:val="none"/>
          <w:u w:val="single"/>
          <w:lang w:val="en-US" w:eastAsia="zh-CN"/>
        </w:rPr>
      </w:pPr>
    </w:p>
    <w:p w14:paraId="01337E9C">
      <w:pPr>
        <w:adjustRightInd w:val="0"/>
        <w:snapToGrid w:val="0"/>
        <w:spacing w:line="360" w:lineRule="auto"/>
        <w:jc w:val="center"/>
        <w:textAlignment w:val="baseline"/>
        <w:rPr>
          <w:rFonts w:hint="eastAsia"/>
          <w:b/>
          <w:color w:val="auto"/>
          <w:kern w:val="0"/>
          <w:szCs w:val="21"/>
          <w:highlight w:val="none"/>
          <w:u w:val="single"/>
          <w:lang w:val="en-US" w:eastAsia="zh-CN"/>
        </w:rPr>
        <w:sectPr>
          <w:headerReference r:id="rId12" w:type="default"/>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9" w:charSpace="0"/>
        </w:sectPr>
      </w:pPr>
    </w:p>
    <w:p w14:paraId="63A15A68">
      <w:pPr>
        <w:adjustRightInd w:val="0"/>
        <w:snapToGrid w:val="0"/>
        <w:spacing w:line="360" w:lineRule="auto"/>
        <w:jc w:val="center"/>
        <w:textAlignment w:val="baseline"/>
        <w:rPr>
          <w:rFonts w:ascii="Times New Roman" w:hAnsi="Times New Roman" w:eastAsia="宋体"/>
          <w:b/>
          <w:bCs/>
          <w:color w:val="auto"/>
          <w:sz w:val="21"/>
          <w:szCs w:val="21"/>
          <w:highlight w:val="none"/>
        </w:rPr>
      </w:pPr>
      <w:r>
        <w:rPr>
          <w:rFonts w:hint="eastAsia"/>
          <w:b/>
          <w:color w:val="auto"/>
          <w:kern w:val="0"/>
          <w:szCs w:val="21"/>
          <w:highlight w:val="none"/>
          <w:u w:val="single"/>
          <w:lang w:val="en-US" w:eastAsia="zh-CN"/>
        </w:rPr>
        <w:t>铝土矿出口代理</w:t>
      </w:r>
      <w:r>
        <w:rPr>
          <w:rFonts w:ascii="Times New Roman" w:hAnsi="Times New Roman" w:eastAsia="宋体"/>
          <w:b/>
          <w:bCs/>
          <w:color w:val="auto"/>
          <w:sz w:val="21"/>
          <w:szCs w:val="21"/>
          <w:highlight w:val="none"/>
        </w:rPr>
        <w:t>服务报酬清单</w:t>
      </w:r>
    </w:p>
    <w:p w14:paraId="60ADFFDE">
      <w:pPr>
        <w:adjustRightInd w:val="0"/>
        <w:snapToGrid w:val="0"/>
        <w:spacing w:line="360" w:lineRule="auto"/>
        <w:jc w:val="center"/>
        <w:textAlignment w:val="baseline"/>
        <w:rPr>
          <w:rFonts w:hint="eastAsia"/>
          <w:b/>
          <w:color w:val="auto"/>
          <w:kern w:val="0"/>
          <w:szCs w:val="21"/>
          <w:highlight w:val="none"/>
          <w:u w:val="single"/>
        </w:rPr>
      </w:pPr>
      <w:r>
        <w:rPr>
          <w:rFonts w:hint="eastAsia"/>
          <w:b/>
          <w:color w:val="auto"/>
          <w:kern w:val="0"/>
          <w:szCs w:val="21"/>
          <w:highlight w:val="none"/>
          <w:u w:val="single"/>
        </w:rPr>
        <w:t>Liste des rémunérations pour les services d'agent à l'exportation de minerai de bauxite</w:t>
      </w:r>
    </w:p>
    <w:tbl>
      <w:tblPr>
        <w:tblStyle w:val="31"/>
        <w:tblW w:w="53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568"/>
        <w:gridCol w:w="2168"/>
        <w:gridCol w:w="2114"/>
        <w:gridCol w:w="1281"/>
        <w:gridCol w:w="969"/>
        <w:gridCol w:w="1430"/>
      </w:tblGrid>
      <w:tr w14:paraId="049A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l2br w:val="nil"/>
              <w:tr2bl w:val="nil"/>
            </w:tcBorders>
            <w:noWrap w:val="0"/>
            <w:vAlign w:val="center"/>
          </w:tcPr>
          <w:p w14:paraId="559D9D4E">
            <w:pPr>
              <w:widowControl/>
              <w:jc w:val="center"/>
              <w:rPr>
                <w:rFonts w:ascii="宋体" w:hAnsi="宋体" w:eastAsia="宋体"/>
                <w:b/>
                <w:color w:val="auto"/>
                <w:kern w:val="0"/>
                <w:szCs w:val="21"/>
                <w:highlight w:val="none"/>
              </w:rPr>
            </w:pPr>
            <w:r>
              <w:rPr>
                <w:rFonts w:ascii="宋体" w:hAnsi="宋体" w:eastAsia="宋体"/>
                <w:b/>
                <w:color w:val="auto"/>
                <w:kern w:val="0"/>
                <w:szCs w:val="21"/>
                <w:highlight w:val="none"/>
              </w:rPr>
              <w:t>序号</w:t>
            </w:r>
          </w:p>
          <w:p w14:paraId="224D3CEA">
            <w:pPr>
              <w:pStyle w:val="20"/>
              <w:jc w:val="center"/>
              <w:rPr>
                <w:rFonts w:hint="default"/>
                <w:color w:val="auto"/>
                <w:highlight w:val="none"/>
                <w:lang w:val="fr-FR"/>
              </w:rPr>
            </w:pPr>
            <w:r>
              <w:rPr>
                <w:rFonts w:hint="default" w:ascii="宋体" w:hAnsi="宋体"/>
                <w:b/>
                <w:color w:val="auto"/>
                <w:kern w:val="0"/>
                <w:szCs w:val="21"/>
                <w:highlight w:val="none"/>
                <w:lang w:val="fr-FR"/>
              </w:rPr>
              <w:t>N</w:t>
            </w:r>
          </w:p>
        </w:tc>
        <w:tc>
          <w:tcPr>
            <w:tcW w:w="3736" w:type="dxa"/>
            <w:gridSpan w:val="2"/>
            <w:tcBorders>
              <w:tl2br w:val="nil"/>
              <w:tr2bl w:val="nil"/>
            </w:tcBorders>
            <w:noWrap w:val="0"/>
            <w:vAlign w:val="center"/>
          </w:tcPr>
          <w:p w14:paraId="6E9BB2E0">
            <w:pPr>
              <w:widowControl/>
              <w:jc w:val="center"/>
              <w:rPr>
                <w:rFonts w:ascii="宋体" w:hAnsi="宋体" w:eastAsia="宋体"/>
                <w:b/>
                <w:color w:val="auto"/>
                <w:kern w:val="0"/>
                <w:szCs w:val="21"/>
                <w:highlight w:val="none"/>
              </w:rPr>
            </w:pPr>
            <w:r>
              <w:rPr>
                <w:rFonts w:ascii="宋体" w:hAnsi="宋体" w:eastAsia="宋体"/>
                <w:b/>
                <w:color w:val="auto"/>
                <w:kern w:val="0"/>
                <w:szCs w:val="21"/>
                <w:highlight w:val="none"/>
              </w:rPr>
              <w:t>服务报酬分项名称</w:t>
            </w:r>
          </w:p>
          <w:p w14:paraId="04352B6C">
            <w:pPr>
              <w:pStyle w:val="20"/>
              <w:jc w:val="center"/>
              <w:rPr>
                <w:color w:val="auto"/>
                <w:highlight w:val="none"/>
              </w:rPr>
            </w:pPr>
            <w:r>
              <w:rPr>
                <w:rFonts w:hint="eastAsia"/>
                <w:color w:val="auto"/>
                <w:sz w:val="21"/>
                <w:highlight w:val="none"/>
              </w:rPr>
              <w:t>Nom de la rémunération des services sous-section</w:t>
            </w:r>
          </w:p>
        </w:tc>
        <w:tc>
          <w:tcPr>
            <w:tcW w:w="2114" w:type="dxa"/>
            <w:tcBorders>
              <w:tl2br w:val="nil"/>
              <w:tr2bl w:val="nil"/>
            </w:tcBorders>
            <w:noWrap w:val="0"/>
            <w:vAlign w:val="center"/>
          </w:tcPr>
          <w:p w14:paraId="5698212C">
            <w:pPr>
              <w:widowControl/>
              <w:jc w:val="both"/>
              <w:rPr>
                <w:rFonts w:ascii="宋体" w:hAnsi="宋体" w:eastAsia="宋体"/>
                <w:b/>
                <w:color w:val="auto"/>
                <w:kern w:val="0"/>
                <w:szCs w:val="21"/>
                <w:highlight w:val="none"/>
              </w:rPr>
            </w:pPr>
            <w:r>
              <w:rPr>
                <w:rFonts w:hint="eastAsia" w:ascii="宋体" w:hAnsi="宋体"/>
                <w:b/>
                <w:color w:val="auto"/>
                <w:kern w:val="0"/>
                <w:szCs w:val="21"/>
                <w:highlight w:val="none"/>
                <w:lang w:val="en-US" w:eastAsia="zh-CN"/>
              </w:rPr>
              <w:t>固定单价</w:t>
            </w:r>
            <w:r>
              <w:rPr>
                <w:rFonts w:ascii="宋体" w:hAnsi="宋体" w:eastAsia="宋体"/>
                <w:b/>
                <w:color w:val="auto"/>
                <w:kern w:val="0"/>
                <w:szCs w:val="21"/>
                <w:highlight w:val="none"/>
              </w:rPr>
              <w:t>（</w:t>
            </w:r>
            <w:r>
              <w:rPr>
                <w:rFonts w:hint="eastAsia" w:ascii="宋体" w:hAnsi="宋体"/>
                <w:b/>
                <w:color w:val="auto"/>
                <w:kern w:val="0"/>
                <w:szCs w:val="21"/>
                <w:highlight w:val="none"/>
                <w:lang w:val="en-US" w:eastAsia="zh-CN"/>
              </w:rPr>
              <w:t>GNF/干吨</w:t>
            </w:r>
            <w:r>
              <w:rPr>
                <w:rFonts w:hint="eastAsia" w:ascii="宋体" w:hAnsi="宋体" w:eastAsia="宋体"/>
                <w:b/>
                <w:color w:val="auto"/>
                <w:kern w:val="0"/>
                <w:szCs w:val="21"/>
                <w:highlight w:val="none"/>
              </w:rPr>
              <w:t>，</w:t>
            </w:r>
            <w:r>
              <w:rPr>
                <w:rFonts w:hint="eastAsia" w:ascii="宋体" w:hAnsi="宋体"/>
                <w:b/>
                <w:color w:val="auto"/>
                <w:kern w:val="0"/>
                <w:szCs w:val="21"/>
                <w:highlight w:val="none"/>
                <w:lang w:val="en-US" w:eastAsia="zh-CN"/>
              </w:rPr>
              <w:t>不</w:t>
            </w:r>
            <w:r>
              <w:rPr>
                <w:rFonts w:hint="eastAsia" w:ascii="宋体" w:hAnsi="宋体" w:eastAsia="宋体"/>
                <w:b/>
                <w:color w:val="auto"/>
                <w:kern w:val="0"/>
                <w:szCs w:val="21"/>
                <w:highlight w:val="none"/>
              </w:rPr>
              <w:t>含</w:t>
            </w:r>
            <w:r>
              <w:rPr>
                <w:rFonts w:hint="eastAsia" w:ascii="宋体" w:hAnsi="宋体"/>
                <w:b/>
                <w:color w:val="auto"/>
                <w:kern w:val="0"/>
                <w:szCs w:val="21"/>
                <w:highlight w:val="none"/>
                <w:lang w:val="en-US" w:eastAsia="zh-CN"/>
              </w:rPr>
              <w:t>增值</w:t>
            </w:r>
            <w:r>
              <w:rPr>
                <w:rFonts w:hint="eastAsia" w:ascii="宋体" w:hAnsi="宋体" w:eastAsia="宋体"/>
                <w:b/>
                <w:color w:val="auto"/>
                <w:kern w:val="0"/>
                <w:szCs w:val="21"/>
                <w:highlight w:val="none"/>
              </w:rPr>
              <w:t>税价</w:t>
            </w:r>
            <w:r>
              <w:rPr>
                <w:rFonts w:ascii="宋体" w:hAnsi="宋体" w:eastAsia="宋体"/>
                <w:b/>
                <w:color w:val="auto"/>
                <w:kern w:val="0"/>
                <w:szCs w:val="21"/>
                <w:highlight w:val="none"/>
              </w:rPr>
              <w:t>）</w:t>
            </w:r>
          </w:p>
          <w:p w14:paraId="4FAEA978">
            <w:pPr>
              <w:pStyle w:val="20"/>
              <w:jc w:val="left"/>
              <w:rPr>
                <w:color w:val="auto"/>
                <w:highlight w:val="none"/>
              </w:rPr>
            </w:pPr>
            <w:r>
              <w:rPr>
                <w:rFonts w:hint="eastAsia" w:ascii="Times New Roman" w:hAnsi="Times New Roman" w:eastAsia="宋体" w:cs="Times New Roman"/>
                <w:color w:val="auto"/>
                <w:kern w:val="2"/>
                <w:sz w:val="21"/>
                <w:highlight w:val="none"/>
                <w:lang w:val="en-US" w:eastAsia="zh-CN" w:bidi="ar-SA"/>
              </w:rPr>
              <w:t xml:space="preserve">prix </w:t>
            </w:r>
            <w:r>
              <w:rPr>
                <w:rFonts w:hint="eastAsia" w:cs="Times New Roman"/>
                <w:color w:val="auto"/>
                <w:kern w:val="2"/>
                <w:sz w:val="21"/>
                <w:highlight w:val="none"/>
                <w:lang w:val="en-US" w:eastAsia="zh-CN" w:bidi="ar-SA"/>
              </w:rPr>
              <w:t>unitaire</w:t>
            </w:r>
            <w:r>
              <w:rPr>
                <w:rFonts w:hint="eastAsia" w:eastAsia="宋体"/>
                <w:color w:val="auto"/>
                <w:sz w:val="20"/>
                <w:szCs w:val="21"/>
                <w:highlight w:val="none"/>
                <w:lang w:val="en-US" w:eastAsia="zh-CN"/>
              </w:rPr>
              <w:t>（</w:t>
            </w:r>
            <w:r>
              <w:rPr>
                <w:rFonts w:hint="eastAsia"/>
                <w:color w:val="auto"/>
                <w:sz w:val="20"/>
                <w:szCs w:val="21"/>
                <w:highlight w:val="none"/>
                <w:lang w:val="en-US" w:eastAsia="zh-CN"/>
              </w:rPr>
              <w:t>GNF/ T</w:t>
            </w:r>
            <w:r>
              <w:rPr>
                <w:rFonts w:hint="default"/>
                <w:color w:val="auto"/>
                <w:sz w:val="20"/>
                <w:szCs w:val="21"/>
                <w:highlight w:val="none"/>
                <w:lang w:val="fr-FR" w:eastAsia="zh-CN"/>
              </w:rPr>
              <w:t>onne Sèche</w:t>
            </w:r>
            <w:r>
              <w:rPr>
                <w:rFonts w:hint="eastAsia" w:ascii="宋体" w:hAnsi="宋体" w:eastAsia="宋体"/>
                <w:b/>
                <w:color w:val="auto"/>
                <w:kern w:val="0"/>
                <w:szCs w:val="21"/>
                <w:highlight w:val="none"/>
              </w:rPr>
              <w:t>，</w:t>
            </w:r>
            <w:r>
              <w:rPr>
                <w:rFonts w:hint="eastAsia"/>
                <w:color w:val="auto"/>
                <w:sz w:val="20"/>
                <w:szCs w:val="21"/>
                <w:highlight w:val="none"/>
              </w:rPr>
              <w:t>hors TVA)</w:t>
            </w:r>
          </w:p>
        </w:tc>
        <w:tc>
          <w:tcPr>
            <w:tcW w:w="1281" w:type="dxa"/>
            <w:tcBorders>
              <w:tl2br w:val="nil"/>
              <w:tr2bl w:val="nil"/>
            </w:tcBorders>
            <w:noWrap w:val="0"/>
            <w:vAlign w:val="center"/>
          </w:tcPr>
          <w:p w14:paraId="7D1FD29D">
            <w:pPr>
              <w:pStyle w:val="20"/>
              <w:jc w:val="left"/>
              <w:rPr>
                <w:rFonts w:hint="eastAsia"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预估总量（干吨）</w:t>
            </w:r>
          </w:p>
        </w:tc>
        <w:tc>
          <w:tcPr>
            <w:tcW w:w="969" w:type="dxa"/>
            <w:tcBorders>
              <w:tl2br w:val="nil"/>
              <w:tr2bl w:val="nil"/>
            </w:tcBorders>
            <w:noWrap w:val="0"/>
            <w:vAlign w:val="center"/>
          </w:tcPr>
          <w:p w14:paraId="65B6B2B0">
            <w:pPr>
              <w:pStyle w:val="20"/>
              <w:ind w:firstLine="210" w:firstLineChars="100"/>
              <w:jc w:val="left"/>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总价（GNF）</w:t>
            </w:r>
          </w:p>
        </w:tc>
        <w:tc>
          <w:tcPr>
            <w:tcW w:w="1430" w:type="dxa"/>
            <w:tcBorders>
              <w:tl2br w:val="nil"/>
              <w:tr2bl w:val="nil"/>
            </w:tcBorders>
            <w:noWrap w:val="0"/>
            <w:vAlign w:val="center"/>
          </w:tcPr>
          <w:p w14:paraId="033D88D8">
            <w:pPr>
              <w:widowControl/>
              <w:jc w:val="center"/>
              <w:rPr>
                <w:rFonts w:ascii="宋体" w:hAnsi="宋体" w:eastAsia="宋体"/>
                <w:b/>
                <w:color w:val="auto"/>
                <w:kern w:val="0"/>
                <w:szCs w:val="21"/>
                <w:highlight w:val="none"/>
              </w:rPr>
            </w:pPr>
            <w:r>
              <w:rPr>
                <w:rFonts w:ascii="宋体" w:hAnsi="宋体" w:eastAsia="宋体"/>
                <w:b/>
                <w:color w:val="auto"/>
                <w:kern w:val="0"/>
                <w:szCs w:val="21"/>
                <w:highlight w:val="none"/>
              </w:rPr>
              <w:t>备注</w:t>
            </w:r>
          </w:p>
          <w:p w14:paraId="36F2E266">
            <w:pPr>
              <w:pStyle w:val="20"/>
              <w:jc w:val="center"/>
              <w:rPr>
                <w:rFonts w:hint="default"/>
                <w:color w:val="auto"/>
                <w:highlight w:val="none"/>
                <w:lang w:val="fr-FR"/>
              </w:rPr>
            </w:pPr>
            <w:r>
              <w:rPr>
                <w:rFonts w:hint="default" w:ascii="宋体" w:hAnsi="宋体"/>
                <w:b/>
                <w:color w:val="auto"/>
                <w:kern w:val="0"/>
                <w:szCs w:val="21"/>
                <w:highlight w:val="none"/>
                <w:lang w:val="fr-FR"/>
              </w:rPr>
              <w:t>Remarques</w:t>
            </w:r>
          </w:p>
        </w:tc>
      </w:tr>
      <w:tr w14:paraId="55BF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801" w:type="dxa"/>
            <w:tcBorders>
              <w:tl2br w:val="nil"/>
              <w:tr2bl w:val="nil"/>
            </w:tcBorders>
            <w:noWrap w:val="0"/>
            <w:vAlign w:val="center"/>
          </w:tcPr>
          <w:p w14:paraId="2EE1665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宋体" w:hAnsi="宋体" w:eastAsia="宋体"/>
                <w:color w:val="auto"/>
                <w:highlight w:val="none"/>
              </w:rPr>
            </w:pPr>
            <w:r>
              <w:rPr>
                <w:rFonts w:ascii="宋体" w:hAnsi="宋体" w:eastAsia="宋体"/>
                <w:color w:val="auto"/>
                <w:highlight w:val="none"/>
              </w:rPr>
              <w:t>1</w:t>
            </w:r>
          </w:p>
        </w:tc>
        <w:tc>
          <w:tcPr>
            <w:tcW w:w="1568" w:type="dxa"/>
            <w:tcBorders>
              <w:tl2br w:val="nil"/>
              <w:tr2bl w:val="nil"/>
            </w:tcBorders>
            <w:noWrap w:val="0"/>
            <w:vAlign w:val="center"/>
          </w:tcPr>
          <w:p w14:paraId="0E621EC7">
            <w:pPr>
              <w:pStyle w:val="20"/>
              <w:keepNext w:val="0"/>
              <w:keepLines w:val="0"/>
              <w:pageBreakBefore w:val="0"/>
              <w:widowControl w:val="0"/>
              <w:kinsoku/>
              <w:wordWrap/>
              <w:overflowPunct/>
              <w:topLinePunct w:val="0"/>
              <w:autoSpaceDE/>
              <w:autoSpaceDN/>
              <w:bidi w:val="0"/>
              <w:adjustRightInd/>
              <w:spacing w:line="300" w:lineRule="exact"/>
              <w:textAlignment w:val="auto"/>
              <w:rPr>
                <w:rFonts w:hint="default"/>
                <w:color w:val="auto"/>
                <w:highlight w:val="none"/>
                <w:lang w:val="en-US" w:eastAsia="zh-CN"/>
              </w:rPr>
            </w:pPr>
            <w:r>
              <w:rPr>
                <w:rFonts w:hint="eastAsia" w:cs="Times New Roman"/>
                <w:color w:val="auto"/>
                <w:kern w:val="2"/>
                <w:sz w:val="21"/>
                <w:highlight w:val="none"/>
                <w:lang w:val="en-US" w:eastAsia="zh-CN" w:bidi="ar-SA"/>
              </w:rPr>
              <w:t>铝土矿出口代理费</w:t>
            </w:r>
            <w:r>
              <w:rPr>
                <w:rFonts w:hint="eastAsia" w:ascii="Times New Roman" w:hAnsi="Times New Roman" w:eastAsia="宋体" w:cs="Times New Roman"/>
                <w:color w:val="auto"/>
                <w:kern w:val="2"/>
                <w:sz w:val="21"/>
                <w:highlight w:val="none"/>
                <w:lang w:val="en-US" w:eastAsia="zh-CN" w:bidi="ar-SA"/>
              </w:rPr>
              <w:t xml:space="preserve"> </w:t>
            </w:r>
            <w:r>
              <w:rPr>
                <w:rFonts w:hint="eastAsia"/>
                <w:sz w:val="18"/>
              </w:rPr>
              <w:t>Frais de prestation pour l'exportation de bauxite</w:t>
            </w:r>
          </w:p>
        </w:tc>
        <w:tc>
          <w:tcPr>
            <w:tcW w:w="2168" w:type="dxa"/>
            <w:tcBorders>
              <w:tl2br w:val="nil"/>
              <w:tr2bl w:val="nil"/>
            </w:tcBorders>
            <w:noWrap w:val="0"/>
            <w:vAlign w:val="center"/>
          </w:tcPr>
          <w:p w14:paraId="2FB5AE48">
            <w:pPr>
              <w:pStyle w:val="20"/>
              <w:keepNext w:val="0"/>
              <w:keepLines w:val="0"/>
              <w:pageBreakBefore w:val="0"/>
              <w:widowControl w:val="0"/>
              <w:kinsoku/>
              <w:wordWrap/>
              <w:overflowPunct/>
              <w:topLinePunct w:val="0"/>
              <w:autoSpaceDE/>
              <w:autoSpaceDN/>
              <w:bidi w:val="0"/>
              <w:adjustRightInd/>
              <w:spacing w:line="300" w:lineRule="exact"/>
              <w:textAlignment w:val="auto"/>
              <w:rPr>
                <w:rFonts w:hint="eastAsia"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铝土矿出口税申报服务费</w:t>
            </w:r>
          </w:p>
          <w:p w14:paraId="600DB0FD">
            <w:pPr>
              <w:pStyle w:val="21"/>
              <w:rPr>
                <w:rFonts w:hint="eastAsia"/>
                <w:lang w:val="en-US" w:eastAsia="zh-CN"/>
              </w:rPr>
            </w:pPr>
            <w:r>
              <w:rPr>
                <w:rFonts w:hint="eastAsia"/>
                <w:lang w:val="en-US" w:eastAsia="zh-CN"/>
              </w:rPr>
              <w:t>Frais de service pour les déclarations de taxes à l'exportation de bauxite</w:t>
            </w:r>
          </w:p>
        </w:tc>
        <w:tc>
          <w:tcPr>
            <w:tcW w:w="2114" w:type="dxa"/>
            <w:tcBorders>
              <w:tl2br w:val="nil"/>
              <w:tr2bl w:val="nil"/>
            </w:tcBorders>
            <w:noWrap w:val="0"/>
            <w:vAlign w:val="center"/>
          </w:tcPr>
          <w:p w14:paraId="0CFFF10F">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宋体" w:hAnsi="宋体" w:eastAsia="宋体"/>
                <w:color w:val="auto"/>
                <w:highlight w:val="none"/>
              </w:rPr>
            </w:pPr>
          </w:p>
        </w:tc>
        <w:tc>
          <w:tcPr>
            <w:tcW w:w="1281" w:type="dxa"/>
            <w:tcBorders>
              <w:tl2br w:val="nil"/>
              <w:tr2bl w:val="nil"/>
            </w:tcBorders>
            <w:noWrap w:val="0"/>
            <w:vAlign w:val="center"/>
          </w:tcPr>
          <w:p w14:paraId="5DA45F8B">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宋体" w:hAnsi="宋体" w:eastAsia="宋体"/>
                <w:color w:val="auto"/>
                <w:highlight w:val="none"/>
                <w:lang w:val="en-US" w:eastAsia="zh-CN"/>
              </w:rPr>
            </w:pPr>
            <w:r>
              <w:rPr>
                <w:rFonts w:hint="eastAsia" w:ascii="Times New Roman" w:hAnsi="Times New Roman"/>
                <w:b/>
                <w:bCs/>
                <w:kern w:val="0"/>
                <w:highlight w:val="none"/>
                <w:lang w:val="en-US" w:eastAsia="zh-CN"/>
              </w:rPr>
              <w:t>2250</w:t>
            </w:r>
            <w:r>
              <w:rPr>
                <w:rFonts w:hint="eastAsia"/>
                <w:b/>
                <w:bCs/>
                <w:kern w:val="0"/>
                <w:highlight w:val="none"/>
                <w:lang w:val="en-US" w:eastAsia="zh-CN"/>
              </w:rPr>
              <w:t>0000</w:t>
            </w:r>
          </w:p>
        </w:tc>
        <w:tc>
          <w:tcPr>
            <w:tcW w:w="969" w:type="dxa"/>
            <w:tcBorders>
              <w:tl2br w:val="nil"/>
              <w:tr2bl w:val="nil"/>
            </w:tcBorders>
            <w:noWrap w:val="0"/>
            <w:vAlign w:val="center"/>
          </w:tcPr>
          <w:p w14:paraId="6CAB75D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宋体" w:hAnsi="宋体" w:eastAsia="宋体"/>
                <w:color w:val="auto"/>
                <w:highlight w:val="none"/>
              </w:rPr>
            </w:pPr>
          </w:p>
        </w:tc>
        <w:tc>
          <w:tcPr>
            <w:tcW w:w="1430" w:type="dxa"/>
            <w:tcBorders>
              <w:tl2br w:val="nil"/>
              <w:tr2bl w:val="nil"/>
            </w:tcBorders>
            <w:noWrap w:val="0"/>
            <w:vAlign w:val="center"/>
          </w:tcPr>
          <w:p w14:paraId="73527BB1">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报价需包括投标人认为完成该事项的其他所有费用</w:t>
            </w:r>
          </w:p>
          <w:p w14:paraId="6EC2203E">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宋体" w:hAnsi="宋体" w:eastAsia="宋体"/>
                <w:color w:val="auto"/>
                <w:highlight w:val="none"/>
                <w:lang w:val="en-US" w:eastAsia="zh-CN"/>
              </w:rPr>
            </w:pPr>
            <w:r>
              <w:rPr>
                <w:rFonts w:hint="eastAsia" w:ascii="Times New Roman" w:hAnsi="Times New Roman"/>
                <w:sz w:val="18"/>
                <w:lang w:val="en-US" w:eastAsia="zh-CN"/>
              </w:rPr>
              <w:t>La proposition de prix doit inclure tous les autres frais que le soumissionnaire estime nécessaires pour accomplir ladite tâche.</w:t>
            </w:r>
          </w:p>
        </w:tc>
      </w:tr>
    </w:tbl>
    <w:p w14:paraId="63484114">
      <w:pPr>
        <w:adjustRightInd w:val="0"/>
        <w:snapToGrid w:val="0"/>
        <w:spacing w:line="360" w:lineRule="auto"/>
        <w:ind w:firstLine="420"/>
        <w:jc w:val="left"/>
        <w:textAlignment w:val="baseline"/>
        <w:rPr>
          <w:rFonts w:ascii="Times New Roman" w:hAnsi="Times New Roman"/>
          <w:color w:val="auto"/>
          <w:kern w:val="0"/>
          <w:szCs w:val="21"/>
          <w:highlight w:val="none"/>
        </w:rPr>
      </w:pPr>
    </w:p>
    <w:p w14:paraId="7B0049AB">
      <w:pPr>
        <w:adjustRightInd w:val="0"/>
        <w:snapToGrid w:val="0"/>
        <w:spacing w:line="360" w:lineRule="auto"/>
        <w:jc w:val="left"/>
        <w:textAlignment w:val="baseline"/>
        <w:rPr>
          <w:rFonts w:ascii="Times New Roman" w:hAnsi="Times New Roman"/>
          <w:color w:val="auto"/>
          <w:kern w:val="0"/>
          <w:szCs w:val="21"/>
          <w:highlight w:val="none"/>
        </w:rPr>
      </w:pPr>
      <w:r>
        <w:rPr>
          <w:rFonts w:ascii="Times New Roman" w:hAnsi="Times New Roman"/>
          <w:color w:val="auto"/>
          <w:kern w:val="0"/>
          <w:szCs w:val="21"/>
          <w:highlight w:val="none"/>
        </w:rPr>
        <w:t>报价单位</w:t>
      </w:r>
      <w:r>
        <w:rPr>
          <w:rFonts w:hint="eastAsia" w:ascii="Times New Roman" w:hAnsi="Times New Roman"/>
          <w:color w:val="auto"/>
          <w:kern w:val="0"/>
          <w:szCs w:val="21"/>
          <w:highlight w:val="none"/>
        </w:rPr>
        <w:t>Société de cotation</w:t>
      </w:r>
      <w:r>
        <w:rPr>
          <w:rFonts w:ascii="Times New Roman" w:hAnsi="Times New Roman"/>
          <w:color w:val="auto"/>
          <w:kern w:val="0"/>
          <w:szCs w:val="21"/>
          <w:highlight w:val="none"/>
        </w:rPr>
        <w:t>：___________________ 日期</w:t>
      </w:r>
      <w:r>
        <w:rPr>
          <w:rFonts w:hint="eastAsia" w:ascii="Times New Roman" w:hAnsi="Times New Roman"/>
          <w:color w:val="auto"/>
          <w:kern w:val="0"/>
          <w:szCs w:val="21"/>
          <w:highlight w:val="none"/>
        </w:rPr>
        <w:t xml:space="preserve"> Date de la cotation</w:t>
      </w:r>
      <w:r>
        <w:rPr>
          <w:rFonts w:ascii="Times New Roman" w:hAnsi="Times New Roman"/>
          <w:color w:val="auto"/>
          <w:kern w:val="0"/>
          <w:szCs w:val="21"/>
          <w:highlight w:val="none"/>
        </w:rPr>
        <w:t>：__________________</w:t>
      </w:r>
    </w:p>
    <w:p w14:paraId="1328B92D">
      <w:pPr>
        <w:pStyle w:val="12"/>
        <w:rPr>
          <w:rFonts w:hint="eastAsia" w:ascii="Times New Roman" w:hAnsi="Times New Roman"/>
          <w:color w:val="auto"/>
          <w:kern w:val="0"/>
          <w:szCs w:val="21"/>
          <w:highlight w:val="none"/>
        </w:rPr>
      </w:pPr>
      <w:r>
        <w:rPr>
          <w:rFonts w:ascii="Times New Roman" w:hAnsi="Times New Roman"/>
          <w:color w:val="auto"/>
          <w:kern w:val="0"/>
          <w:sz w:val="21"/>
          <w:szCs w:val="21"/>
          <w:highlight w:val="none"/>
          <w:lang w:val="en-US" w:eastAsia="zh-CN" w:bidi="ar-SA"/>
        </w:rPr>
        <w:t>授权委托人</w:t>
      </w:r>
      <w:r>
        <w:rPr>
          <w:rFonts w:hint="eastAsia" w:ascii="Times New Roman" w:hAnsi="Times New Roman"/>
          <w:color w:val="auto"/>
          <w:kern w:val="0"/>
          <w:sz w:val="21"/>
          <w:szCs w:val="21"/>
          <w:highlight w:val="none"/>
          <w:lang w:val="en-US" w:eastAsia="zh-CN" w:bidi="ar-SA"/>
        </w:rPr>
        <w:t>Mandant autorisé</w:t>
      </w:r>
      <w:r>
        <w:rPr>
          <w:rFonts w:ascii="Times New Roman" w:hAnsi="Times New Roman"/>
          <w:color w:val="auto"/>
          <w:kern w:val="0"/>
          <w:sz w:val="21"/>
          <w:szCs w:val="21"/>
          <w:highlight w:val="none"/>
          <w:lang w:val="en-US" w:eastAsia="zh-CN" w:bidi="ar-SA"/>
        </w:rPr>
        <w:t>：_________________ 报价有效期</w:t>
      </w:r>
      <w:r>
        <w:rPr>
          <w:rFonts w:hint="eastAsia" w:ascii="Times New Roman" w:hAnsi="Times New Roman"/>
          <w:color w:val="auto"/>
          <w:kern w:val="0"/>
          <w:sz w:val="21"/>
          <w:szCs w:val="21"/>
          <w:highlight w:val="none"/>
          <w:lang w:val="en-US" w:eastAsia="zh-CN" w:bidi="ar-SA"/>
        </w:rPr>
        <w:t>Période de validité de la cotation</w:t>
      </w:r>
      <w:r>
        <w:rPr>
          <w:rFonts w:ascii="Times New Roman" w:hAnsi="Times New Roman"/>
          <w:color w:val="auto"/>
          <w:kern w:val="0"/>
          <w:szCs w:val="21"/>
          <w:highlight w:val="none"/>
        </w:rPr>
        <w:t>：</w:t>
      </w:r>
      <w:r>
        <w:rPr>
          <w:rFonts w:hint="eastAsia" w:ascii="Times New Roman" w:hAnsi="Times New Roman"/>
          <w:color w:val="auto"/>
          <w:kern w:val="0"/>
          <w:szCs w:val="21"/>
          <w:highlight w:val="none"/>
        </w:rPr>
        <w:t>90 jours</w:t>
      </w:r>
    </w:p>
    <w:p w14:paraId="60D48B8F">
      <w:pPr>
        <w:rPr>
          <w:rFonts w:hint="eastAsia" w:ascii="Times New Roman" w:hAnsi="Times New Roman"/>
          <w:color w:val="auto"/>
          <w:kern w:val="0"/>
          <w:szCs w:val="21"/>
          <w:highlight w:val="none"/>
        </w:rPr>
      </w:pPr>
    </w:p>
    <w:p w14:paraId="55D851FA">
      <w:pPr>
        <w:widowControl/>
        <w:ind w:right="105"/>
        <w:jc w:val="left"/>
        <w:rPr>
          <w:rFonts w:hint="eastAsia" w:ascii="Times New Roman" w:hAnsi="Times New Roman"/>
          <w:b/>
          <w:bCs/>
          <w:kern w:val="0"/>
          <w:highlight w:val="none"/>
        </w:rPr>
      </w:pPr>
      <w:r>
        <w:rPr>
          <w:rFonts w:hint="eastAsia" w:ascii="Times New Roman" w:hAnsi="Times New Roman"/>
          <w:b/>
          <w:bCs/>
          <w:kern w:val="0"/>
          <w:highlight w:val="none"/>
        </w:rPr>
        <w:t>注：本项目按2年服务期招标，</w:t>
      </w:r>
      <w:r>
        <w:rPr>
          <w:rFonts w:hint="eastAsia" w:ascii="Times New Roman" w:hAnsi="Times New Roman"/>
          <w:b/>
          <w:bCs/>
          <w:kern w:val="0"/>
          <w:highlight w:val="none"/>
          <w:lang w:val="en-US" w:eastAsia="zh-CN"/>
        </w:rPr>
        <w:t>暂定</w:t>
      </w:r>
      <w:r>
        <w:rPr>
          <w:rFonts w:hint="eastAsia" w:ascii="Times New Roman" w:hAnsi="Times New Roman"/>
          <w:b/>
          <w:bCs/>
          <w:kern w:val="0"/>
          <w:highlight w:val="none"/>
        </w:rPr>
        <w:t>总计划量</w:t>
      </w:r>
      <w:r>
        <w:rPr>
          <w:rFonts w:hint="eastAsia" w:ascii="Times New Roman" w:hAnsi="Times New Roman"/>
          <w:b/>
          <w:bCs/>
          <w:kern w:val="0"/>
          <w:highlight w:val="none"/>
          <w:lang w:val="en-US" w:eastAsia="zh-CN"/>
        </w:rPr>
        <w:t>2250</w:t>
      </w:r>
      <w:r>
        <w:rPr>
          <w:rFonts w:hint="eastAsia" w:ascii="Times New Roman" w:hAnsi="Times New Roman"/>
          <w:b/>
          <w:bCs/>
          <w:kern w:val="0"/>
          <w:highlight w:val="none"/>
        </w:rPr>
        <w:t>万吨（具体以实际为准）</w:t>
      </w:r>
      <w:r>
        <w:rPr>
          <w:rFonts w:hint="eastAsia" w:ascii="Times New Roman" w:hAnsi="Times New Roman"/>
          <w:b/>
          <w:bCs/>
          <w:kern w:val="0"/>
          <w:highlight w:val="none"/>
          <w:lang w:val="en-US" w:eastAsia="zh-CN"/>
        </w:rPr>
        <w:t>开展出口代理服务</w:t>
      </w:r>
      <w:r>
        <w:rPr>
          <w:rFonts w:hint="eastAsia" w:ascii="Times New Roman" w:hAnsi="Times New Roman"/>
          <w:b/>
          <w:bCs/>
          <w:kern w:val="0"/>
          <w:highlight w:val="none"/>
        </w:rPr>
        <w:t>。</w:t>
      </w:r>
    </w:p>
    <w:p w14:paraId="29B818B6">
      <w:pPr>
        <w:widowControl/>
        <w:ind w:right="105"/>
        <w:jc w:val="left"/>
        <w:rPr>
          <w:rFonts w:hint="eastAsia" w:ascii="Times New Roman" w:hAnsi="Times New Roman"/>
          <w:b/>
          <w:bCs/>
          <w:kern w:val="0"/>
          <w:highlight w:val="none"/>
        </w:rPr>
      </w:pPr>
      <w:r>
        <w:rPr>
          <w:rFonts w:hint="eastAsia" w:ascii="Times New Roman" w:hAnsi="Times New Roman"/>
          <w:b/>
          <w:bCs/>
          <w:kern w:val="0"/>
          <w:highlight w:val="none"/>
        </w:rPr>
        <w:t>Note : Ce projet est soumis à une appel d'offres pour une période de prestation de services de deux ans ; le volume total prévu s'élève à 22,5 millions de tonnes (le montant exact étant sujet à confirmation). Des services d'agence d'exportation seront fournis dans ce cadre.</w:t>
      </w:r>
    </w:p>
    <w:p w14:paraId="16BB8141">
      <w:pPr>
        <w:rPr>
          <w:rFonts w:hint="eastAsia" w:ascii="Times New Roman" w:hAnsi="Times New Roman"/>
          <w:color w:val="auto"/>
          <w:kern w:val="0"/>
          <w:szCs w:val="21"/>
          <w:highlight w:val="none"/>
          <w:lang w:val="en-US" w:eastAsia="zh-CN"/>
        </w:rPr>
      </w:pPr>
    </w:p>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30D51">
    <w:pPr>
      <w:pStyle w:val="20"/>
    </w:pPr>
    <w:r>
      <w:br w:type="textWrapping"/>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1A6F494">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GvrMvOcB&#10;AADJAwAADgAAAAAAAAABACAAAAAiAQAAZHJzL2Uyb0RvYy54bWxQSwUGAAAAAAYABgBZAQAAewUA&#10;AAAA&#10;">
              <v:fill on="f" focussize="0,0"/>
              <v:stroke on="f" weight="1.25pt"/>
              <v:imagedata o:title=""/>
              <o:lock v:ext="edit" aspectratio="f"/>
              <v:textbox inset="0mm,0mm,0mm,0mm" style="mso-fit-shape-to-text:t;">
                <w:txbxContent>
                  <w:p w14:paraId="41A6F494">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AE8B4">
    <w:pPr>
      <w:pStyle w:val="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9E47B1B">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CE5q4ucB&#10;AADJAwAADgAAAAAAAAABACAAAAAiAQAAZHJzL2Uyb0RvYy54bWxQSwUGAAAAAAYABgBZAQAAewUA&#10;AAAA&#10;">
              <v:fill on="f" focussize="0,0"/>
              <v:stroke on="f" weight="1.25pt"/>
              <v:imagedata o:title=""/>
              <o:lock v:ext="edit" aspectratio="f"/>
              <v:textbox inset="0mm,0mm,0mm,0mm" style="mso-fit-shape-to-text:t;">
                <w:txbxContent>
                  <w:p w14:paraId="59E47B1B">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4001D">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26EE7B2">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3</w:t>
                          </w:r>
                          <w:r>
                            <w:rPr>
                              <w:rFonts w:hint="eastAsia" w:eastAsia="宋体"/>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8hmLnAQAAyQ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qySPr2HGtPuPCbG4a0bUu7kB3Qm2oMMJv2REME4qnu6qCuGSHgqqlZVVWKIY2w+IE7xUO4D&#10;xPfCGZKMhga8vqwqO36EOKbOKambdbdKa/SzWlvSI+pV9eYqV1xCiK4tNkksxmmTFYfdMFHYufaE&#10;zPBFYMfOhe+U9LgPDbW4/pToDxblTqszG2E2drPBLMfChkZKRvNdHFfs4IPad3np0pDgbw4RZ85U&#10;0hhj72k6vOEsxrSNaYX+Peeshxe4u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6DyGYucB&#10;AADJAwAADgAAAAAAAAABACAAAAAiAQAAZHJzL2Uyb0RvYy54bWxQSwUGAAAAAAYABgBZAQAAewUA&#10;AAAA&#10;">
              <v:fill on="f" focussize="0,0"/>
              <v:stroke on="f" weight="1.25pt"/>
              <v:imagedata o:title=""/>
              <o:lock v:ext="edit" aspectratio="f"/>
              <v:textbox inset="0mm,0mm,0mm,0mm" style="mso-fit-shape-to-text:t;">
                <w:txbxContent>
                  <w:p w14:paraId="126EE7B2">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3</w:t>
                    </w:r>
                    <w:r>
                      <w:rPr>
                        <w:rFonts w:hint="eastAsia" w:eastAsia="宋体"/>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F20CC">
    <w:pPr>
      <w:pStyle w:val="20"/>
      <w:jc w:val="center"/>
      <w:rPr>
        <w:rFonts w:ascii="宋体" w:hAnsi="宋体"/>
        <w:sz w:val="20"/>
        <w:szCs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D3EA70">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9</w:t>
                          </w:r>
                          <w:r>
                            <w:rPr>
                              <w:rFonts w:hint="eastAsia"/>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4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ioTwzecB&#10;AADJAwAADgAAAAAAAAABACAAAAAiAQAAZHJzL2Uyb0RvYy54bWxQSwUGAAAAAAYABgBZAQAAewUA&#10;AAAA&#10;">
              <v:fill on="f" focussize="0,0"/>
              <v:stroke on="f" weight="1.25pt"/>
              <v:imagedata o:title=""/>
              <o:lock v:ext="edit" aspectratio="f"/>
              <v:textbox inset="0mm,0mm,0mm,0mm" style="mso-fit-shape-to-text:t;">
                <w:txbxContent>
                  <w:p w14:paraId="4BD3EA70">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9</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09843">
    <w:pPr>
      <w:pStyle w:val="2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53035" cy="17526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53035" cy="175260"/>
                      </a:xfrm>
                      <a:prstGeom prst="rect">
                        <a:avLst/>
                      </a:prstGeom>
                      <a:noFill/>
                      <a:ln w="9525">
                        <a:noFill/>
                      </a:ln>
                      <a:effectLst/>
                    </wps:spPr>
                    <wps:txbx>
                      <w:txbxContent>
                        <w:p w14:paraId="6EA36761">
                          <w:pPr>
                            <w:snapToGrid w:val="0"/>
                            <w:rPr>
                              <w:rFonts w:ascii="Times New Roman" w:hAnsi="Times New Roman"/>
                              <w:sz w:val="24"/>
                              <w:szCs w:val="24"/>
                            </w:rPr>
                          </w:pPr>
                          <w:r>
                            <w:rPr>
                              <w:rFonts w:hint="eastAsia" w:ascii="Times New Roman" w:hAnsi="Times New Roman"/>
                              <w:sz w:val="24"/>
                              <w:szCs w:val="24"/>
                            </w:rPr>
                            <w:fldChar w:fldCharType="begin"/>
                          </w:r>
                          <w:r>
                            <w:rPr>
                              <w:rFonts w:ascii="Times New Roman" w:hAnsi="Times New Roman"/>
                              <w:sz w:val="24"/>
                              <w:szCs w:val="24"/>
                            </w:rPr>
                            <w:instrText xml:space="preserve"> PAGE  \* MERGEFORMAT </w:instrText>
                          </w:r>
                          <w:r>
                            <w:rPr>
                              <w:rFonts w:hint="eastAsia" w:ascii="Times New Roman" w:hAnsi="Times New Roman"/>
                              <w:sz w:val="24"/>
                              <w:szCs w:val="24"/>
                            </w:rPr>
                            <w:fldChar w:fldCharType="separate"/>
                          </w:r>
                          <w:r>
                            <w:rPr>
                              <w:rFonts w:ascii="Times New Roman" w:hAnsi="Times New Roman"/>
                              <w:sz w:val="24"/>
                              <w:szCs w:val="24"/>
                            </w:rPr>
                            <w:t>12</w:t>
                          </w:r>
                          <w:r>
                            <w:rPr>
                              <w:rFonts w:hint="eastAsia" w:ascii="Times New Roman" w:hAnsi="Times New Roman"/>
                              <w:sz w:val="24"/>
                              <w:szCs w:val="24"/>
                            </w:rP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3.8pt;width:12.05pt;mso-position-horizontal:center;mso-position-horizontal-relative:margin;mso-wrap-style:none;z-index:251662336;mso-width-relative:page;mso-height-relative:page;" filled="f" stroked="f" coordsize="21600,21600" o:gfxdata="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eLSo&#10;0dEAAAADAQAADwAAAAAAAAABACAAAAAiAAAAZHJzL2Rvd25yZXYueG1sUEsBAhQAFAAAAAgAh07i&#10;QPlLU2zwAQAA0wMAAA4AAAAAAAAAAQAgAAAAIAEAAGRycy9lMm9Eb2MueG1sUEsFBgAAAAAGAAYA&#10;WQEAAIIFAAAAAA==&#10;">
              <v:fill on="f" focussize="0,0"/>
              <v:stroke on="f"/>
              <v:imagedata o:title=""/>
              <o:lock v:ext="edit" aspectratio="f"/>
              <v:textbox inset="0mm,0mm,0mm,0mm" style="mso-fit-shape-to-text:t;">
                <w:txbxContent>
                  <w:p w14:paraId="6EA36761">
                    <w:pPr>
                      <w:snapToGrid w:val="0"/>
                      <w:rPr>
                        <w:rFonts w:ascii="Times New Roman" w:hAnsi="Times New Roman"/>
                        <w:sz w:val="24"/>
                        <w:szCs w:val="24"/>
                      </w:rPr>
                    </w:pPr>
                    <w:r>
                      <w:rPr>
                        <w:rFonts w:hint="eastAsia" w:ascii="Times New Roman" w:hAnsi="Times New Roman"/>
                        <w:sz w:val="24"/>
                        <w:szCs w:val="24"/>
                      </w:rPr>
                      <w:fldChar w:fldCharType="begin"/>
                    </w:r>
                    <w:r>
                      <w:rPr>
                        <w:rFonts w:ascii="Times New Roman" w:hAnsi="Times New Roman"/>
                        <w:sz w:val="24"/>
                        <w:szCs w:val="24"/>
                      </w:rPr>
                      <w:instrText xml:space="preserve"> PAGE  \* MERGEFORMAT </w:instrText>
                    </w:r>
                    <w:r>
                      <w:rPr>
                        <w:rFonts w:hint="eastAsia" w:ascii="Times New Roman" w:hAnsi="Times New Roman"/>
                        <w:sz w:val="24"/>
                        <w:szCs w:val="24"/>
                      </w:rPr>
                      <w:fldChar w:fldCharType="separate"/>
                    </w:r>
                    <w:r>
                      <w:rPr>
                        <w:rFonts w:ascii="Times New Roman" w:hAnsi="Times New Roman"/>
                        <w:sz w:val="24"/>
                        <w:szCs w:val="24"/>
                      </w:rPr>
                      <w:t>12</w:t>
                    </w:r>
                    <w:r>
                      <w:rPr>
                        <w:rFonts w:hint="eastAsia" w:ascii="Times New Roman" w:hAnsi="Times New Roman"/>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05639">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9216678">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wps:txbx>
                    <wps:bodyPr wrap="none" lIns="0" tIns="0" rIns="0" bIns="0" upright="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aF1ZytIBAACkAwAADgAAAAAAAAABACAAAAAi&#10;AQAAZHJzL2Uyb0RvYy54bWxQSwUGAAAAAAYABgBZAQAAZgUAAAAA&#10;">
              <v:fill on="f" focussize="0,0"/>
              <v:stroke on="f" weight="1.25pt"/>
              <v:imagedata o:title=""/>
              <o:lock v:ext="edit" aspectratio="f"/>
              <v:textbox inset="0mm,0mm,0mm,0mm" style="mso-fit-shape-to-text:t;">
                <w:txbxContent>
                  <w:p w14:paraId="39216678">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EA078">
    <w:pPr>
      <w:pStyle w:val="21"/>
      <w:pBdr>
        <w:bottom w:val="single" w:color="auto" w:sz="4" w:space="1"/>
      </w:pBdr>
    </w:pPr>
    <w:r>
      <w:rPr>
        <w:rFonts w:hint="eastAsia" w:ascii="仿宋_GB2312" w:eastAsia="仿宋_GB2312"/>
        <w:color w:val="000000"/>
        <w:sz w:val="32"/>
        <w:szCs w:val="32"/>
      </w:rPr>
      <w:drawing>
        <wp:inline distT="0" distB="0" distL="114300" distR="114300">
          <wp:extent cx="350520" cy="168910"/>
          <wp:effectExtent l="0" t="0" r="0" b="139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518795" cy="168910"/>
                  </a:xfrm>
                  <a:prstGeom prst="rect">
                    <a:avLst/>
                  </a:prstGeom>
                  <a:noFill/>
                  <a:ln>
                    <a:noFill/>
                  </a:ln>
                  <a:effectLst/>
                </pic:spPr>
              </pic:pic>
            </a:graphicData>
          </a:graphic>
        </wp:inline>
      </w:drawing>
    </w:r>
    <w:r>
      <w:rPr>
        <w:rFonts w:hint="eastAsia"/>
        <w:lang w:val="en-US" w:eastAsia="zh-CN"/>
      </w:rPr>
      <w:t>国家电投集团铝电投资有限公司                                      服务竞争性谈判采购文件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7EAD9">
    <w:pPr>
      <w:pStyle w:val="21"/>
      <w:pBdr>
        <w:bottom w:val="single" w:color="auto" w:sz="4" w:space="1"/>
      </w:pBdr>
      <w:rPr>
        <w:rFonts w:hint="eastAsia" w:eastAsia="宋体"/>
        <w:lang w:val="en-US" w:eastAsia="zh-CN"/>
      </w:rPr>
    </w:pPr>
    <w:bookmarkStart w:id="162" w:name="Content"/>
    <w:bookmarkEnd w:id="162"/>
    <w:r>
      <w:rPr>
        <w:rFonts w:hint="eastAsia" w:ascii="仿宋_GB2312" w:eastAsia="仿宋_GB2312"/>
        <w:color w:val="000000"/>
        <w:sz w:val="32"/>
        <w:szCs w:val="32"/>
      </w:rPr>
      <w:drawing>
        <wp:inline distT="0" distB="0" distL="114300" distR="114300">
          <wp:extent cx="350520" cy="168910"/>
          <wp:effectExtent l="0" t="0" r="0" b="1397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
                  <a:stretch>
                    <a:fillRect/>
                  </a:stretch>
                </pic:blipFill>
                <pic:spPr>
                  <a:xfrm>
                    <a:off x="0" y="0"/>
                    <a:ext cx="518795" cy="168910"/>
                  </a:xfrm>
                  <a:prstGeom prst="rect">
                    <a:avLst/>
                  </a:prstGeom>
                  <a:noFill/>
                  <a:ln>
                    <a:noFill/>
                  </a:ln>
                  <a:effectLst/>
                </pic:spPr>
              </pic:pic>
            </a:graphicData>
          </a:graphic>
        </wp:inline>
      </w:drawing>
    </w:r>
    <w:r>
      <w:rPr>
        <w:rFonts w:hint="eastAsia"/>
        <w:lang w:val="en-US" w:eastAsia="zh-CN"/>
      </w:rPr>
      <w:t>国家电投国际投资开发（几内亚）有限责任公司                              服务竞争性谈判采购文件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22770">
    <w:pPr>
      <w:pStyle w:val="21"/>
      <w:pBdr>
        <w:bottom w:val="single" w:color="auto" w:sz="4" w:space="1"/>
      </w:pBdr>
      <w:jc w:val="left"/>
      <w:rPr>
        <w:bCs/>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90F27">
    <w:pPr>
      <w:pStyle w:val="21"/>
      <w:pBdr>
        <w:bottom w:val="single" w:color="auto" w:sz="4" w:space="1"/>
      </w:pBdr>
    </w:pPr>
    <w:r>
      <w:rPr>
        <w:rFonts w:hint="eastAsia" w:ascii="仿宋_GB2312" w:eastAsia="仿宋_GB2312"/>
        <w:color w:val="000000"/>
        <w:sz w:val="32"/>
        <w:szCs w:val="32"/>
      </w:rPr>
      <w:drawing>
        <wp:inline distT="0" distB="0" distL="114300" distR="114300">
          <wp:extent cx="350520" cy="168910"/>
          <wp:effectExtent l="0" t="0" r="0" b="139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518795" cy="168910"/>
                  </a:xfrm>
                  <a:prstGeom prst="rect">
                    <a:avLst/>
                  </a:prstGeom>
                  <a:noFill/>
                  <a:ln>
                    <a:noFill/>
                  </a:ln>
                  <a:effectLst/>
                </pic:spPr>
              </pic:pic>
            </a:graphicData>
          </a:graphic>
        </wp:inline>
      </w:drawing>
    </w:r>
    <w:r>
      <w:rPr>
        <w:rFonts w:hint="eastAsia"/>
        <w:lang w:val="en-US" w:eastAsia="zh-CN"/>
      </w:rPr>
      <w:t>国家电投集团铝电投资有限公司                                      服务竞争性谈判采购文件（2023版）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62B6C"/>
    <w:multiLevelType w:val="singleLevel"/>
    <w:tmpl w:val="81A62B6C"/>
    <w:lvl w:ilvl="0" w:tentative="0">
      <w:start w:val="1"/>
      <w:numFmt w:val="chineseCounting"/>
      <w:suff w:val="nothing"/>
      <w:lvlText w:val="（%1）"/>
      <w:lvlJc w:val="left"/>
      <w:rPr>
        <w:rFonts w:hint="eastAsia"/>
      </w:rPr>
    </w:lvl>
  </w:abstractNum>
  <w:abstractNum w:abstractNumId="1">
    <w:nsid w:val="91EE0A30"/>
    <w:multiLevelType w:val="singleLevel"/>
    <w:tmpl w:val="91EE0A30"/>
    <w:lvl w:ilvl="0" w:tentative="0">
      <w:start w:val="2"/>
      <w:numFmt w:val="chineseCounting"/>
      <w:suff w:val="space"/>
      <w:lvlText w:val="第%1章"/>
      <w:lvlJc w:val="left"/>
      <w:rPr>
        <w:rFonts w:hint="eastAsia"/>
      </w:rPr>
    </w:lvl>
  </w:abstractNum>
  <w:abstractNum w:abstractNumId="2">
    <w:nsid w:val="9B12A4C9"/>
    <w:multiLevelType w:val="singleLevel"/>
    <w:tmpl w:val="9B12A4C9"/>
    <w:lvl w:ilvl="0" w:tentative="0">
      <w:start w:val="1"/>
      <w:numFmt w:val="chineseCounting"/>
      <w:suff w:val="nothing"/>
      <w:lvlText w:val="（%1）"/>
      <w:lvlJc w:val="left"/>
      <w:rPr>
        <w:rFonts w:hint="eastAsia"/>
      </w:rPr>
    </w:lvl>
  </w:abstractNum>
  <w:abstractNum w:abstractNumId="3">
    <w:nsid w:val="B0A7F79D"/>
    <w:multiLevelType w:val="singleLevel"/>
    <w:tmpl w:val="B0A7F79D"/>
    <w:lvl w:ilvl="0" w:tentative="0">
      <w:start w:val="1"/>
      <w:numFmt w:val="chineseCounting"/>
      <w:suff w:val="nothing"/>
      <w:lvlText w:val="%1、"/>
      <w:lvlJc w:val="left"/>
      <w:rPr>
        <w:rFonts w:hint="eastAsia"/>
      </w:rPr>
    </w:lvl>
  </w:abstractNum>
  <w:abstractNum w:abstractNumId="4">
    <w:nsid w:val="C3ECAF56"/>
    <w:multiLevelType w:val="singleLevel"/>
    <w:tmpl w:val="C3ECAF56"/>
    <w:lvl w:ilvl="0" w:tentative="0">
      <w:start w:val="1"/>
      <w:numFmt w:val="decimal"/>
      <w:lvlText w:val="%1."/>
      <w:lvlJc w:val="left"/>
      <w:pPr>
        <w:tabs>
          <w:tab w:val="left" w:pos="312"/>
        </w:tabs>
      </w:pPr>
    </w:lvl>
  </w:abstractNum>
  <w:abstractNum w:abstractNumId="5">
    <w:nsid w:val="C8CB6D2F"/>
    <w:multiLevelType w:val="singleLevel"/>
    <w:tmpl w:val="C8CB6D2F"/>
    <w:lvl w:ilvl="0" w:tentative="0">
      <w:start w:val="3"/>
      <w:numFmt w:val="chineseCounting"/>
      <w:suff w:val="nothing"/>
      <w:lvlText w:val="%1、"/>
      <w:lvlJc w:val="left"/>
      <w:rPr>
        <w:rFonts w:hint="eastAsia"/>
      </w:rPr>
    </w:lvl>
  </w:abstractNum>
  <w:abstractNum w:abstractNumId="6">
    <w:nsid w:val="DD4D08BC"/>
    <w:multiLevelType w:val="singleLevel"/>
    <w:tmpl w:val="DD4D08BC"/>
    <w:lvl w:ilvl="0" w:tentative="0">
      <w:start w:val="1"/>
      <w:numFmt w:val="decimal"/>
      <w:suff w:val="space"/>
      <w:lvlText w:val="%1."/>
      <w:lvlJc w:val="left"/>
    </w:lvl>
  </w:abstractNum>
  <w:abstractNum w:abstractNumId="7">
    <w:nsid w:val="02F22807"/>
    <w:multiLevelType w:val="multilevel"/>
    <w:tmpl w:val="02F22807"/>
    <w:lvl w:ilvl="0" w:tentative="0">
      <w:start w:val="1"/>
      <w:numFmt w:val="japaneseCounting"/>
      <w:lvlText w:val="（%1）"/>
      <w:lvlJc w:val="left"/>
      <w:pPr>
        <w:ind w:left="1138"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11286FEB"/>
    <w:multiLevelType w:val="multilevel"/>
    <w:tmpl w:val="11286FEB"/>
    <w:lvl w:ilvl="0" w:tentative="0">
      <w:start w:val="1"/>
      <w:numFmt w:val="decimal"/>
      <w:lvlText w:val="%1."/>
      <w:lvlJc w:val="left"/>
      <w:pPr>
        <w:ind w:left="780" w:hanging="360"/>
      </w:pPr>
      <w:rPr>
        <w:rFonts w:hint="default"/>
      </w:rPr>
    </w:lvl>
    <w:lvl w:ilvl="1" w:tentative="0">
      <w:start w:val="2"/>
      <w:numFmt w:val="decimal"/>
      <w:isLgl/>
      <w:lvlText w:val="%1.%2"/>
      <w:lvlJc w:val="left"/>
      <w:pPr>
        <w:ind w:left="1050" w:hanging="630"/>
      </w:pPr>
      <w:rPr>
        <w:rFonts w:hint="default"/>
      </w:rPr>
    </w:lvl>
    <w:lvl w:ilvl="2" w:tentative="0">
      <w:start w:val="22"/>
      <w:numFmt w:val="decimal"/>
      <w:isLgl/>
      <w:lvlText w:val="%1.%2.%3"/>
      <w:lvlJc w:val="left"/>
      <w:pPr>
        <w:ind w:left="1050" w:hanging="630"/>
      </w:pPr>
      <w:rPr>
        <w:rFonts w:hint="default"/>
      </w:rPr>
    </w:lvl>
    <w:lvl w:ilvl="3" w:tentative="0">
      <w:start w:val="1"/>
      <w:numFmt w:val="decimal"/>
      <w:isLgl/>
      <w:lvlText w:val="%1.%2.%3.%4"/>
      <w:lvlJc w:val="left"/>
      <w:pPr>
        <w:ind w:left="1140" w:hanging="720"/>
      </w:pPr>
      <w:rPr>
        <w:rFonts w:hint="default"/>
      </w:rPr>
    </w:lvl>
    <w:lvl w:ilvl="4" w:tentative="0">
      <w:start w:val="1"/>
      <w:numFmt w:val="decimal"/>
      <w:isLgl/>
      <w:lvlText w:val="%1.%2.%3.%4.%5"/>
      <w:lvlJc w:val="left"/>
      <w:pPr>
        <w:ind w:left="1140" w:hanging="720"/>
      </w:pPr>
      <w:rPr>
        <w:rFonts w:hint="default"/>
      </w:rPr>
    </w:lvl>
    <w:lvl w:ilvl="5" w:tentative="0">
      <w:start w:val="1"/>
      <w:numFmt w:val="decimal"/>
      <w:isLgl/>
      <w:lvlText w:val="%1.%2.%3.%4.%5.%6"/>
      <w:lvlJc w:val="left"/>
      <w:pPr>
        <w:ind w:left="1500" w:hanging="1080"/>
      </w:pPr>
      <w:rPr>
        <w:rFonts w:hint="default"/>
      </w:rPr>
    </w:lvl>
    <w:lvl w:ilvl="6" w:tentative="0">
      <w:start w:val="1"/>
      <w:numFmt w:val="decimal"/>
      <w:isLgl/>
      <w:lvlText w:val="%1.%2.%3.%4.%5.%6.%7"/>
      <w:lvlJc w:val="left"/>
      <w:pPr>
        <w:ind w:left="1500" w:hanging="1080"/>
      </w:pPr>
      <w:rPr>
        <w:rFonts w:hint="default"/>
      </w:rPr>
    </w:lvl>
    <w:lvl w:ilvl="7" w:tentative="0">
      <w:start w:val="1"/>
      <w:numFmt w:val="decimal"/>
      <w:isLgl/>
      <w:lvlText w:val="%1.%2.%3.%4.%5.%6.%7.%8"/>
      <w:lvlJc w:val="left"/>
      <w:pPr>
        <w:ind w:left="1500" w:hanging="1080"/>
      </w:pPr>
      <w:rPr>
        <w:rFonts w:hint="default"/>
      </w:rPr>
    </w:lvl>
    <w:lvl w:ilvl="8" w:tentative="0">
      <w:start w:val="1"/>
      <w:numFmt w:val="decimal"/>
      <w:isLgl/>
      <w:lvlText w:val="%1.%2.%3.%4.%5.%6.%7.%8.%9"/>
      <w:lvlJc w:val="left"/>
      <w:pPr>
        <w:ind w:left="1860" w:hanging="1440"/>
      </w:pPr>
      <w:rPr>
        <w:rFonts w:hint="default"/>
      </w:rPr>
    </w:lvl>
  </w:abstractNum>
  <w:abstractNum w:abstractNumId="9">
    <w:nsid w:val="134C6E7B"/>
    <w:multiLevelType w:val="multilevel"/>
    <w:tmpl w:val="134C6E7B"/>
    <w:lvl w:ilvl="0" w:tentative="0">
      <w:start w:val="1"/>
      <w:numFmt w:val="japaneseCounting"/>
      <w:lvlText w:val="（%1）"/>
      <w:lvlJc w:val="left"/>
      <w:pPr>
        <w:ind w:left="1142" w:hanging="72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10">
    <w:nsid w:val="19BB3DF2"/>
    <w:multiLevelType w:val="multilevel"/>
    <w:tmpl w:val="19BB3DF2"/>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1B884BF0"/>
    <w:multiLevelType w:val="singleLevel"/>
    <w:tmpl w:val="1B884BF0"/>
    <w:lvl w:ilvl="0" w:tentative="0">
      <w:start w:val="1"/>
      <w:numFmt w:val="decimal"/>
      <w:suff w:val="nothing"/>
      <w:lvlText w:val="%1．"/>
      <w:lvlJc w:val="left"/>
    </w:lvl>
  </w:abstractNum>
  <w:abstractNum w:abstractNumId="12">
    <w:nsid w:val="246E4FB5"/>
    <w:multiLevelType w:val="singleLevel"/>
    <w:tmpl w:val="246E4FB5"/>
    <w:lvl w:ilvl="0" w:tentative="0">
      <w:start w:val="2"/>
      <w:numFmt w:val="decimal"/>
      <w:suff w:val="space"/>
      <w:lvlText w:val="%1."/>
      <w:lvlJc w:val="left"/>
    </w:lvl>
  </w:abstractNum>
  <w:abstractNum w:abstractNumId="13">
    <w:nsid w:val="25AE4128"/>
    <w:multiLevelType w:val="multilevel"/>
    <w:tmpl w:val="25AE4128"/>
    <w:lvl w:ilvl="0" w:tentative="0">
      <w:start w:val="1"/>
      <w:numFmt w:val="japaneseCounting"/>
      <w:lvlText w:val="第%1条"/>
      <w:lvlJc w:val="left"/>
      <w:pPr>
        <w:ind w:left="1275" w:hanging="85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298C11A8"/>
    <w:multiLevelType w:val="multilevel"/>
    <w:tmpl w:val="298C11A8"/>
    <w:lvl w:ilvl="0" w:tentative="0">
      <w:start w:val="1"/>
      <w:numFmt w:val="decimal"/>
      <w:lvlText w:val="%1."/>
      <w:lvlJc w:val="left"/>
      <w:pPr>
        <w:ind w:left="780" w:hanging="360"/>
      </w:pPr>
      <w:rPr>
        <w:rFonts w:hint="default"/>
      </w:rPr>
    </w:lvl>
    <w:lvl w:ilvl="1" w:tentative="0">
      <w:start w:val="3"/>
      <w:numFmt w:val="decimal"/>
      <w:isLgl/>
      <w:lvlText w:val="%1.%2"/>
      <w:lvlJc w:val="left"/>
      <w:pPr>
        <w:ind w:left="945" w:hanging="525"/>
      </w:pPr>
      <w:rPr>
        <w:rFonts w:hint="default"/>
      </w:rPr>
    </w:lvl>
    <w:lvl w:ilvl="2" w:tentative="0">
      <w:start w:val="1"/>
      <w:numFmt w:val="decimal"/>
      <w:isLgl/>
      <w:lvlText w:val="%1.%2.%3"/>
      <w:lvlJc w:val="left"/>
      <w:pPr>
        <w:ind w:left="945" w:hanging="525"/>
      </w:pPr>
      <w:rPr>
        <w:rFonts w:hint="default"/>
      </w:rPr>
    </w:lvl>
    <w:lvl w:ilvl="3" w:tentative="0">
      <w:start w:val="1"/>
      <w:numFmt w:val="decimal"/>
      <w:isLgl/>
      <w:lvlText w:val="%1.%2.%3.%4"/>
      <w:lvlJc w:val="left"/>
      <w:pPr>
        <w:ind w:left="1140" w:hanging="720"/>
      </w:pPr>
      <w:rPr>
        <w:rFonts w:hint="default"/>
      </w:rPr>
    </w:lvl>
    <w:lvl w:ilvl="4" w:tentative="0">
      <w:start w:val="1"/>
      <w:numFmt w:val="decimal"/>
      <w:isLgl/>
      <w:lvlText w:val="%1.%2.%3.%4.%5"/>
      <w:lvlJc w:val="left"/>
      <w:pPr>
        <w:ind w:left="1140" w:hanging="720"/>
      </w:pPr>
      <w:rPr>
        <w:rFonts w:hint="default"/>
      </w:rPr>
    </w:lvl>
    <w:lvl w:ilvl="5" w:tentative="0">
      <w:start w:val="1"/>
      <w:numFmt w:val="decimal"/>
      <w:isLgl/>
      <w:lvlText w:val="%1.%2.%3.%4.%5.%6"/>
      <w:lvlJc w:val="left"/>
      <w:pPr>
        <w:ind w:left="1500" w:hanging="1080"/>
      </w:pPr>
      <w:rPr>
        <w:rFonts w:hint="default"/>
      </w:rPr>
    </w:lvl>
    <w:lvl w:ilvl="6" w:tentative="0">
      <w:start w:val="1"/>
      <w:numFmt w:val="decimal"/>
      <w:isLgl/>
      <w:lvlText w:val="%1.%2.%3.%4.%5.%6.%7"/>
      <w:lvlJc w:val="left"/>
      <w:pPr>
        <w:ind w:left="1500" w:hanging="1080"/>
      </w:pPr>
      <w:rPr>
        <w:rFonts w:hint="default"/>
      </w:rPr>
    </w:lvl>
    <w:lvl w:ilvl="7" w:tentative="0">
      <w:start w:val="1"/>
      <w:numFmt w:val="decimal"/>
      <w:isLgl/>
      <w:lvlText w:val="%1.%2.%3.%4.%5.%6.%7.%8"/>
      <w:lvlJc w:val="left"/>
      <w:pPr>
        <w:ind w:left="1500" w:hanging="1080"/>
      </w:pPr>
      <w:rPr>
        <w:rFonts w:hint="default"/>
      </w:rPr>
    </w:lvl>
    <w:lvl w:ilvl="8" w:tentative="0">
      <w:start w:val="1"/>
      <w:numFmt w:val="decimal"/>
      <w:isLgl/>
      <w:lvlText w:val="%1.%2.%3.%4.%5.%6.%7.%8.%9"/>
      <w:lvlJc w:val="left"/>
      <w:pPr>
        <w:ind w:left="1860" w:hanging="1440"/>
      </w:pPr>
      <w:rPr>
        <w:rFonts w:hint="default"/>
      </w:rPr>
    </w:lvl>
  </w:abstractNum>
  <w:abstractNum w:abstractNumId="15">
    <w:nsid w:val="2C805C78"/>
    <w:multiLevelType w:val="multilevel"/>
    <w:tmpl w:val="2C805C78"/>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61FCC9B2"/>
    <w:multiLevelType w:val="singleLevel"/>
    <w:tmpl w:val="61FCC9B2"/>
    <w:lvl w:ilvl="0" w:tentative="0">
      <w:start w:val="1"/>
      <w:numFmt w:val="chineseCounting"/>
      <w:suff w:val="space"/>
      <w:lvlText w:val="第%1章"/>
      <w:lvlJc w:val="left"/>
      <w:rPr>
        <w:rFonts w:hint="eastAsia"/>
      </w:rPr>
    </w:lvl>
  </w:abstractNum>
  <w:abstractNum w:abstractNumId="17">
    <w:nsid w:val="647224B4"/>
    <w:multiLevelType w:val="singleLevel"/>
    <w:tmpl w:val="647224B4"/>
    <w:lvl w:ilvl="0" w:tentative="0">
      <w:start w:val="1"/>
      <w:numFmt w:val="decimal"/>
      <w:lvlText w:val="%1"/>
      <w:lvlJc w:val="center"/>
      <w:pPr>
        <w:tabs>
          <w:tab w:val="left" w:pos="170"/>
        </w:tabs>
        <w:ind w:left="0" w:firstLine="170"/>
      </w:pPr>
      <w:rPr>
        <w:rFonts w:hint="default"/>
      </w:rPr>
    </w:lvl>
  </w:abstractNum>
  <w:abstractNum w:abstractNumId="18">
    <w:nsid w:val="647307FE"/>
    <w:multiLevelType w:val="singleLevel"/>
    <w:tmpl w:val="647307FE"/>
    <w:lvl w:ilvl="0" w:tentative="0">
      <w:start w:val="2"/>
      <w:numFmt w:val="decimal"/>
      <w:suff w:val="space"/>
      <w:lvlText w:val="%1."/>
      <w:lvlJc w:val="left"/>
    </w:lvl>
  </w:abstractNum>
  <w:abstractNum w:abstractNumId="19">
    <w:nsid w:val="64730817"/>
    <w:multiLevelType w:val="singleLevel"/>
    <w:tmpl w:val="64730817"/>
    <w:lvl w:ilvl="0" w:tentative="0">
      <w:start w:val="4"/>
      <w:numFmt w:val="decimal"/>
      <w:suff w:val="space"/>
      <w:lvlText w:val="%1."/>
      <w:lvlJc w:val="left"/>
    </w:lvl>
  </w:abstractNum>
  <w:abstractNum w:abstractNumId="20">
    <w:nsid w:val="6617534D"/>
    <w:multiLevelType w:val="multilevel"/>
    <w:tmpl w:val="6617534D"/>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69281080"/>
    <w:multiLevelType w:val="singleLevel"/>
    <w:tmpl w:val="69281080"/>
    <w:lvl w:ilvl="0" w:tentative="0">
      <w:start w:val="1"/>
      <w:numFmt w:val="decimal"/>
      <w:lvlText w:val="%1."/>
      <w:lvlJc w:val="left"/>
      <w:pPr>
        <w:tabs>
          <w:tab w:val="left" w:pos="312"/>
        </w:tabs>
      </w:pPr>
    </w:lvl>
  </w:abstractNum>
  <w:num w:numId="1">
    <w:abstractNumId w:val="16"/>
  </w:num>
  <w:num w:numId="2">
    <w:abstractNumId w:val="17"/>
  </w:num>
  <w:num w:numId="3">
    <w:abstractNumId w:val="4"/>
  </w:num>
  <w:num w:numId="4">
    <w:abstractNumId w:val="21"/>
  </w:num>
  <w:num w:numId="5">
    <w:abstractNumId w:val="1"/>
  </w:num>
  <w:num w:numId="6">
    <w:abstractNumId w:val="18"/>
  </w:num>
  <w:num w:numId="7">
    <w:abstractNumId w:val="19"/>
  </w:num>
  <w:num w:numId="8">
    <w:abstractNumId w:val="13"/>
  </w:num>
  <w:num w:numId="9">
    <w:abstractNumId w:val="7"/>
  </w:num>
  <w:num w:numId="10">
    <w:abstractNumId w:val="0"/>
  </w:num>
  <w:num w:numId="11">
    <w:abstractNumId w:val="6"/>
  </w:num>
  <w:num w:numId="12">
    <w:abstractNumId w:val="9"/>
  </w:num>
  <w:num w:numId="13">
    <w:abstractNumId w:val="8"/>
  </w:num>
  <w:num w:numId="14">
    <w:abstractNumId w:val="14"/>
  </w:num>
  <w:num w:numId="15">
    <w:abstractNumId w:val="20"/>
  </w:num>
  <w:num w:numId="16">
    <w:abstractNumId w:val="10"/>
  </w:num>
  <w:num w:numId="17">
    <w:abstractNumId w:val="15"/>
  </w:num>
  <w:num w:numId="18">
    <w:abstractNumId w:val="5"/>
  </w:num>
  <w:num w:numId="19">
    <w:abstractNumId w:val="2"/>
  </w:num>
  <w:num w:numId="20">
    <w:abstractNumId w:val="12"/>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210"/>
  <w:drawingGridVerticalSpacing w:val="-794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3YTVjMjFhOGY1MzQ5MDJmNzk1ZDNjMTViZTRiYTEifQ=="/>
    <w:docVar w:name="KSO_WPS_MARK_KEY" w:val="ad1e055a-a27c-4aab-ba16-6ce6e5a8e769"/>
  </w:docVars>
  <w:rsids>
    <w:rsidRoot w:val="00172A27"/>
    <w:rsid w:val="00006A94"/>
    <w:rsid w:val="00010A13"/>
    <w:rsid w:val="000138F2"/>
    <w:rsid w:val="00014E3B"/>
    <w:rsid w:val="0001640A"/>
    <w:rsid w:val="00024F45"/>
    <w:rsid w:val="00026250"/>
    <w:rsid w:val="0004593C"/>
    <w:rsid w:val="00052CD1"/>
    <w:rsid w:val="000605C8"/>
    <w:rsid w:val="000650A6"/>
    <w:rsid w:val="00065E10"/>
    <w:rsid w:val="000A1559"/>
    <w:rsid w:val="000A2128"/>
    <w:rsid w:val="000B3426"/>
    <w:rsid w:val="000B3B62"/>
    <w:rsid w:val="000B4B62"/>
    <w:rsid w:val="000D36B7"/>
    <w:rsid w:val="00103A6A"/>
    <w:rsid w:val="00105A7A"/>
    <w:rsid w:val="00112426"/>
    <w:rsid w:val="00115B1A"/>
    <w:rsid w:val="00125D09"/>
    <w:rsid w:val="00130ABB"/>
    <w:rsid w:val="0014668D"/>
    <w:rsid w:val="001513DA"/>
    <w:rsid w:val="00177940"/>
    <w:rsid w:val="00184E64"/>
    <w:rsid w:val="001945B5"/>
    <w:rsid w:val="001970EA"/>
    <w:rsid w:val="001A19C7"/>
    <w:rsid w:val="001A582F"/>
    <w:rsid w:val="001B0A73"/>
    <w:rsid w:val="001C09B5"/>
    <w:rsid w:val="001D7ECB"/>
    <w:rsid w:val="00216217"/>
    <w:rsid w:val="002206B4"/>
    <w:rsid w:val="00222C47"/>
    <w:rsid w:val="00257554"/>
    <w:rsid w:val="0027252D"/>
    <w:rsid w:val="002768B1"/>
    <w:rsid w:val="00277457"/>
    <w:rsid w:val="00277A83"/>
    <w:rsid w:val="00282D09"/>
    <w:rsid w:val="00286A04"/>
    <w:rsid w:val="0029448B"/>
    <w:rsid w:val="00296D3F"/>
    <w:rsid w:val="002C2A97"/>
    <w:rsid w:val="002D5EA2"/>
    <w:rsid w:val="002F1A9F"/>
    <w:rsid w:val="002F4258"/>
    <w:rsid w:val="002F4F92"/>
    <w:rsid w:val="002F6B90"/>
    <w:rsid w:val="003016F6"/>
    <w:rsid w:val="00306A4D"/>
    <w:rsid w:val="003230A1"/>
    <w:rsid w:val="00337EEB"/>
    <w:rsid w:val="00340A8C"/>
    <w:rsid w:val="0034328D"/>
    <w:rsid w:val="00345F35"/>
    <w:rsid w:val="00367441"/>
    <w:rsid w:val="003702EF"/>
    <w:rsid w:val="00372D91"/>
    <w:rsid w:val="00373B49"/>
    <w:rsid w:val="00384051"/>
    <w:rsid w:val="0038616E"/>
    <w:rsid w:val="003A0497"/>
    <w:rsid w:val="003A0620"/>
    <w:rsid w:val="003F0CA1"/>
    <w:rsid w:val="00400A80"/>
    <w:rsid w:val="00402CD2"/>
    <w:rsid w:val="00424FB7"/>
    <w:rsid w:val="004327F6"/>
    <w:rsid w:val="004436FB"/>
    <w:rsid w:val="004613C7"/>
    <w:rsid w:val="004616B3"/>
    <w:rsid w:val="00480D56"/>
    <w:rsid w:val="004855C4"/>
    <w:rsid w:val="004928A4"/>
    <w:rsid w:val="004C4B19"/>
    <w:rsid w:val="004C66BD"/>
    <w:rsid w:val="004E0C7A"/>
    <w:rsid w:val="004F2275"/>
    <w:rsid w:val="00500A09"/>
    <w:rsid w:val="00502E63"/>
    <w:rsid w:val="0050403E"/>
    <w:rsid w:val="00516A56"/>
    <w:rsid w:val="00523B89"/>
    <w:rsid w:val="00524FEC"/>
    <w:rsid w:val="005261FB"/>
    <w:rsid w:val="005271DB"/>
    <w:rsid w:val="0052751E"/>
    <w:rsid w:val="005537A7"/>
    <w:rsid w:val="00556932"/>
    <w:rsid w:val="00557808"/>
    <w:rsid w:val="00564DEC"/>
    <w:rsid w:val="00582219"/>
    <w:rsid w:val="005850B1"/>
    <w:rsid w:val="005937FE"/>
    <w:rsid w:val="00594986"/>
    <w:rsid w:val="005A3256"/>
    <w:rsid w:val="005B1694"/>
    <w:rsid w:val="005B1E46"/>
    <w:rsid w:val="005D3D4D"/>
    <w:rsid w:val="005F6D94"/>
    <w:rsid w:val="00613110"/>
    <w:rsid w:val="00623901"/>
    <w:rsid w:val="00626D6A"/>
    <w:rsid w:val="00637E49"/>
    <w:rsid w:val="00661B3A"/>
    <w:rsid w:val="00671938"/>
    <w:rsid w:val="0068275B"/>
    <w:rsid w:val="006A3723"/>
    <w:rsid w:val="006C0842"/>
    <w:rsid w:val="006C42D1"/>
    <w:rsid w:val="006D5C59"/>
    <w:rsid w:val="006F2021"/>
    <w:rsid w:val="006F5816"/>
    <w:rsid w:val="00703DEA"/>
    <w:rsid w:val="00755BFE"/>
    <w:rsid w:val="00771D5E"/>
    <w:rsid w:val="0077278E"/>
    <w:rsid w:val="00775882"/>
    <w:rsid w:val="0078002F"/>
    <w:rsid w:val="007A5A56"/>
    <w:rsid w:val="007A6BC0"/>
    <w:rsid w:val="007B23A9"/>
    <w:rsid w:val="007C3E9F"/>
    <w:rsid w:val="007C4E6E"/>
    <w:rsid w:val="007D648E"/>
    <w:rsid w:val="007E1576"/>
    <w:rsid w:val="00814B5A"/>
    <w:rsid w:val="0083549E"/>
    <w:rsid w:val="008438F8"/>
    <w:rsid w:val="0085062F"/>
    <w:rsid w:val="008507DF"/>
    <w:rsid w:val="00856CC9"/>
    <w:rsid w:val="00870DD9"/>
    <w:rsid w:val="00891154"/>
    <w:rsid w:val="008A205C"/>
    <w:rsid w:val="008B66A2"/>
    <w:rsid w:val="008B6E77"/>
    <w:rsid w:val="008C4383"/>
    <w:rsid w:val="008D0464"/>
    <w:rsid w:val="008D0FB5"/>
    <w:rsid w:val="008F41D9"/>
    <w:rsid w:val="009223B3"/>
    <w:rsid w:val="00927926"/>
    <w:rsid w:val="00936139"/>
    <w:rsid w:val="00940DF2"/>
    <w:rsid w:val="009565B7"/>
    <w:rsid w:val="0098234E"/>
    <w:rsid w:val="009855D9"/>
    <w:rsid w:val="009D7165"/>
    <w:rsid w:val="009E4070"/>
    <w:rsid w:val="009E5DD9"/>
    <w:rsid w:val="009E750E"/>
    <w:rsid w:val="009F637C"/>
    <w:rsid w:val="00A01445"/>
    <w:rsid w:val="00A03158"/>
    <w:rsid w:val="00A07A7B"/>
    <w:rsid w:val="00A17012"/>
    <w:rsid w:val="00A531F3"/>
    <w:rsid w:val="00A60ECA"/>
    <w:rsid w:val="00A65D5E"/>
    <w:rsid w:val="00A81EF1"/>
    <w:rsid w:val="00A95970"/>
    <w:rsid w:val="00AA1EF2"/>
    <w:rsid w:val="00AA64FD"/>
    <w:rsid w:val="00AB27AB"/>
    <w:rsid w:val="00AB62C0"/>
    <w:rsid w:val="00AB6CD8"/>
    <w:rsid w:val="00AC66FF"/>
    <w:rsid w:val="00AD61CF"/>
    <w:rsid w:val="00AE2EF3"/>
    <w:rsid w:val="00B12FC8"/>
    <w:rsid w:val="00B141AE"/>
    <w:rsid w:val="00B146BA"/>
    <w:rsid w:val="00B14A27"/>
    <w:rsid w:val="00B25E70"/>
    <w:rsid w:val="00B27F48"/>
    <w:rsid w:val="00B413FC"/>
    <w:rsid w:val="00B537B5"/>
    <w:rsid w:val="00B53D94"/>
    <w:rsid w:val="00B62EA8"/>
    <w:rsid w:val="00B72EA1"/>
    <w:rsid w:val="00B848D2"/>
    <w:rsid w:val="00BA3B87"/>
    <w:rsid w:val="00BA3E8F"/>
    <w:rsid w:val="00BB1BDB"/>
    <w:rsid w:val="00BC5493"/>
    <w:rsid w:val="00BC5FA7"/>
    <w:rsid w:val="00BE24E5"/>
    <w:rsid w:val="00BE7A3E"/>
    <w:rsid w:val="00C51BE6"/>
    <w:rsid w:val="00C52D43"/>
    <w:rsid w:val="00C532DB"/>
    <w:rsid w:val="00C72917"/>
    <w:rsid w:val="00C97A5F"/>
    <w:rsid w:val="00CC043E"/>
    <w:rsid w:val="00CC1979"/>
    <w:rsid w:val="00CC2D52"/>
    <w:rsid w:val="00CF168A"/>
    <w:rsid w:val="00CF349E"/>
    <w:rsid w:val="00D034C5"/>
    <w:rsid w:val="00D03571"/>
    <w:rsid w:val="00D17C63"/>
    <w:rsid w:val="00D2748E"/>
    <w:rsid w:val="00D33CCF"/>
    <w:rsid w:val="00D564B5"/>
    <w:rsid w:val="00D84098"/>
    <w:rsid w:val="00D84359"/>
    <w:rsid w:val="00DA32BA"/>
    <w:rsid w:val="00DA4699"/>
    <w:rsid w:val="00DA659D"/>
    <w:rsid w:val="00DA69C5"/>
    <w:rsid w:val="00DB1673"/>
    <w:rsid w:val="00DC63C0"/>
    <w:rsid w:val="00DE4309"/>
    <w:rsid w:val="00DE6209"/>
    <w:rsid w:val="00E04448"/>
    <w:rsid w:val="00E06528"/>
    <w:rsid w:val="00E2469E"/>
    <w:rsid w:val="00E2474B"/>
    <w:rsid w:val="00E3449D"/>
    <w:rsid w:val="00E3691A"/>
    <w:rsid w:val="00E52653"/>
    <w:rsid w:val="00E54F42"/>
    <w:rsid w:val="00E55ADE"/>
    <w:rsid w:val="00E65851"/>
    <w:rsid w:val="00E659D4"/>
    <w:rsid w:val="00E7077B"/>
    <w:rsid w:val="00ED02BF"/>
    <w:rsid w:val="00EE1C8B"/>
    <w:rsid w:val="00EE35E5"/>
    <w:rsid w:val="00EE5E25"/>
    <w:rsid w:val="00EF5FA9"/>
    <w:rsid w:val="00F01435"/>
    <w:rsid w:val="00F036F0"/>
    <w:rsid w:val="00F16435"/>
    <w:rsid w:val="00F209CE"/>
    <w:rsid w:val="00F31D3F"/>
    <w:rsid w:val="00F373F7"/>
    <w:rsid w:val="00F406AE"/>
    <w:rsid w:val="00F40B0A"/>
    <w:rsid w:val="00F43ED3"/>
    <w:rsid w:val="00F44971"/>
    <w:rsid w:val="00F45D92"/>
    <w:rsid w:val="00F603FC"/>
    <w:rsid w:val="00F657BB"/>
    <w:rsid w:val="00F67FFC"/>
    <w:rsid w:val="00F75F12"/>
    <w:rsid w:val="00F95C86"/>
    <w:rsid w:val="00F96956"/>
    <w:rsid w:val="00F974C0"/>
    <w:rsid w:val="00FA70A2"/>
    <w:rsid w:val="00FC1DDC"/>
    <w:rsid w:val="00FC6CFE"/>
    <w:rsid w:val="00FE5E86"/>
    <w:rsid w:val="011C256C"/>
    <w:rsid w:val="011E11B2"/>
    <w:rsid w:val="012526ED"/>
    <w:rsid w:val="013111F5"/>
    <w:rsid w:val="01527EDF"/>
    <w:rsid w:val="01591DAF"/>
    <w:rsid w:val="015F4162"/>
    <w:rsid w:val="01625187"/>
    <w:rsid w:val="019A392B"/>
    <w:rsid w:val="01A00F03"/>
    <w:rsid w:val="01D70B50"/>
    <w:rsid w:val="01E451B5"/>
    <w:rsid w:val="01E62BF6"/>
    <w:rsid w:val="02150B4D"/>
    <w:rsid w:val="02552523"/>
    <w:rsid w:val="025821F7"/>
    <w:rsid w:val="027D1E8C"/>
    <w:rsid w:val="028E7395"/>
    <w:rsid w:val="0292312B"/>
    <w:rsid w:val="02AE7359"/>
    <w:rsid w:val="02D524B5"/>
    <w:rsid w:val="03137173"/>
    <w:rsid w:val="033E70DF"/>
    <w:rsid w:val="035C483A"/>
    <w:rsid w:val="037D3116"/>
    <w:rsid w:val="03962A60"/>
    <w:rsid w:val="04011C72"/>
    <w:rsid w:val="0423121E"/>
    <w:rsid w:val="043671AB"/>
    <w:rsid w:val="04382766"/>
    <w:rsid w:val="045A1FA8"/>
    <w:rsid w:val="047558D8"/>
    <w:rsid w:val="04A1439A"/>
    <w:rsid w:val="04A702A3"/>
    <w:rsid w:val="04B14206"/>
    <w:rsid w:val="04BC67AE"/>
    <w:rsid w:val="04EB0712"/>
    <w:rsid w:val="04F737F4"/>
    <w:rsid w:val="05075ADC"/>
    <w:rsid w:val="05662AC7"/>
    <w:rsid w:val="05681FB7"/>
    <w:rsid w:val="056A46EC"/>
    <w:rsid w:val="05A949CB"/>
    <w:rsid w:val="05AE2263"/>
    <w:rsid w:val="05BE5307"/>
    <w:rsid w:val="05D750A2"/>
    <w:rsid w:val="061D4F26"/>
    <w:rsid w:val="061F6399"/>
    <w:rsid w:val="06280B5D"/>
    <w:rsid w:val="062975E3"/>
    <w:rsid w:val="06325679"/>
    <w:rsid w:val="068E0277"/>
    <w:rsid w:val="069F3663"/>
    <w:rsid w:val="06B56391"/>
    <w:rsid w:val="06D22A09"/>
    <w:rsid w:val="06D870D9"/>
    <w:rsid w:val="06E7117C"/>
    <w:rsid w:val="06FE2753"/>
    <w:rsid w:val="06FF52F7"/>
    <w:rsid w:val="071F0129"/>
    <w:rsid w:val="072C05B2"/>
    <w:rsid w:val="073D1F23"/>
    <w:rsid w:val="074A39DE"/>
    <w:rsid w:val="07534492"/>
    <w:rsid w:val="075B1FFD"/>
    <w:rsid w:val="07824BC2"/>
    <w:rsid w:val="07CE5979"/>
    <w:rsid w:val="080D288E"/>
    <w:rsid w:val="087F0174"/>
    <w:rsid w:val="08B07BDA"/>
    <w:rsid w:val="08C75B33"/>
    <w:rsid w:val="092E3070"/>
    <w:rsid w:val="094B287A"/>
    <w:rsid w:val="094D6CAE"/>
    <w:rsid w:val="09524D48"/>
    <w:rsid w:val="09784EA8"/>
    <w:rsid w:val="098134B0"/>
    <w:rsid w:val="09913193"/>
    <w:rsid w:val="099C718D"/>
    <w:rsid w:val="099E0386"/>
    <w:rsid w:val="09B246FB"/>
    <w:rsid w:val="09E964AF"/>
    <w:rsid w:val="0A083331"/>
    <w:rsid w:val="0A2134D4"/>
    <w:rsid w:val="0A246AB8"/>
    <w:rsid w:val="0A333D26"/>
    <w:rsid w:val="0A337614"/>
    <w:rsid w:val="0A4F7011"/>
    <w:rsid w:val="0A6E7355"/>
    <w:rsid w:val="0A8E3333"/>
    <w:rsid w:val="0AB13762"/>
    <w:rsid w:val="0ABE0520"/>
    <w:rsid w:val="0AE97B47"/>
    <w:rsid w:val="0B243B52"/>
    <w:rsid w:val="0B251BF6"/>
    <w:rsid w:val="0B2C4193"/>
    <w:rsid w:val="0B47389E"/>
    <w:rsid w:val="0B9151D6"/>
    <w:rsid w:val="0BA53C97"/>
    <w:rsid w:val="0BBF6B41"/>
    <w:rsid w:val="0BC6066B"/>
    <w:rsid w:val="0BD71CC2"/>
    <w:rsid w:val="0BEE06F3"/>
    <w:rsid w:val="0BF04834"/>
    <w:rsid w:val="0C335C74"/>
    <w:rsid w:val="0C3B29EE"/>
    <w:rsid w:val="0C401627"/>
    <w:rsid w:val="0C4C1855"/>
    <w:rsid w:val="0C540DC0"/>
    <w:rsid w:val="0C7A710B"/>
    <w:rsid w:val="0CB55C32"/>
    <w:rsid w:val="0CBC7656"/>
    <w:rsid w:val="0CCA7C19"/>
    <w:rsid w:val="0CD437CB"/>
    <w:rsid w:val="0CDF7C06"/>
    <w:rsid w:val="0CF7360C"/>
    <w:rsid w:val="0D1E2A49"/>
    <w:rsid w:val="0D3A7D9F"/>
    <w:rsid w:val="0D57214D"/>
    <w:rsid w:val="0DAC1A51"/>
    <w:rsid w:val="0DCA2721"/>
    <w:rsid w:val="0DCA6573"/>
    <w:rsid w:val="0DD71957"/>
    <w:rsid w:val="0DE37E21"/>
    <w:rsid w:val="0E1E09EC"/>
    <w:rsid w:val="0E1F5B04"/>
    <w:rsid w:val="0E3B401F"/>
    <w:rsid w:val="0E4544C4"/>
    <w:rsid w:val="0E4F4A1D"/>
    <w:rsid w:val="0E5028C0"/>
    <w:rsid w:val="0E6242F1"/>
    <w:rsid w:val="0E785CD6"/>
    <w:rsid w:val="0E8A1010"/>
    <w:rsid w:val="0EA55EF1"/>
    <w:rsid w:val="0ED25781"/>
    <w:rsid w:val="0ED6768D"/>
    <w:rsid w:val="0EE802A4"/>
    <w:rsid w:val="0EF97E05"/>
    <w:rsid w:val="0F0A1A7F"/>
    <w:rsid w:val="0F264E85"/>
    <w:rsid w:val="0F3C1ED8"/>
    <w:rsid w:val="0F4446F1"/>
    <w:rsid w:val="0F581D20"/>
    <w:rsid w:val="0F970DD1"/>
    <w:rsid w:val="0FA04CB1"/>
    <w:rsid w:val="0FE2074E"/>
    <w:rsid w:val="101C2A28"/>
    <w:rsid w:val="10C10E3F"/>
    <w:rsid w:val="10C802E5"/>
    <w:rsid w:val="10EF5477"/>
    <w:rsid w:val="10FB30A3"/>
    <w:rsid w:val="11086E21"/>
    <w:rsid w:val="110B4192"/>
    <w:rsid w:val="111C267A"/>
    <w:rsid w:val="11460A14"/>
    <w:rsid w:val="11534E21"/>
    <w:rsid w:val="11650E8E"/>
    <w:rsid w:val="116B13C1"/>
    <w:rsid w:val="11A938BB"/>
    <w:rsid w:val="11BF23B2"/>
    <w:rsid w:val="11E42A85"/>
    <w:rsid w:val="11E45F6B"/>
    <w:rsid w:val="1200322E"/>
    <w:rsid w:val="121C3B3F"/>
    <w:rsid w:val="12277192"/>
    <w:rsid w:val="122E5164"/>
    <w:rsid w:val="12436EB6"/>
    <w:rsid w:val="12521634"/>
    <w:rsid w:val="128C1739"/>
    <w:rsid w:val="12AF1625"/>
    <w:rsid w:val="12BE3850"/>
    <w:rsid w:val="12D15E76"/>
    <w:rsid w:val="12D750FD"/>
    <w:rsid w:val="12F14400"/>
    <w:rsid w:val="13012EDD"/>
    <w:rsid w:val="132A0456"/>
    <w:rsid w:val="132F1366"/>
    <w:rsid w:val="1334421E"/>
    <w:rsid w:val="139212A0"/>
    <w:rsid w:val="13A419C0"/>
    <w:rsid w:val="13A628DD"/>
    <w:rsid w:val="13A918DF"/>
    <w:rsid w:val="13A949EE"/>
    <w:rsid w:val="13B40BB5"/>
    <w:rsid w:val="13B82662"/>
    <w:rsid w:val="13CE218A"/>
    <w:rsid w:val="13D83FF2"/>
    <w:rsid w:val="13F105D7"/>
    <w:rsid w:val="141E34FA"/>
    <w:rsid w:val="145F7FF5"/>
    <w:rsid w:val="14622B1B"/>
    <w:rsid w:val="148C2F05"/>
    <w:rsid w:val="149D7403"/>
    <w:rsid w:val="14A078F0"/>
    <w:rsid w:val="14B64904"/>
    <w:rsid w:val="14B836DE"/>
    <w:rsid w:val="14D83E1F"/>
    <w:rsid w:val="14E204F9"/>
    <w:rsid w:val="1538215B"/>
    <w:rsid w:val="159C229A"/>
    <w:rsid w:val="159F2069"/>
    <w:rsid w:val="15DC65B9"/>
    <w:rsid w:val="15DF7FC3"/>
    <w:rsid w:val="15F95D46"/>
    <w:rsid w:val="15FF1F8C"/>
    <w:rsid w:val="161863FE"/>
    <w:rsid w:val="163B684A"/>
    <w:rsid w:val="163E7586"/>
    <w:rsid w:val="166B7495"/>
    <w:rsid w:val="16AE4853"/>
    <w:rsid w:val="16AF0185"/>
    <w:rsid w:val="16CD113C"/>
    <w:rsid w:val="16CF50A6"/>
    <w:rsid w:val="16ED44DA"/>
    <w:rsid w:val="16FC5CD5"/>
    <w:rsid w:val="170843D6"/>
    <w:rsid w:val="1721018C"/>
    <w:rsid w:val="17416D4D"/>
    <w:rsid w:val="174D567C"/>
    <w:rsid w:val="174F2990"/>
    <w:rsid w:val="17870C46"/>
    <w:rsid w:val="1790395F"/>
    <w:rsid w:val="17A27336"/>
    <w:rsid w:val="17AB786B"/>
    <w:rsid w:val="17B20016"/>
    <w:rsid w:val="17BD6A61"/>
    <w:rsid w:val="17ED6034"/>
    <w:rsid w:val="17FA7979"/>
    <w:rsid w:val="181E0C1C"/>
    <w:rsid w:val="185307E2"/>
    <w:rsid w:val="185769C4"/>
    <w:rsid w:val="1866695F"/>
    <w:rsid w:val="186B7E89"/>
    <w:rsid w:val="18AE3E75"/>
    <w:rsid w:val="18C04279"/>
    <w:rsid w:val="18EE7721"/>
    <w:rsid w:val="19091539"/>
    <w:rsid w:val="1939201B"/>
    <w:rsid w:val="19414B14"/>
    <w:rsid w:val="194F69A7"/>
    <w:rsid w:val="196809E8"/>
    <w:rsid w:val="19772571"/>
    <w:rsid w:val="19AB30FE"/>
    <w:rsid w:val="19B3292F"/>
    <w:rsid w:val="19B42420"/>
    <w:rsid w:val="19D16884"/>
    <w:rsid w:val="1A092B76"/>
    <w:rsid w:val="1A106FF9"/>
    <w:rsid w:val="1A1B1A53"/>
    <w:rsid w:val="1A586719"/>
    <w:rsid w:val="1A760CD8"/>
    <w:rsid w:val="1A7D3B8C"/>
    <w:rsid w:val="1AEC3CA6"/>
    <w:rsid w:val="1B15158A"/>
    <w:rsid w:val="1B342824"/>
    <w:rsid w:val="1B393C48"/>
    <w:rsid w:val="1B6F265C"/>
    <w:rsid w:val="1B8E2443"/>
    <w:rsid w:val="1BA46CA2"/>
    <w:rsid w:val="1BA958A8"/>
    <w:rsid w:val="1BB10779"/>
    <w:rsid w:val="1BCA1274"/>
    <w:rsid w:val="1C542E6D"/>
    <w:rsid w:val="1C5740BC"/>
    <w:rsid w:val="1C6216BF"/>
    <w:rsid w:val="1CE323DB"/>
    <w:rsid w:val="1D1D63D2"/>
    <w:rsid w:val="1D202E88"/>
    <w:rsid w:val="1D594B01"/>
    <w:rsid w:val="1D655C6E"/>
    <w:rsid w:val="1D68774B"/>
    <w:rsid w:val="1D775CB7"/>
    <w:rsid w:val="1D7B5631"/>
    <w:rsid w:val="1D870088"/>
    <w:rsid w:val="1D996C1F"/>
    <w:rsid w:val="1D9D4D13"/>
    <w:rsid w:val="1DF262C0"/>
    <w:rsid w:val="1E3C64F5"/>
    <w:rsid w:val="1E5D13D7"/>
    <w:rsid w:val="1E5D66F6"/>
    <w:rsid w:val="1E7D4F9B"/>
    <w:rsid w:val="1EB06E01"/>
    <w:rsid w:val="1EB945DC"/>
    <w:rsid w:val="1EC901E2"/>
    <w:rsid w:val="1F15438D"/>
    <w:rsid w:val="1F5B4EEB"/>
    <w:rsid w:val="1F72617F"/>
    <w:rsid w:val="1F756139"/>
    <w:rsid w:val="1F85537A"/>
    <w:rsid w:val="1F9000F9"/>
    <w:rsid w:val="1F9C5654"/>
    <w:rsid w:val="1F9E196B"/>
    <w:rsid w:val="1FBF453A"/>
    <w:rsid w:val="1FE67FD9"/>
    <w:rsid w:val="200F7048"/>
    <w:rsid w:val="20251861"/>
    <w:rsid w:val="20327222"/>
    <w:rsid w:val="204004F3"/>
    <w:rsid w:val="20410F67"/>
    <w:rsid w:val="20587304"/>
    <w:rsid w:val="2066166A"/>
    <w:rsid w:val="208A1BBA"/>
    <w:rsid w:val="20A17154"/>
    <w:rsid w:val="20FE334B"/>
    <w:rsid w:val="21193906"/>
    <w:rsid w:val="214D7990"/>
    <w:rsid w:val="21592794"/>
    <w:rsid w:val="215B3DE4"/>
    <w:rsid w:val="215F20BD"/>
    <w:rsid w:val="21605F7A"/>
    <w:rsid w:val="216E0B8F"/>
    <w:rsid w:val="21931DA4"/>
    <w:rsid w:val="2199791E"/>
    <w:rsid w:val="21B86216"/>
    <w:rsid w:val="21C3558E"/>
    <w:rsid w:val="21C706CC"/>
    <w:rsid w:val="22326228"/>
    <w:rsid w:val="22421B7E"/>
    <w:rsid w:val="22457549"/>
    <w:rsid w:val="224C5A3E"/>
    <w:rsid w:val="224F2A09"/>
    <w:rsid w:val="225C7D64"/>
    <w:rsid w:val="225E7682"/>
    <w:rsid w:val="2269635C"/>
    <w:rsid w:val="2270048D"/>
    <w:rsid w:val="228C1A65"/>
    <w:rsid w:val="228D4195"/>
    <w:rsid w:val="229125E8"/>
    <w:rsid w:val="22AA4E49"/>
    <w:rsid w:val="22C01718"/>
    <w:rsid w:val="22CA165A"/>
    <w:rsid w:val="22D24A4D"/>
    <w:rsid w:val="22EC1E92"/>
    <w:rsid w:val="232B5F5E"/>
    <w:rsid w:val="23334645"/>
    <w:rsid w:val="235E6C61"/>
    <w:rsid w:val="2381217A"/>
    <w:rsid w:val="239351B2"/>
    <w:rsid w:val="23C8523B"/>
    <w:rsid w:val="23E33DFF"/>
    <w:rsid w:val="23F50052"/>
    <w:rsid w:val="246403A9"/>
    <w:rsid w:val="24730E59"/>
    <w:rsid w:val="24B51F22"/>
    <w:rsid w:val="24FE6940"/>
    <w:rsid w:val="25030867"/>
    <w:rsid w:val="25045FEE"/>
    <w:rsid w:val="25392F14"/>
    <w:rsid w:val="256442AC"/>
    <w:rsid w:val="25BE7D5D"/>
    <w:rsid w:val="25DA0C9E"/>
    <w:rsid w:val="260B4047"/>
    <w:rsid w:val="261A127C"/>
    <w:rsid w:val="261B3491"/>
    <w:rsid w:val="261D3980"/>
    <w:rsid w:val="262F2D0A"/>
    <w:rsid w:val="264A507F"/>
    <w:rsid w:val="264D180B"/>
    <w:rsid w:val="26871BDC"/>
    <w:rsid w:val="26AE0B66"/>
    <w:rsid w:val="26B77804"/>
    <w:rsid w:val="26E25569"/>
    <w:rsid w:val="26FB5337"/>
    <w:rsid w:val="27096EC9"/>
    <w:rsid w:val="27307622"/>
    <w:rsid w:val="27460815"/>
    <w:rsid w:val="278C68FA"/>
    <w:rsid w:val="27D65A32"/>
    <w:rsid w:val="28361BDE"/>
    <w:rsid w:val="2888434B"/>
    <w:rsid w:val="28ED2E36"/>
    <w:rsid w:val="291A6DE0"/>
    <w:rsid w:val="295964F7"/>
    <w:rsid w:val="296F06D8"/>
    <w:rsid w:val="29814734"/>
    <w:rsid w:val="29A80E1B"/>
    <w:rsid w:val="29C4050D"/>
    <w:rsid w:val="29CE1F49"/>
    <w:rsid w:val="29D047A9"/>
    <w:rsid w:val="29E14B7B"/>
    <w:rsid w:val="29EC2FE1"/>
    <w:rsid w:val="29F91127"/>
    <w:rsid w:val="29FB17AA"/>
    <w:rsid w:val="2A027E45"/>
    <w:rsid w:val="2A0852BE"/>
    <w:rsid w:val="2A0F2EA5"/>
    <w:rsid w:val="2A476DE8"/>
    <w:rsid w:val="2A61648D"/>
    <w:rsid w:val="2A68703A"/>
    <w:rsid w:val="2A7C6AAB"/>
    <w:rsid w:val="2A8A088A"/>
    <w:rsid w:val="2A9D06FE"/>
    <w:rsid w:val="2AB528BC"/>
    <w:rsid w:val="2AB94FB6"/>
    <w:rsid w:val="2AC81B90"/>
    <w:rsid w:val="2AE764AE"/>
    <w:rsid w:val="2B0B59C1"/>
    <w:rsid w:val="2B10761A"/>
    <w:rsid w:val="2B2622F4"/>
    <w:rsid w:val="2B2E0D87"/>
    <w:rsid w:val="2B511A0C"/>
    <w:rsid w:val="2B690DB9"/>
    <w:rsid w:val="2B7F16FE"/>
    <w:rsid w:val="2BAA20FD"/>
    <w:rsid w:val="2BB60894"/>
    <w:rsid w:val="2BBF5962"/>
    <w:rsid w:val="2BCC1688"/>
    <w:rsid w:val="2BE040E1"/>
    <w:rsid w:val="2BE128FE"/>
    <w:rsid w:val="2BF7461E"/>
    <w:rsid w:val="2C06757B"/>
    <w:rsid w:val="2C11439E"/>
    <w:rsid w:val="2C1E4AA6"/>
    <w:rsid w:val="2C1F2CE0"/>
    <w:rsid w:val="2C3A286F"/>
    <w:rsid w:val="2C5632CC"/>
    <w:rsid w:val="2C78619D"/>
    <w:rsid w:val="2CB76457"/>
    <w:rsid w:val="2CE02784"/>
    <w:rsid w:val="2CE72BBB"/>
    <w:rsid w:val="2D066228"/>
    <w:rsid w:val="2D4B3C0C"/>
    <w:rsid w:val="2D7C7995"/>
    <w:rsid w:val="2D946BAE"/>
    <w:rsid w:val="2DA15B49"/>
    <w:rsid w:val="2DBB592B"/>
    <w:rsid w:val="2DC539B4"/>
    <w:rsid w:val="2DC8572C"/>
    <w:rsid w:val="2DF228DF"/>
    <w:rsid w:val="2DFC1831"/>
    <w:rsid w:val="2E075AB2"/>
    <w:rsid w:val="2E184AB3"/>
    <w:rsid w:val="2E187975"/>
    <w:rsid w:val="2E1F76C1"/>
    <w:rsid w:val="2E472C8D"/>
    <w:rsid w:val="2EB67552"/>
    <w:rsid w:val="2EEE1E58"/>
    <w:rsid w:val="2F0657FE"/>
    <w:rsid w:val="2F3B5307"/>
    <w:rsid w:val="2FA14021"/>
    <w:rsid w:val="2FAA3995"/>
    <w:rsid w:val="2FB15345"/>
    <w:rsid w:val="2FBB3C86"/>
    <w:rsid w:val="2FD23B0D"/>
    <w:rsid w:val="30084F7B"/>
    <w:rsid w:val="30230C8C"/>
    <w:rsid w:val="30395986"/>
    <w:rsid w:val="30421729"/>
    <w:rsid w:val="304E524D"/>
    <w:rsid w:val="306D6ACD"/>
    <w:rsid w:val="3106432D"/>
    <w:rsid w:val="31067240"/>
    <w:rsid w:val="31183CCA"/>
    <w:rsid w:val="311E57A3"/>
    <w:rsid w:val="316D7B4A"/>
    <w:rsid w:val="31A66F00"/>
    <w:rsid w:val="31C4221D"/>
    <w:rsid w:val="31E66883"/>
    <w:rsid w:val="31F134B7"/>
    <w:rsid w:val="32247D29"/>
    <w:rsid w:val="323F68EE"/>
    <w:rsid w:val="325F5246"/>
    <w:rsid w:val="326C3FAA"/>
    <w:rsid w:val="32905931"/>
    <w:rsid w:val="3290780E"/>
    <w:rsid w:val="32997933"/>
    <w:rsid w:val="32D26084"/>
    <w:rsid w:val="3337479B"/>
    <w:rsid w:val="33766BFC"/>
    <w:rsid w:val="33770394"/>
    <w:rsid w:val="33C45E26"/>
    <w:rsid w:val="33C56985"/>
    <w:rsid w:val="33CD2CBD"/>
    <w:rsid w:val="33D93804"/>
    <w:rsid w:val="34040FE8"/>
    <w:rsid w:val="341B50F6"/>
    <w:rsid w:val="341E4915"/>
    <w:rsid w:val="343E68B7"/>
    <w:rsid w:val="34572405"/>
    <w:rsid w:val="346A4ED3"/>
    <w:rsid w:val="346E6E6C"/>
    <w:rsid w:val="34820CDB"/>
    <w:rsid w:val="34A56FCB"/>
    <w:rsid w:val="34AC5EFC"/>
    <w:rsid w:val="34AC64FD"/>
    <w:rsid w:val="34B51B07"/>
    <w:rsid w:val="34DB165B"/>
    <w:rsid w:val="34E77B0C"/>
    <w:rsid w:val="351A6C8B"/>
    <w:rsid w:val="352016EA"/>
    <w:rsid w:val="354400C3"/>
    <w:rsid w:val="354514AC"/>
    <w:rsid w:val="35617605"/>
    <w:rsid w:val="35735B8B"/>
    <w:rsid w:val="35A863E0"/>
    <w:rsid w:val="35CE0793"/>
    <w:rsid w:val="35E357D9"/>
    <w:rsid w:val="35FB7509"/>
    <w:rsid w:val="36034D29"/>
    <w:rsid w:val="360A392E"/>
    <w:rsid w:val="360E420E"/>
    <w:rsid w:val="36286165"/>
    <w:rsid w:val="36383712"/>
    <w:rsid w:val="364F3177"/>
    <w:rsid w:val="36766A13"/>
    <w:rsid w:val="367F4DAF"/>
    <w:rsid w:val="36875E2A"/>
    <w:rsid w:val="368D7ED9"/>
    <w:rsid w:val="36B17F24"/>
    <w:rsid w:val="36B67FE7"/>
    <w:rsid w:val="36C30511"/>
    <w:rsid w:val="36D60301"/>
    <w:rsid w:val="36EF0C23"/>
    <w:rsid w:val="36F27A0F"/>
    <w:rsid w:val="36FB5C7D"/>
    <w:rsid w:val="37055B02"/>
    <w:rsid w:val="37147DA6"/>
    <w:rsid w:val="37293CDE"/>
    <w:rsid w:val="3732531B"/>
    <w:rsid w:val="375D4CFA"/>
    <w:rsid w:val="376B674D"/>
    <w:rsid w:val="376D46B9"/>
    <w:rsid w:val="379416F0"/>
    <w:rsid w:val="37A50CB4"/>
    <w:rsid w:val="37D47116"/>
    <w:rsid w:val="37EE01E8"/>
    <w:rsid w:val="38157491"/>
    <w:rsid w:val="384723A6"/>
    <w:rsid w:val="38486C0E"/>
    <w:rsid w:val="384F16F7"/>
    <w:rsid w:val="385D0493"/>
    <w:rsid w:val="386B43B1"/>
    <w:rsid w:val="386E04D3"/>
    <w:rsid w:val="387C4CF6"/>
    <w:rsid w:val="38A64207"/>
    <w:rsid w:val="38CE513F"/>
    <w:rsid w:val="38E613B2"/>
    <w:rsid w:val="38EF6969"/>
    <w:rsid w:val="38F80FCD"/>
    <w:rsid w:val="39563137"/>
    <w:rsid w:val="397A03C6"/>
    <w:rsid w:val="397D4570"/>
    <w:rsid w:val="399B557B"/>
    <w:rsid w:val="39A214E3"/>
    <w:rsid w:val="3A297330"/>
    <w:rsid w:val="3A300757"/>
    <w:rsid w:val="3A445B3B"/>
    <w:rsid w:val="3A6073DC"/>
    <w:rsid w:val="3A632F13"/>
    <w:rsid w:val="3A6E217A"/>
    <w:rsid w:val="3A747A99"/>
    <w:rsid w:val="3AA970F9"/>
    <w:rsid w:val="3AAC454A"/>
    <w:rsid w:val="3AB2757A"/>
    <w:rsid w:val="3AB5751F"/>
    <w:rsid w:val="3AB90DA4"/>
    <w:rsid w:val="3ACB7183"/>
    <w:rsid w:val="3B011991"/>
    <w:rsid w:val="3B084AF6"/>
    <w:rsid w:val="3B3435EC"/>
    <w:rsid w:val="3B385830"/>
    <w:rsid w:val="3B673DF6"/>
    <w:rsid w:val="3B8E080F"/>
    <w:rsid w:val="3B9044B6"/>
    <w:rsid w:val="3BBA51C4"/>
    <w:rsid w:val="3BCA68BB"/>
    <w:rsid w:val="3BE755B4"/>
    <w:rsid w:val="3C172AFD"/>
    <w:rsid w:val="3C2E1A95"/>
    <w:rsid w:val="3C7553B7"/>
    <w:rsid w:val="3C8471E5"/>
    <w:rsid w:val="3C8520EB"/>
    <w:rsid w:val="3CBC3054"/>
    <w:rsid w:val="3CC81E09"/>
    <w:rsid w:val="3CCA7E6A"/>
    <w:rsid w:val="3CE40ED1"/>
    <w:rsid w:val="3CE87D42"/>
    <w:rsid w:val="3D0C1467"/>
    <w:rsid w:val="3D324D36"/>
    <w:rsid w:val="3D651E5A"/>
    <w:rsid w:val="3D87726D"/>
    <w:rsid w:val="3DD220BD"/>
    <w:rsid w:val="3DE20A28"/>
    <w:rsid w:val="3DE75DDF"/>
    <w:rsid w:val="3DFB305E"/>
    <w:rsid w:val="3E2A511F"/>
    <w:rsid w:val="3E3C3F47"/>
    <w:rsid w:val="3E3F2247"/>
    <w:rsid w:val="3E3F5224"/>
    <w:rsid w:val="3E586E24"/>
    <w:rsid w:val="3E5974A1"/>
    <w:rsid w:val="3E71390E"/>
    <w:rsid w:val="3E786EBC"/>
    <w:rsid w:val="3EA02E3C"/>
    <w:rsid w:val="3EB3301F"/>
    <w:rsid w:val="3EC0681C"/>
    <w:rsid w:val="3ECF6905"/>
    <w:rsid w:val="3EE7003B"/>
    <w:rsid w:val="3F0428B3"/>
    <w:rsid w:val="3F263CF4"/>
    <w:rsid w:val="3F315198"/>
    <w:rsid w:val="3F43216C"/>
    <w:rsid w:val="3F586F91"/>
    <w:rsid w:val="3F6A58EE"/>
    <w:rsid w:val="3FA73E40"/>
    <w:rsid w:val="3FAD052D"/>
    <w:rsid w:val="3FCD0EB1"/>
    <w:rsid w:val="3FDC2D53"/>
    <w:rsid w:val="40074B14"/>
    <w:rsid w:val="400B2BC2"/>
    <w:rsid w:val="40241EC0"/>
    <w:rsid w:val="40452B77"/>
    <w:rsid w:val="40591CCA"/>
    <w:rsid w:val="405A2EFB"/>
    <w:rsid w:val="407606F8"/>
    <w:rsid w:val="40890784"/>
    <w:rsid w:val="409278D3"/>
    <w:rsid w:val="40934CC9"/>
    <w:rsid w:val="409C6D12"/>
    <w:rsid w:val="40A733EC"/>
    <w:rsid w:val="40CE2206"/>
    <w:rsid w:val="40F313C9"/>
    <w:rsid w:val="40F56CE0"/>
    <w:rsid w:val="40FA7389"/>
    <w:rsid w:val="40FB4023"/>
    <w:rsid w:val="4101023F"/>
    <w:rsid w:val="41250FEC"/>
    <w:rsid w:val="4165471F"/>
    <w:rsid w:val="41785EAD"/>
    <w:rsid w:val="418159BB"/>
    <w:rsid w:val="419138BC"/>
    <w:rsid w:val="419D1F93"/>
    <w:rsid w:val="41A4601A"/>
    <w:rsid w:val="41C64A5C"/>
    <w:rsid w:val="41DE732B"/>
    <w:rsid w:val="41FC0F6A"/>
    <w:rsid w:val="42101DD3"/>
    <w:rsid w:val="421F04AA"/>
    <w:rsid w:val="42200475"/>
    <w:rsid w:val="42261FDB"/>
    <w:rsid w:val="425311DE"/>
    <w:rsid w:val="42765B08"/>
    <w:rsid w:val="42C51CC6"/>
    <w:rsid w:val="42C5790C"/>
    <w:rsid w:val="42E26D10"/>
    <w:rsid w:val="42EB7271"/>
    <w:rsid w:val="42F9408E"/>
    <w:rsid w:val="432261B1"/>
    <w:rsid w:val="4338616D"/>
    <w:rsid w:val="43471C6E"/>
    <w:rsid w:val="434E5750"/>
    <w:rsid w:val="43520B1C"/>
    <w:rsid w:val="435A23E2"/>
    <w:rsid w:val="435D2191"/>
    <w:rsid w:val="436B5F91"/>
    <w:rsid w:val="438C032F"/>
    <w:rsid w:val="43A04304"/>
    <w:rsid w:val="43BC20E7"/>
    <w:rsid w:val="43D47F1B"/>
    <w:rsid w:val="43DA0C83"/>
    <w:rsid w:val="44470380"/>
    <w:rsid w:val="445676DD"/>
    <w:rsid w:val="4457547F"/>
    <w:rsid w:val="44644BAA"/>
    <w:rsid w:val="44766C04"/>
    <w:rsid w:val="448229A2"/>
    <w:rsid w:val="44AB0C4A"/>
    <w:rsid w:val="44B4082E"/>
    <w:rsid w:val="44CE6128"/>
    <w:rsid w:val="44CF6095"/>
    <w:rsid w:val="44D208B7"/>
    <w:rsid w:val="44EA2908"/>
    <w:rsid w:val="44FD2AC6"/>
    <w:rsid w:val="45494C26"/>
    <w:rsid w:val="45541653"/>
    <w:rsid w:val="455E6070"/>
    <w:rsid w:val="45666450"/>
    <w:rsid w:val="458F3622"/>
    <w:rsid w:val="45954C2A"/>
    <w:rsid w:val="45B77759"/>
    <w:rsid w:val="45DF4769"/>
    <w:rsid w:val="460B4C41"/>
    <w:rsid w:val="460E55D4"/>
    <w:rsid w:val="46323F38"/>
    <w:rsid w:val="463C129A"/>
    <w:rsid w:val="46622BC3"/>
    <w:rsid w:val="4672394C"/>
    <w:rsid w:val="469724B7"/>
    <w:rsid w:val="46CA3F0E"/>
    <w:rsid w:val="46D13843"/>
    <w:rsid w:val="46D839AD"/>
    <w:rsid w:val="47270D0F"/>
    <w:rsid w:val="475032FC"/>
    <w:rsid w:val="475F50A3"/>
    <w:rsid w:val="476F5D7B"/>
    <w:rsid w:val="47760603"/>
    <w:rsid w:val="47762FC7"/>
    <w:rsid w:val="47864FA6"/>
    <w:rsid w:val="478926B5"/>
    <w:rsid w:val="479063C5"/>
    <w:rsid w:val="47EA75B2"/>
    <w:rsid w:val="47FE3718"/>
    <w:rsid w:val="483F6900"/>
    <w:rsid w:val="48872FF1"/>
    <w:rsid w:val="48A33E77"/>
    <w:rsid w:val="48B21583"/>
    <w:rsid w:val="48C07E11"/>
    <w:rsid w:val="48CD5C68"/>
    <w:rsid w:val="49132284"/>
    <w:rsid w:val="491E4681"/>
    <w:rsid w:val="49285CEB"/>
    <w:rsid w:val="492A49CB"/>
    <w:rsid w:val="49432803"/>
    <w:rsid w:val="49470ABB"/>
    <w:rsid w:val="496324D1"/>
    <w:rsid w:val="49743095"/>
    <w:rsid w:val="49822F19"/>
    <w:rsid w:val="49B000EC"/>
    <w:rsid w:val="49B6451B"/>
    <w:rsid w:val="49D015E8"/>
    <w:rsid w:val="49D73E6D"/>
    <w:rsid w:val="49E06489"/>
    <w:rsid w:val="49EF2AC2"/>
    <w:rsid w:val="4A0C7076"/>
    <w:rsid w:val="4A1950C0"/>
    <w:rsid w:val="4A2D798B"/>
    <w:rsid w:val="4A3A15DE"/>
    <w:rsid w:val="4A412404"/>
    <w:rsid w:val="4A4E6393"/>
    <w:rsid w:val="4A6050EB"/>
    <w:rsid w:val="4A64025F"/>
    <w:rsid w:val="4A640C39"/>
    <w:rsid w:val="4AAE6348"/>
    <w:rsid w:val="4AC650E4"/>
    <w:rsid w:val="4ACD3DFB"/>
    <w:rsid w:val="4AD532AA"/>
    <w:rsid w:val="4ADF6830"/>
    <w:rsid w:val="4AF01B27"/>
    <w:rsid w:val="4AFB3DEB"/>
    <w:rsid w:val="4B3803E4"/>
    <w:rsid w:val="4B4E5335"/>
    <w:rsid w:val="4B5E1457"/>
    <w:rsid w:val="4B751F58"/>
    <w:rsid w:val="4B8E07C1"/>
    <w:rsid w:val="4B9C6C90"/>
    <w:rsid w:val="4BA17B5D"/>
    <w:rsid w:val="4BDD3DD1"/>
    <w:rsid w:val="4C106872"/>
    <w:rsid w:val="4C1241CA"/>
    <w:rsid w:val="4C125012"/>
    <w:rsid w:val="4C142DA6"/>
    <w:rsid w:val="4C1C050B"/>
    <w:rsid w:val="4C445D06"/>
    <w:rsid w:val="4C483ACF"/>
    <w:rsid w:val="4C66733E"/>
    <w:rsid w:val="4C80571A"/>
    <w:rsid w:val="4C851D32"/>
    <w:rsid w:val="4CC15DCE"/>
    <w:rsid w:val="4CD91888"/>
    <w:rsid w:val="4D3054B4"/>
    <w:rsid w:val="4D3C31D8"/>
    <w:rsid w:val="4D4814BA"/>
    <w:rsid w:val="4D616846"/>
    <w:rsid w:val="4D741090"/>
    <w:rsid w:val="4DC42AF9"/>
    <w:rsid w:val="4DE83AF6"/>
    <w:rsid w:val="4DFD78D3"/>
    <w:rsid w:val="4E116438"/>
    <w:rsid w:val="4E2A571D"/>
    <w:rsid w:val="4E5772FB"/>
    <w:rsid w:val="4E676345"/>
    <w:rsid w:val="4E723164"/>
    <w:rsid w:val="4EB162BC"/>
    <w:rsid w:val="4EB66A11"/>
    <w:rsid w:val="4EC7173E"/>
    <w:rsid w:val="4EF745F7"/>
    <w:rsid w:val="4F051422"/>
    <w:rsid w:val="4F3505B5"/>
    <w:rsid w:val="4F3E6E24"/>
    <w:rsid w:val="4F4412D7"/>
    <w:rsid w:val="4F4B25E4"/>
    <w:rsid w:val="4F540331"/>
    <w:rsid w:val="4F59765D"/>
    <w:rsid w:val="4F773909"/>
    <w:rsid w:val="4FBD17B0"/>
    <w:rsid w:val="4FDC64F8"/>
    <w:rsid w:val="4FFD1242"/>
    <w:rsid w:val="500018DB"/>
    <w:rsid w:val="50080273"/>
    <w:rsid w:val="500C3F9D"/>
    <w:rsid w:val="501A5E16"/>
    <w:rsid w:val="504C38CC"/>
    <w:rsid w:val="50822177"/>
    <w:rsid w:val="50A76BEC"/>
    <w:rsid w:val="50A77A6E"/>
    <w:rsid w:val="50B27C31"/>
    <w:rsid w:val="50B643E9"/>
    <w:rsid w:val="50BB3EF0"/>
    <w:rsid w:val="50CE567D"/>
    <w:rsid w:val="50D02333"/>
    <w:rsid w:val="50DA7012"/>
    <w:rsid w:val="50E42485"/>
    <w:rsid w:val="50E45343"/>
    <w:rsid w:val="50F7259E"/>
    <w:rsid w:val="51145BE4"/>
    <w:rsid w:val="51185F19"/>
    <w:rsid w:val="511F2490"/>
    <w:rsid w:val="515125F6"/>
    <w:rsid w:val="515D6A9F"/>
    <w:rsid w:val="51652AB6"/>
    <w:rsid w:val="516914BC"/>
    <w:rsid w:val="51713509"/>
    <w:rsid w:val="518A42D8"/>
    <w:rsid w:val="519A53F7"/>
    <w:rsid w:val="519E5129"/>
    <w:rsid w:val="51AC3791"/>
    <w:rsid w:val="51FA03EB"/>
    <w:rsid w:val="520C4646"/>
    <w:rsid w:val="52322C1C"/>
    <w:rsid w:val="5263094B"/>
    <w:rsid w:val="52724D01"/>
    <w:rsid w:val="52870F94"/>
    <w:rsid w:val="529F5EBC"/>
    <w:rsid w:val="53053BDC"/>
    <w:rsid w:val="53075D4D"/>
    <w:rsid w:val="53642810"/>
    <w:rsid w:val="537C62A7"/>
    <w:rsid w:val="53AB2889"/>
    <w:rsid w:val="53D25B55"/>
    <w:rsid w:val="54096CEA"/>
    <w:rsid w:val="540F0507"/>
    <w:rsid w:val="54190401"/>
    <w:rsid w:val="546D38F8"/>
    <w:rsid w:val="549703F7"/>
    <w:rsid w:val="54C354BD"/>
    <w:rsid w:val="54EF1D54"/>
    <w:rsid w:val="550109EB"/>
    <w:rsid w:val="551744EA"/>
    <w:rsid w:val="551749A1"/>
    <w:rsid w:val="55302816"/>
    <w:rsid w:val="553F299B"/>
    <w:rsid w:val="554144BA"/>
    <w:rsid w:val="55494D0B"/>
    <w:rsid w:val="556A0A84"/>
    <w:rsid w:val="556D4337"/>
    <w:rsid w:val="55796A6E"/>
    <w:rsid w:val="55814627"/>
    <w:rsid w:val="559C4103"/>
    <w:rsid w:val="55AA3D91"/>
    <w:rsid w:val="55E64F51"/>
    <w:rsid w:val="55FD6117"/>
    <w:rsid w:val="56020A19"/>
    <w:rsid w:val="56124D39"/>
    <w:rsid w:val="561636DF"/>
    <w:rsid w:val="56181E34"/>
    <w:rsid w:val="56254D57"/>
    <w:rsid w:val="562A1040"/>
    <w:rsid w:val="56366290"/>
    <w:rsid w:val="567373DB"/>
    <w:rsid w:val="568B6C18"/>
    <w:rsid w:val="56AD772B"/>
    <w:rsid w:val="56B048FE"/>
    <w:rsid w:val="56B453CE"/>
    <w:rsid w:val="56C41727"/>
    <w:rsid w:val="56CB479C"/>
    <w:rsid w:val="56DC4392"/>
    <w:rsid w:val="57070C15"/>
    <w:rsid w:val="572E337B"/>
    <w:rsid w:val="5737293E"/>
    <w:rsid w:val="574C43DE"/>
    <w:rsid w:val="57903A45"/>
    <w:rsid w:val="57A045A4"/>
    <w:rsid w:val="57A132EA"/>
    <w:rsid w:val="57A948C6"/>
    <w:rsid w:val="57C7451B"/>
    <w:rsid w:val="57D65228"/>
    <w:rsid w:val="57E24E6D"/>
    <w:rsid w:val="57F84285"/>
    <w:rsid w:val="5813728B"/>
    <w:rsid w:val="58501DB1"/>
    <w:rsid w:val="585F65D8"/>
    <w:rsid w:val="589046A5"/>
    <w:rsid w:val="5898637D"/>
    <w:rsid w:val="58AA38A4"/>
    <w:rsid w:val="58D34226"/>
    <w:rsid w:val="59225513"/>
    <w:rsid w:val="59384AAD"/>
    <w:rsid w:val="595B0143"/>
    <w:rsid w:val="59897E96"/>
    <w:rsid w:val="59A17FCC"/>
    <w:rsid w:val="59A33182"/>
    <w:rsid w:val="59B44FF7"/>
    <w:rsid w:val="59E359A5"/>
    <w:rsid w:val="5A537462"/>
    <w:rsid w:val="5A6538C9"/>
    <w:rsid w:val="5A8C2C8F"/>
    <w:rsid w:val="5AA25907"/>
    <w:rsid w:val="5AA93B9C"/>
    <w:rsid w:val="5ABB7006"/>
    <w:rsid w:val="5AD64275"/>
    <w:rsid w:val="5AE511E6"/>
    <w:rsid w:val="5AED7FAD"/>
    <w:rsid w:val="5B0A787A"/>
    <w:rsid w:val="5B1A1276"/>
    <w:rsid w:val="5B2760AD"/>
    <w:rsid w:val="5B2F2893"/>
    <w:rsid w:val="5B442316"/>
    <w:rsid w:val="5B7B1438"/>
    <w:rsid w:val="5BA16563"/>
    <w:rsid w:val="5BE36BF5"/>
    <w:rsid w:val="5C000DE3"/>
    <w:rsid w:val="5C095C56"/>
    <w:rsid w:val="5C2641B3"/>
    <w:rsid w:val="5CB96042"/>
    <w:rsid w:val="5CC360A7"/>
    <w:rsid w:val="5CC44DA4"/>
    <w:rsid w:val="5CD264D8"/>
    <w:rsid w:val="5CF30DF5"/>
    <w:rsid w:val="5D1D2913"/>
    <w:rsid w:val="5D2A3F62"/>
    <w:rsid w:val="5D337F09"/>
    <w:rsid w:val="5D402818"/>
    <w:rsid w:val="5D94315C"/>
    <w:rsid w:val="5DAC322F"/>
    <w:rsid w:val="5DBB68F7"/>
    <w:rsid w:val="5DFA42C2"/>
    <w:rsid w:val="5E647818"/>
    <w:rsid w:val="5E763B4E"/>
    <w:rsid w:val="5E7B5030"/>
    <w:rsid w:val="5E812C2F"/>
    <w:rsid w:val="5E893FDC"/>
    <w:rsid w:val="5EB715FD"/>
    <w:rsid w:val="5EC7547E"/>
    <w:rsid w:val="5EED49DD"/>
    <w:rsid w:val="5EFB677C"/>
    <w:rsid w:val="5F284057"/>
    <w:rsid w:val="5F2B1409"/>
    <w:rsid w:val="5F673E40"/>
    <w:rsid w:val="5F884ADC"/>
    <w:rsid w:val="5FB366C3"/>
    <w:rsid w:val="5FB47EB2"/>
    <w:rsid w:val="5FCF5318"/>
    <w:rsid w:val="5FDD333C"/>
    <w:rsid w:val="6004305F"/>
    <w:rsid w:val="601754C3"/>
    <w:rsid w:val="60190D01"/>
    <w:rsid w:val="602B2D41"/>
    <w:rsid w:val="60A76C44"/>
    <w:rsid w:val="60D847A8"/>
    <w:rsid w:val="60F05CF5"/>
    <w:rsid w:val="610175F7"/>
    <w:rsid w:val="61062E54"/>
    <w:rsid w:val="610C1703"/>
    <w:rsid w:val="61206705"/>
    <w:rsid w:val="6142609F"/>
    <w:rsid w:val="6149226C"/>
    <w:rsid w:val="61617D08"/>
    <w:rsid w:val="617A059E"/>
    <w:rsid w:val="61A359AB"/>
    <w:rsid w:val="61AD5A7C"/>
    <w:rsid w:val="61B43512"/>
    <w:rsid w:val="61B5748C"/>
    <w:rsid w:val="61F60D71"/>
    <w:rsid w:val="627851F6"/>
    <w:rsid w:val="62C21AE2"/>
    <w:rsid w:val="62EC3B36"/>
    <w:rsid w:val="62EF6D8B"/>
    <w:rsid w:val="6305393F"/>
    <w:rsid w:val="6328604A"/>
    <w:rsid w:val="633D207A"/>
    <w:rsid w:val="636F3A8A"/>
    <w:rsid w:val="63767C26"/>
    <w:rsid w:val="639B1660"/>
    <w:rsid w:val="639F3A80"/>
    <w:rsid w:val="63A86BDE"/>
    <w:rsid w:val="64102317"/>
    <w:rsid w:val="64196C68"/>
    <w:rsid w:val="64573A42"/>
    <w:rsid w:val="646436A4"/>
    <w:rsid w:val="647F062E"/>
    <w:rsid w:val="649F14DE"/>
    <w:rsid w:val="64AB69F4"/>
    <w:rsid w:val="64B33903"/>
    <w:rsid w:val="64BE75E5"/>
    <w:rsid w:val="64D36736"/>
    <w:rsid w:val="64EC2CA8"/>
    <w:rsid w:val="65167017"/>
    <w:rsid w:val="65470C9A"/>
    <w:rsid w:val="654C651C"/>
    <w:rsid w:val="655E0C30"/>
    <w:rsid w:val="657E17B2"/>
    <w:rsid w:val="65990E60"/>
    <w:rsid w:val="659C092C"/>
    <w:rsid w:val="65A51429"/>
    <w:rsid w:val="65CA5B71"/>
    <w:rsid w:val="65D862C1"/>
    <w:rsid w:val="65F0121B"/>
    <w:rsid w:val="65F31FBB"/>
    <w:rsid w:val="66091DFB"/>
    <w:rsid w:val="660E7DF3"/>
    <w:rsid w:val="66424C18"/>
    <w:rsid w:val="667423E5"/>
    <w:rsid w:val="667461DC"/>
    <w:rsid w:val="66894C64"/>
    <w:rsid w:val="669C3832"/>
    <w:rsid w:val="66B02350"/>
    <w:rsid w:val="66C03715"/>
    <w:rsid w:val="66CF6829"/>
    <w:rsid w:val="66F60314"/>
    <w:rsid w:val="67191078"/>
    <w:rsid w:val="676A7141"/>
    <w:rsid w:val="67C84DC0"/>
    <w:rsid w:val="67D20840"/>
    <w:rsid w:val="67E51CB2"/>
    <w:rsid w:val="67EE4EA8"/>
    <w:rsid w:val="68072469"/>
    <w:rsid w:val="680D589A"/>
    <w:rsid w:val="68462A6E"/>
    <w:rsid w:val="68630527"/>
    <w:rsid w:val="686346D1"/>
    <w:rsid w:val="68983461"/>
    <w:rsid w:val="68B47DCA"/>
    <w:rsid w:val="68B74A5D"/>
    <w:rsid w:val="68F94C01"/>
    <w:rsid w:val="693E3594"/>
    <w:rsid w:val="694B1C2B"/>
    <w:rsid w:val="695673A9"/>
    <w:rsid w:val="697F233D"/>
    <w:rsid w:val="698618D8"/>
    <w:rsid w:val="69BE442E"/>
    <w:rsid w:val="6A682DD1"/>
    <w:rsid w:val="6A6E3404"/>
    <w:rsid w:val="6A7B3F92"/>
    <w:rsid w:val="6AA86278"/>
    <w:rsid w:val="6ABD6175"/>
    <w:rsid w:val="6AC233DC"/>
    <w:rsid w:val="6ACA0239"/>
    <w:rsid w:val="6ACA580E"/>
    <w:rsid w:val="6ACD77AE"/>
    <w:rsid w:val="6B1F5E79"/>
    <w:rsid w:val="6B431989"/>
    <w:rsid w:val="6B432C40"/>
    <w:rsid w:val="6B47361F"/>
    <w:rsid w:val="6B495068"/>
    <w:rsid w:val="6B4D78E6"/>
    <w:rsid w:val="6B7C01E9"/>
    <w:rsid w:val="6B7C112A"/>
    <w:rsid w:val="6B8007F9"/>
    <w:rsid w:val="6B9C461B"/>
    <w:rsid w:val="6BA850A2"/>
    <w:rsid w:val="6BB41F0F"/>
    <w:rsid w:val="6BC64587"/>
    <w:rsid w:val="6BF07A71"/>
    <w:rsid w:val="6BFF7822"/>
    <w:rsid w:val="6C09164D"/>
    <w:rsid w:val="6C2527C3"/>
    <w:rsid w:val="6C3D5FA0"/>
    <w:rsid w:val="6C531CB0"/>
    <w:rsid w:val="6C6A4AE5"/>
    <w:rsid w:val="6CA42740"/>
    <w:rsid w:val="6CC362F1"/>
    <w:rsid w:val="6CC56193"/>
    <w:rsid w:val="6CCD08ED"/>
    <w:rsid w:val="6CCF631B"/>
    <w:rsid w:val="6CD766D9"/>
    <w:rsid w:val="6D15344C"/>
    <w:rsid w:val="6D450812"/>
    <w:rsid w:val="6D4A69C9"/>
    <w:rsid w:val="6D931AAC"/>
    <w:rsid w:val="6D987B98"/>
    <w:rsid w:val="6D9C1C6D"/>
    <w:rsid w:val="6D9C2C3F"/>
    <w:rsid w:val="6D9F2289"/>
    <w:rsid w:val="6DC80189"/>
    <w:rsid w:val="6DD234B0"/>
    <w:rsid w:val="6DDA47FC"/>
    <w:rsid w:val="6DF37729"/>
    <w:rsid w:val="6DF54592"/>
    <w:rsid w:val="6E3826D5"/>
    <w:rsid w:val="6E427874"/>
    <w:rsid w:val="6E493498"/>
    <w:rsid w:val="6E5665A9"/>
    <w:rsid w:val="6E6C212D"/>
    <w:rsid w:val="6E734D48"/>
    <w:rsid w:val="6E7E0B9F"/>
    <w:rsid w:val="6E886E55"/>
    <w:rsid w:val="6E891587"/>
    <w:rsid w:val="6EA054C7"/>
    <w:rsid w:val="6EBF30B5"/>
    <w:rsid w:val="6ED50EAD"/>
    <w:rsid w:val="6EE17FF4"/>
    <w:rsid w:val="6EE379D4"/>
    <w:rsid w:val="6EE946C5"/>
    <w:rsid w:val="6F103FEE"/>
    <w:rsid w:val="6F2707B1"/>
    <w:rsid w:val="6F2E4042"/>
    <w:rsid w:val="6FB32FEB"/>
    <w:rsid w:val="6FC85E57"/>
    <w:rsid w:val="6FD35229"/>
    <w:rsid w:val="70081BF9"/>
    <w:rsid w:val="70227184"/>
    <w:rsid w:val="70377D35"/>
    <w:rsid w:val="70500918"/>
    <w:rsid w:val="705E5CE7"/>
    <w:rsid w:val="70817CB5"/>
    <w:rsid w:val="70AC6C8E"/>
    <w:rsid w:val="70B801C8"/>
    <w:rsid w:val="70E10814"/>
    <w:rsid w:val="70EF7475"/>
    <w:rsid w:val="710E6DC7"/>
    <w:rsid w:val="71167DF0"/>
    <w:rsid w:val="711B5C2F"/>
    <w:rsid w:val="71372159"/>
    <w:rsid w:val="714E4570"/>
    <w:rsid w:val="71537FBA"/>
    <w:rsid w:val="715867CE"/>
    <w:rsid w:val="7170650A"/>
    <w:rsid w:val="718F4BD2"/>
    <w:rsid w:val="71AE4A2B"/>
    <w:rsid w:val="71C40BE5"/>
    <w:rsid w:val="71DD2114"/>
    <w:rsid w:val="71E64873"/>
    <w:rsid w:val="720A37A4"/>
    <w:rsid w:val="72464ACE"/>
    <w:rsid w:val="724B4C64"/>
    <w:rsid w:val="726E2EE6"/>
    <w:rsid w:val="72706FD8"/>
    <w:rsid w:val="72A907E6"/>
    <w:rsid w:val="72AE42E3"/>
    <w:rsid w:val="72C22F53"/>
    <w:rsid w:val="72D417BF"/>
    <w:rsid w:val="731409B3"/>
    <w:rsid w:val="731F2077"/>
    <w:rsid w:val="7339611F"/>
    <w:rsid w:val="733D6D3F"/>
    <w:rsid w:val="735044EE"/>
    <w:rsid w:val="735A32F7"/>
    <w:rsid w:val="739A7D73"/>
    <w:rsid w:val="73A07372"/>
    <w:rsid w:val="73CF3FA9"/>
    <w:rsid w:val="73EB6096"/>
    <w:rsid w:val="73EF1BE8"/>
    <w:rsid w:val="73F6292C"/>
    <w:rsid w:val="73FD2CDB"/>
    <w:rsid w:val="741F75A2"/>
    <w:rsid w:val="74266827"/>
    <w:rsid w:val="744C7084"/>
    <w:rsid w:val="744F677A"/>
    <w:rsid w:val="74504CE3"/>
    <w:rsid w:val="74536E8F"/>
    <w:rsid w:val="74640B32"/>
    <w:rsid w:val="748B3EC7"/>
    <w:rsid w:val="74B30E82"/>
    <w:rsid w:val="74CC21AE"/>
    <w:rsid w:val="74DB0B55"/>
    <w:rsid w:val="750917E1"/>
    <w:rsid w:val="751B5CE0"/>
    <w:rsid w:val="7548376B"/>
    <w:rsid w:val="75492B10"/>
    <w:rsid w:val="759B78B9"/>
    <w:rsid w:val="759F2115"/>
    <w:rsid w:val="75B05D37"/>
    <w:rsid w:val="75BF6A14"/>
    <w:rsid w:val="75D461E7"/>
    <w:rsid w:val="75EB580D"/>
    <w:rsid w:val="761214D4"/>
    <w:rsid w:val="76296619"/>
    <w:rsid w:val="76431773"/>
    <w:rsid w:val="767C0F1F"/>
    <w:rsid w:val="76865A66"/>
    <w:rsid w:val="768D60AD"/>
    <w:rsid w:val="76A46053"/>
    <w:rsid w:val="76A50DE4"/>
    <w:rsid w:val="76CD7FF0"/>
    <w:rsid w:val="76FD77BE"/>
    <w:rsid w:val="77477558"/>
    <w:rsid w:val="77843214"/>
    <w:rsid w:val="77A23FDA"/>
    <w:rsid w:val="77D30C4F"/>
    <w:rsid w:val="77F13495"/>
    <w:rsid w:val="7822613A"/>
    <w:rsid w:val="7825311A"/>
    <w:rsid w:val="784E7A31"/>
    <w:rsid w:val="787A0C89"/>
    <w:rsid w:val="787D330A"/>
    <w:rsid w:val="78925CF2"/>
    <w:rsid w:val="78A80952"/>
    <w:rsid w:val="78CF230C"/>
    <w:rsid w:val="78D86E9D"/>
    <w:rsid w:val="790B2317"/>
    <w:rsid w:val="795450AA"/>
    <w:rsid w:val="79571231"/>
    <w:rsid w:val="79816E01"/>
    <w:rsid w:val="798C15CB"/>
    <w:rsid w:val="79A44420"/>
    <w:rsid w:val="79A94489"/>
    <w:rsid w:val="79B41898"/>
    <w:rsid w:val="79B65F65"/>
    <w:rsid w:val="79BB3A02"/>
    <w:rsid w:val="79BD362A"/>
    <w:rsid w:val="79C0191C"/>
    <w:rsid w:val="79C37F16"/>
    <w:rsid w:val="79CA1F78"/>
    <w:rsid w:val="79CD78A7"/>
    <w:rsid w:val="79D47FB8"/>
    <w:rsid w:val="79D724C9"/>
    <w:rsid w:val="7A026DB8"/>
    <w:rsid w:val="7A112E83"/>
    <w:rsid w:val="7A2D5B76"/>
    <w:rsid w:val="7A4C330E"/>
    <w:rsid w:val="7A4C39A0"/>
    <w:rsid w:val="7A6E220F"/>
    <w:rsid w:val="7AB66A57"/>
    <w:rsid w:val="7ACA4094"/>
    <w:rsid w:val="7ACD61B5"/>
    <w:rsid w:val="7AE32DB2"/>
    <w:rsid w:val="7AE80A93"/>
    <w:rsid w:val="7AF87886"/>
    <w:rsid w:val="7B101101"/>
    <w:rsid w:val="7B3E07D2"/>
    <w:rsid w:val="7B6E3414"/>
    <w:rsid w:val="7B7213D1"/>
    <w:rsid w:val="7B7C16EB"/>
    <w:rsid w:val="7BC6204D"/>
    <w:rsid w:val="7BD92376"/>
    <w:rsid w:val="7C383C6C"/>
    <w:rsid w:val="7C3E7EE5"/>
    <w:rsid w:val="7C406DF9"/>
    <w:rsid w:val="7C4165B6"/>
    <w:rsid w:val="7C7A4F21"/>
    <w:rsid w:val="7C916B38"/>
    <w:rsid w:val="7CE10310"/>
    <w:rsid w:val="7D030BB3"/>
    <w:rsid w:val="7D2738B8"/>
    <w:rsid w:val="7D441D47"/>
    <w:rsid w:val="7D6174DF"/>
    <w:rsid w:val="7D72325C"/>
    <w:rsid w:val="7D873901"/>
    <w:rsid w:val="7D957A4D"/>
    <w:rsid w:val="7DBC0F36"/>
    <w:rsid w:val="7E03029E"/>
    <w:rsid w:val="7E063776"/>
    <w:rsid w:val="7E111C61"/>
    <w:rsid w:val="7E2E5DB0"/>
    <w:rsid w:val="7E340B2A"/>
    <w:rsid w:val="7E346A11"/>
    <w:rsid w:val="7E42190C"/>
    <w:rsid w:val="7E454A8A"/>
    <w:rsid w:val="7E4C232A"/>
    <w:rsid w:val="7E4F5BD0"/>
    <w:rsid w:val="7E691F7C"/>
    <w:rsid w:val="7E7E089B"/>
    <w:rsid w:val="7EE5649F"/>
    <w:rsid w:val="7EEE4FA9"/>
    <w:rsid w:val="7EEE6D3B"/>
    <w:rsid w:val="7F033148"/>
    <w:rsid w:val="7F392754"/>
    <w:rsid w:val="7F4314C9"/>
    <w:rsid w:val="7F47795F"/>
    <w:rsid w:val="7F613ED4"/>
    <w:rsid w:val="7F6E2E38"/>
    <w:rsid w:val="7F7209B9"/>
    <w:rsid w:val="7F723663"/>
    <w:rsid w:val="7F8E22D2"/>
    <w:rsid w:val="7FAB3302"/>
    <w:rsid w:val="7FB65A15"/>
    <w:rsid w:val="7FCB4E23"/>
    <w:rsid w:val="7FE51B1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iPriority="99" w:semiHidden="0" w:name="Body Text Indent 3"/>
    <w:lsdException w:qFormat="1" w:uiPriority="99"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4"/>
    <w:next w:val="1"/>
    <w:link w:val="43"/>
    <w:autoRedefine/>
    <w:qFormat/>
    <w:uiPriority w:val="0"/>
    <w:pPr>
      <w:keepNext/>
      <w:outlineLvl w:val="1"/>
    </w:pPr>
    <w:rPr>
      <w:sz w:val="28"/>
    </w:rPr>
  </w:style>
  <w:style w:type="paragraph" w:styleId="5">
    <w:name w:val="heading 3"/>
    <w:basedOn w:val="1"/>
    <w:next w:val="1"/>
    <w:autoRedefine/>
    <w:qFormat/>
    <w:uiPriority w:val="0"/>
    <w:pPr>
      <w:keepNext/>
      <w:keepLines/>
      <w:spacing w:line="415" w:lineRule="auto"/>
      <w:outlineLvl w:val="2"/>
    </w:pPr>
    <w:rPr>
      <w:b/>
      <w:bCs/>
      <w:sz w:val="32"/>
      <w:szCs w:val="32"/>
    </w:rPr>
  </w:style>
  <w:style w:type="paragraph" w:styleId="6">
    <w:name w:val="heading 4"/>
    <w:basedOn w:val="1"/>
    <w:next w:val="1"/>
    <w:autoRedefine/>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autoRedefine/>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33">
    <w:name w:val="Default Paragraph Font"/>
    <w:autoRedefine/>
    <w:qFormat/>
    <w:uiPriority w:val="0"/>
  </w:style>
  <w:style w:type="table" w:default="1" w:styleId="31">
    <w:name w:val="Normal Table"/>
    <w:autoRedefine/>
    <w:unhideWhenUsed/>
    <w:qFormat/>
    <w:uiPriority w:val="99"/>
    <w:tblPr>
      <w:tblCellMar>
        <w:top w:w="0" w:type="dxa"/>
        <w:left w:w="108" w:type="dxa"/>
        <w:bottom w:w="0" w:type="dxa"/>
        <w:right w:w="108" w:type="dxa"/>
      </w:tblCellMar>
    </w:tblPr>
  </w:style>
  <w:style w:type="paragraph" w:styleId="4">
    <w:name w:val="Title"/>
    <w:basedOn w:val="1"/>
    <w:next w:val="1"/>
    <w:autoRedefine/>
    <w:qFormat/>
    <w:uiPriority w:val="1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8">
    <w:name w:val="toc 7"/>
    <w:basedOn w:val="1"/>
    <w:next w:val="1"/>
    <w:autoRedefine/>
    <w:unhideWhenUsed/>
    <w:qFormat/>
    <w:uiPriority w:val="39"/>
    <w:pPr>
      <w:ind w:left="2520" w:leftChars="1200"/>
    </w:pPr>
  </w:style>
  <w:style w:type="paragraph" w:styleId="9">
    <w:name w:val="Normal Indent"/>
    <w:basedOn w:val="1"/>
    <w:autoRedefine/>
    <w:unhideWhenUsed/>
    <w:qFormat/>
    <w:uiPriority w:val="99"/>
    <w:pPr>
      <w:adjustRightInd w:val="0"/>
      <w:spacing w:line="410" w:lineRule="atLeast"/>
      <w:ind w:firstLine="420"/>
      <w:jc w:val="left"/>
    </w:pPr>
    <w:rPr>
      <w:rFonts w:ascii="宋体"/>
      <w:kern w:val="0"/>
      <w:sz w:val="24"/>
      <w:szCs w:val="20"/>
    </w:rPr>
  </w:style>
  <w:style w:type="paragraph" w:styleId="10">
    <w:name w:val="annotation text"/>
    <w:basedOn w:val="1"/>
    <w:autoRedefine/>
    <w:unhideWhenUsed/>
    <w:qFormat/>
    <w:uiPriority w:val="99"/>
    <w:pPr>
      <w:jc w:val="left"/>
    </w:pPr>
  </w:style>
  <w:style w:type="paragraph" w:styleId="11">
    <w:name w:val="Body Text 3"/>
    <w:basedOn w:val="1"/>
    <w:autoRedefine/>
    <w:qFormat/>
    <w:uiPriority w:val="0"/>
    <w:pPr>
      <w:spacing w:after="120" w:afterLines="0"/>
    </w:pPr>
    <w:rPr>
      <w:kern w:val="2"/>
      <w:sz w:val="16"/>
      <w:szCs w:val="16"/>
    </w:rPr>
  </w:style>
  <w:style w:type="paragraph" w:styleId="12">
    <w:name w:val="Body Text"/>
    <w:basedOn w:val="1"/>
    <w:next w:val="1"/>
    <w:autoRedefine/>
    <w:qFormat/>
    <w:uiPriority w:val="0"/>
    <w:pPr>
      <w:spacing w:after="120"/>
    </w:pPr>
  </w:style>
  <w:style w:type="paragraph" w:styleId="13">
    <w:name w:val="Body Text Indent"/>
    <w:basedOn w:val="1"/>
    <w:autoRedefine/>
    <w:qFormat/>
    <w:uiPriority w:val="0"/>
    <w:pPr>
      <w:widowControl w:val="0"/>
      <w:adjustRightInd w:val="0"/>
      <w:spacing w:line="360" w:lineRule="auto"/>
      <w:ind w:firstLine="600"/>
    </w:pPr>
    <w:rPr>
      <w:sz w:val="28"/>
      <w:szCs w:val="28"/>
    </w:rPr>
  </w:style>
  <w:style w:type="paragraph" w:styleId="14">
    <w:name w:val="Block Text"/>
    <w:basedOn w:val="1"/>
    <w:autoRedefine/>
    <w:unhideWhenUsed/>
    <w:qFormat/>
    <w:uiPriority w:val="99"/>
    <w:pPr>
      <w:spacing w:after="120"/>
      <w:ind w:left="1440" w:leftChars="700" w:right="1440" w:rightChars="700"/>
    </w:pPr>
    <w:rPr>
      <w:szCs w:val="24"/>
    </w:rPr>
  </w:style>
  <w:style w:type="paragraph" w:styleId="15">
    <w:name w:val="toc 5"/>
    <w:basedOn w:val="1"/>
    <w:next w:val="1"/>
    <w:autoRedefine/>
    <w:unhideWhenUsed/>
    <w:qFormat/>
    <w:uiPriority w:val="39"/>
    <w:pPr>
      <w:ind w:left="1680" w:leftChars="800"/>
    </w:pPr>
  </w:style>
  <w:style w:type="paragraph" w:styleId="16">
    <w:name w:val="toc 3"/>
    <w:basedOn w:val="1"/>
    <w:next w:val="1"/>
    <w:autoRedefine/>
    <w:qFormat/>
    <w:uiPriority w:val="0"/>
    <w:pPr>
      <w:ind w:left="840" w:leftChars="400"/>
    </w:pPr>
  </w:style>
  <w:style w:type="paragraph" w:styleId="17">
    <w:name w:val="Plain Text"/>
    <w:basedOn w:val="1"/>
    <w:autoRedefine/>
    <w:qFormat/>
    <w:uiPriority w:val="0"/>
    <w:rPr>
      <w:rFonts w:ascii="Times New Roman"/>
      <w:kern w:val="2"/>
    </w:rPr>
  </w:style>
  <w:style w:type="paragraph" w:styleId="18">
    <w:name w:val="toc 8"/>
    <w:basedOn w:val="1"/>
    <w:next w:val="1"/>
    <w:autoRedefine/>
    <w:unhideWhenUsed/>
    <w:qFormat/>
    <w:uiPriority w:val="39"/>
    <w:pPr>
      <w:ind w:left="2940" w:leftChars="1400"/>
    </w:pPr>
  </w:style>
  <w:style w:type="paragraph" w:styleId="19">
    <w:name w:val="Date"/>
    <w:basedOn w:val="1"/>
    <w:next w:val="1"/>
    <w:autoRedefine/>
    <w:unhideWhenUsed/>
    <w:qFormat/>
    <w:uiPriority w:val="99"/>
    <w:pPr>
      <w:ind w:left="2500" w:leftChars="2500"/>
    </w:pPr>
    <w:rPr>
      <w:rFonts w:ascii="Times New Roman" w:hAnsi="Times New Roman"/>
      <w:szCs w:val="20"/>
    </w:rPr>
  </w:style>
  <w:style w:type="paragraph" w:styleId="20">
    <w:name w:val="footer"/>
    <w:basedOn w:val="1"/>
    <w:next w:val="21"/>
    <w:autoRedefine/>
    <w:qFormat/>
    <w:uiPriority w:val="0"/>
    <w:pPr>
      <w:tabs>
        <w:tab w:val="center" w:pos="4153"/>
        <w:tab w:val="right" w:pos="8306"/>
      </w:tabs>
      <w:snapToGrid w:val="0"/>
      <w:jc w:val="left"/>
    </w:pPr>
    <w:rPr>
      <w:sz w:val="18"/>
    </w:rPr>
  </w:style>
  <w:style w:type="paragraph" w:styleId="21">
    <w:name w:val="header"/>
    <w:basedOn w:val="1"/>
    <w:link w:val="42"/>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22">
    <w:name w:val="toc 1"/>
    <w:basedOn w:val="1"/>
    <w:next w:val="1"/>
    <w:autoRedefine/>
    <w:unhideWhenUsed/>
    <w:qFormat/>
    <w:uiPriority w:val="39"/>
  </w:style>
  <w:style w:type="paragraph" w:styleId="23">
    <w:name w:val="toc 4"/>
    <w:basedOn w:val="1"/>
    <w:next w:val="1"/>
    <w:autoRedefine/>
    <w:unhideWhenUsed/>
    <w:qFormat/>
    <w:uiPriority w:val="39"/>
    <w:pPr>
      <w:ind w:left="1260" w:leftChars="600"/>
    </w:pPr>
  </w:style>
  <w:style w:type="paragraph" w:styleId="24">
    <w:name w:val="toc 6"/>
    <w:basedOn w:val="1"/>
    <w:next w:val="1"/>
    <w:autoRedefine/>
    <w:unhideWhenUsed/>
    <w:qFormat/>
    <w:uiPriority w:val="39"/>
    <w:pPr>
      <w:ind w:left="2100" w:leftChars="1000"/>
    </w:pPr>
  </w:style>
  <w:style w:type="paragraph" w:styleId="25">
    <w:name w:val="Body Text Indent 3"/>
    <w:basedOn w:val="1"/>
    <w:autoRedefine/>
    <w:unhideWhenUsed/>
    <w:qFormat/>
    <w:uiPriority w:val="99"/>
    <w:pPr>
      <w:spacing w:after="120" w:afterLines="0"/>
      <w:ind w:left="420" w:leftChars="200"/>
    </w:pPr>
    <w:rPr>
      <w:sz w:val="16"/>
      <w:szCs w:val="16"/>
    </w:rPr>
  </w:style>
  <w:style w:type="paragraph" w:styleId="26">
    <w:name w:val="toc 2"/>
    <w:basedOn w:val="1"/>
    <w:next w:val="1"/>
    <w:autoRedefine/>
    <w:qFormat/>
    <w:uiPriority w:val="0"/>
    <w:pPr>
      <w:ind w:left="420" w:leftChars="200"/>
    </w:pPr>
  </w:style>
  <w:style w:type="paragraph" w:styleId="27">
    <w:name w:val="toc 9"/>
    <w:basedOn w:val="1"/>
    <w:next w:val="1"/>
    <w:autoRedefine/>
    <w:unhideWhenUsed/>
    <w:qFormat/>
    <w:uiPriority w:val="39"/>
    <w:pPr>
      <w:ind w:left="3360" w:leftChars="1600"/>
    </w:pPr>
  </w:style>
  <w:style w:type="paragraph" w:styleId="28">
    <w:name w:val="Normal (Web)"/>
    <w:basedOn w:val="1"/>
    <w:autoRedefine/>
    <w:unhideWhenUsed/>
    <w:qFormat/>
    <w:uiPriority w:val="99"/>
    <w:pPr>
      <w:spacing w:before="100" w:beforeLines="0" w:beforeAutospacing="1" w:after="100" w:afterLines="0" w:afterAutospacing="1"/>
      <w:ind w:left="0" w:right="0"/>
      <w:jc w:val="left"/>
    </w:pPr>
    <w:rPr>
      <w:kern w:val="0"/>
      <w:sz w:val="24"/>
      <w:szCs w:val="20"/>
      <w:lang w:val="en-US" w:eastAsia="zh-CN" w:bidi="ar-SA"/>
    </w:rPr>
  </w:style>
  <w:style w:type="paragraph" w:styleId="29">
    <w:name w:val="Body Text First Indent"/>
    <w:basedOn w:val="12"/>
    <w:next w:val="1"/>
    <w:autoRedefine/>
    <w:qFormat/>
    <w:uiPriority w:val="0"/>
    <w:pPr>
      <w:tabs>
        <w:tab w:val="left" w:pos="720"/>
      </w:tabs>
      <w:adjustRightInd w:val="0"/>
      <w:spacing w:line="410" w:lineRule="atLeast"/>
      <w:ind w:firstLine="420" w:firstLineChars="100"/>
      <w:jc w:val="left"/>
      <w:textAlignment w:val="baseline"/>
    </w:pPr>
    <w:rPr>
      <w:rFonts w:ascii="宋体" w:hAnsi="宋体"/>
      <w:color w:val="000000"/>
      <w:kern w:val="0"/>
      <w:szCs w:val="20"/>
    </w:rPr>
  </w:style>
  <w:style w:type="paragraph" w:styleId="30">
    <w:name w:val="Body Text First Indent 2"/>
    <w:basedOn w:val="13"/>
    <w:autoRedefine/>
    <w:qFormat/>
    <w:uiPriority w:val="99"/>
    <w:pPr>
      <w:tabs>
        <w:tab w:val="left" w:pos="1218"/>
        <w:tab w:val="left" w:pos="3544"/>
      </w:tabs>
      <w:ind w:firstLine="420" w:firstLineChars="200"/>
    </w:pPr>
    <w:rPr>
      <w:rFonts w:ascii="Times New Roman"/>
      <w:szCs w:val="24"/>
    </w:rPr>
  </w:style>
  <w:style w:type="table" w:styleId="32">
    <w:name w:val="Table Grid"/>
    <w:basedOn w:val="31"/>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0"/>
    <w:rPr>
      <w:b/>
    </w:rPr>
  </w:style>
  <w:style w:type="character" w:styleId="35">
    <w:name w:val="page number"/>
    <w:basedOn w:val="33"/>
    <w:autoRedefine/>
    <w:unhideWhenUsed/>
    <w:qFormat/>
    <w:uiPriority w:val="99"/>
  </w:style>
  <w:style w:type="character" w:styleId="36">
    <w:name w:val="FollowedHyperlink"/>
    <w:basedOn w:val="33"/>
    <w:autoRedefine/>
    <w:unhideWhenUsed/>
    <w:qFormat/>
    <w:uiPriority w:val="99"/>
    <w:rPr>
      <w:color w:val="1D6B6B"/>
      <w:u w:val="none"/>
    </w:rPr>
  </w:style>
  <w:style w:type="character" w:styleId="37">
    <w:name w:val="HTML Definition"/>
    <w:basedOn w:val="33"/>
    <w:autoRedefine/>
    <w:unhideWhenUsed/>
    <w:qFormat/>
    <w:uiPriority w:val="99"/>
  </w:style>
  <w:style w:type="character" w:styleId="38">
    <w:name w:val="HTML Variable"/>
    <w:basedOn w:val="33"/>
    <w:autoRedefine/>
    <w:unhideWhenUsed/>
    <w:qFormat/>
    <w:uiPriority w:val="99"/>
  </w:style>
  <w:style w:type="character" w:styleId="39">
    <w:name w:val="Hyperlink"/>
    <w:autoRedefine/>
    <w:unhideWhenUsed/>
    <w:qFormat/>
    <w:uiPriority w:val="99"/>
    <w:rPr>
      <w:color w:val="0563C1"/>
      <w:u w:val="single"/>
    </w:rPr>
  </w:style>
  <w:style w:type="character" w:styleId="40">
    <w:name w:val="HTML Code"/>
    <w:basedOn w:val="33"/>
    <w:autoRedefine/>
    <w:unhideWhenUsed/>
    <w:qFormat/>
    <w:uiPriority w:val="99"/>
    <w:rPr>
      <w:rFonts w:ascii="微软雅黑" w:hAnsi="微软雅黑" w:eastAsia="微软雅黑" w:cs="微软雅黑"/>
      <w:sz w:val="20"/>
    </w:rPr>
  </w:style>
  <w:style w:type="character" w:styleId="41">
    <w:name w:val="HTML Cite"/>
    <w:basedOn w:val="33"/>
    <w:autoRedefine/>
    <w:unhideWhenUsed/>
    <w:qFormat/>
    <w:uiPriority w:val="99"/>
  </w:style>
  <w:style w:type="character" w:customStyle="1" w:styleId="42">
    <w:name w:val="页眉 Char"/>
    <w:link w:val="21"/>
    <w:autoRedefine/>
    <w:qFormat/>
    <w:uiPriority w:val="0"/>
    <w:rPr>
      <w:kern w:val="2"/>
      <w:sz w:val="18"/>
    </w:rPr>
  </w:style>
  <w:style w:type="character" w:customStyle="1" w:styleId="43">
    <w:name w:val="标题 2 Char"/>
    <w:link w:val="3"/>
    <w:autoRedefine/>
    <w:qFormat/>
    <w:uiPriority w:val="0"/>
    <w:rPr>
      <w:b/>
      <w:sz w:val="28"/>
    </w:rPr>
  </w:style>
  <w:style w:type="character" w:customStyle="1" w:styleId="44">
    <w:name w:val="ico1655"/>
    <w:basedOn w:val="33"/>
    <w:autoRedefine/>
    <w:qFormat/>
    <w:uiPriority w:val="0"/>
  </w:style>
  <w:style w:type="character" w:customStyle="1" w:styleId="45">
    <w:name w:val="active5"/>
    <w:basedOn w:val="33"/>
    <w:autoRedefine/>
    <w:qFormat/>
    <w:uiPriority w:val="0"/>
    <w:rPr>
      <w:color w:val="FFFFFF"/>
      <w:shd w:val="clear" w:color="auto" w:fill="6EABB1"/>
    </w:rPr>
  </w:style>
  <w:style w:type="character" w:customStyle="1" w:styleId="46">
    <w:name w:val="time_overtime"/>
    <w:basedOn w:val="33"/>
    <w:autoRedefine/>
    <w:qFormat/>
    <w:uiPriority w:val="0"/>
  </w:style>
  <w:style w:type="character" w:customStyle="1" w:styleId="47">
    <w:name w:val="ico1654"/>
    <w:basedOn w:val="33"/>
    <w:autoRedefine/>
    <w:qFormat/>
    <w:uiPriority w:val="0"/>
  </w:style>
  <w:style w:type="character" w:customStyle="1" w:styleId="48">
    <w:name w:val="portal_setico1"/>
    <w:basedOn w:val="33"/>
    <w:autoRedefine/>
    <w:qFormat/>
    <w:uiPriority w:val="0"/>
  </w:style>
  <w:style w:type="character" w:customStyle="1" w:styleId="49">
    <w:name w:val="icontext1"/>
    <w:basedOn w:val="33"/>
    <w:autoRedefine/>
    <w:qFormat/>
    <w:uiPriority w:val="0"/>
  </w:style>
  <w:style w:type="character" w:customStyle="1" w:styleId="50">
    <w:name w:val="enddate"/>
    <w:basedOn w:val="33"/>
    <w:autoRedefine/>
    <w:qFormat/>
    <w:uiPriority w:val="0"/>
  </w:style>
  <w:style w:type="character" w:customStyle="1" w:styleId="51">
    <w:name w:val="time_logo"/>
    <w:basedOn w:val="33"/>
    <w:autoRedefine/>
    <w:qFormat/>
    <w:uiPriority w:val="0"/>
  </w:style>
  <w:style w:type="character" w:customStyle="1" w:styleId="52">
    <w:name w:val="pagechatarealistclose_box1"/>
    <w:basedOn w:val="33"/>
    <w:autoRedefine/>
    <w:qFormat/>
    <w:uiPriority w:val="0"/>
  </w:style>
  <w:style w:type="character" w:customStyle="1" w:styleId="53">
    <w:name w:val="createdate"/>
    <w:basedOn w:val="33"/>
    <w:autoRedefine/>
    <w:qFormat/>
    <w:uiPriority w:val="0"/>
    <w:rPr>
      <w:color w:val="6A8386"/>
    </w:rPr>
  </w:style>
  <w:style w:type="character" w:customStyle="1" w:styleId="54">
    <w:name w:val="select"/>
    <w:basedOn w:val="33"/>
    <w:autoRedefine/>
    <w:qFormat/>
    <w:uiPriority w:val="0"/>
  </w:style>
  <w:style w:type="character" w:customStyle="1" w:styleId="55">
    <w:name w:val="iconline2"/>
    <w:basedOn w:val="33"/>
    <w:autoRedefine/>
    <w:qFormat/>
    <w:uiPriority w:val="0"/>
  </w:style>
  <w:style w:type="character" w:customStyle="1" w:styleId="56">
    <w:name w:val="edit_type"/>
    <w:basedOn w:val="33"/>
    <w:autoRedefine/>
    <w:qFormat/>
    <w:uiPriority w:val="0"/>
  </w:style>
  <w:style w:type="character" w:customStyle="1" w:styleId="57">
    <w:name w:val="close2"/>
    <w:basedOn w:val="33"/>
    <w:autoRedefine/>
    <w:qFormat/>
    <w:uiPriority w:val="0"/>
  </w:style>
  <w:style w:type="character" w:customStyle="1" w:styleId="58">
    <w:name w:val="up"/>
    <w:basedOn w:val="33"/>
    <w:autoRedefine/>
    <w:qFormat/>
    <w:uiPriority w:val="0"/>
  </w:style>
  <w:style w:type="character" w:customStyle="1" w:styleId="59">
    <w:name w:val="advanced_item"/>
    <w:basedOn w:val="33"/>
    <w:autoRedefine/>
    <w:qFormat/>
    <w:uiPriority w:val="0"/>
  </w:style>
  <w:style w:type="character" w:customStyle="1" w:styleId="60">
    <w:name w:val="del"/>
    <w:basedOn w:val="33"/>
    <w:autoRedefine/>
    <w:qFormat/>
    <w:uiPriority w:val="0"/>
  </w:style>
  <w:style w:type="character" w:customStyle="1" w:styleId="61">
    <w:name w:val="infomation"/>
    <w:basedOn w:val="33"/>
    <w:autoRedefine/>
    <w:qFormat/>
    <w:uiPriority w:val="0"/>
  </w:style>
  <w:style w:type="character" w:customStyle="1" w:styleId="62">
    <w:name w:val="sender"/>
    <w:basedOn w:val="33"/>
    <w:autoRedefine/>
    <w:qFormat/>
    <w:uiPriority w:val="0"/>
  </w:style>
  <w:style w:type="character" w:customStyle="1" w:styleId="63">
    <w:name w:val="left"/>
    <w:basedOn w:val="33"/>
    <w:autoRedefine/>
    <w:qFormat/>
    <w:uiPriority w:val="0"/>
  </w:style>
  <w:style w:type="character" w:customStyle="1" w:styleId="64">
    <w:name w:val="time"/>
    <w:basedOn w:val="33"/>
    <w:autoRedefine/>
    <w:qFormat/>
    <w:uiPriority w:val="0"/>
  </w:style>
  <w:style w:type="character" w:customStyle="1" w:styleId="65">
    <w:name w:val="hover19"/>
    <w:basedOn w:val="33"/>
    <w:autoRedefine/>
    <w:qFormat/>
    <w:uiPriority w:val="0"/>
    <w:rPr>
      <w:color w:val="1B57B9"/>
    </w:rPr>
  </w:style>
  <w:style w:type="character" w:customStyle="1" w:styleId="66">
    <w:name w:val="icontext3"/>
    <w:basedOn w:val="33"/>
    <w:autoRedefine/>
    <w:qFormat/>
    <w:uiPriority w:val="0"/>
  </w:style>
  <w:style w:type="character" w:customStyle="1" w:styleId="67">
    <w:name w:val="hover36"/>
    <w:basedOn w:val="33"/>
    <w:autoRedefine/>
    <w:qFormat/>
    <w:uiPriority w:val="0"/>
    <w:rPr>
      <w:color w:val="FFFFFF"/>
    </w:rPr>
  </w:style>
  <w:style w:type="character" w:customStyle="1" w:styleId="68">
    <w:name w:val="name"/>
    <w:basedOn w:val="33"/>
    <w:autoRedefine/>
    <w:qFormat/>
    <w:uiPriority w:val="0"/>
  </w:style>
  <w:style w:type="character" w:customStyle="1" w:styleId="69">
    <w:name w:val="down"/>
    <w:basedOn w:val="33"/>
    <w:autoRedefine/>
    <w:qFormat/>
    <w:uiPriority w:val="0"/>
  </w:style>
  <w:style w:type="character" w:customStyle="1" w:styleId="70">
    <w:name w:val="no_background"/>
    <w:basedOn w:val="33"/>
    <w:autoRedefine/>
    <w:qFormat/>
    <w:uiPriority w:val="0"/>
  </w:style>
  <w:style w:type="character" w:customStyle="1" w:styleId="71">
    <w:name w:val="ico_system"/>
    <w:basedOn w:val="33"/>
    <w:autoRedefine/>
    <w:qFormat/>
    <w:uiPriority w:val="0"/>
  </w:style>
  <w:style w:type="character" w:customStyle="1" w:styleId="72">
    <w:name w:val="urgent"/>
    <w:basedOn w:val="33"/>
    <w:autoRedefine/>
    <w:qFormat/>
    <w:uiPriority w:val="0"/>
    <w:rPr>
      <w:color w:val="000000"/>
    </w:rPr>
  </w:style>
  <w:style w:type="character" w:customStyle="1" w:styleId="73">
    <w:name w:val="cy"/>
    <w:basedOn w:val="33"/>
    <w:autoRedefine/>
    <w:qFormat/>
    <w:uiPriority w:val="0"/>
  </w:style>
  <w:style w:type="character" w:customStyle="1" w:styleId="74">
    <w:name w:val="cdropleft"/>
    <w:basedOn w:val="33"/>
    <w:autoRedefine/>
    <w:qFormat/>
    <w:uiPriority w:val="0"/>
  </w:style>
  <w:style w:type="character" w:customStyle="1" w:styleId="75">
    <w:name w:val="hilite"/>
    <w:basedOn w:val="33"/>
    <w:autoRedefine/>
    <w:qFormat/>
    <w:uiPriority w:val="0"/>
    <w:rPr>
      <w:color w:val="FFFFFF"/>
      <w:shd w:val="clear" w:color="auto" w:fill="666666"/>
    </w:rPr>
  </w:style>
  <w:style w:type="character" w:customStyle="1" w:styleId="76">
    <w:name w:val="iconline21"/>
    <w:basedOn w:val="33"/>
    <w:autoRedefine/>
    <w:qFormat/>
    <w:uiPriority w:val="0"/>
  </w:style>
  <w:style w:type="character" w:customStyle="1" w:styleId="77">
    <w:name w:val="active7"/>
    <w:basedOn w:val="33"/>
    <w:autoRedefine/>
    <w:qFormat/>
    <w:uiPriority w:val="0"/>
  </w:style>
  <w:style w:type="character" w:customStyle="1" w:styleId="78">
    <w:name w:val="cdropright"/>
    <w:basedOn w:val="33"/>
    <w:autoRedefine/>
    <w:qFormat/>
    <w:uiPriority w:val="0"/>
  </w:style>
  <w:style w:type="character" w:customStyle="1" w:styleId="79">
    <w:name w:val="hover41"/>
    <w:basedOn w:val="33"/>
    <w:autoRedefine/>
    <w:qFormat/>
    <w:uiPriority w:val="0"/>
    <w:rPr>
      <w:color w:val="FFFFFF"/>
    </w:rPr>
  </w:style>
  <w:style w:type="character" w:customStyle="1" w:styleId="80">
    <w:name w:val="owner"/>
    <w:basedOn w:val="33"/>
    <w:autoRedefine/>
    <w:qFormat/>
    <w:uiPriority w:val="0"/>
  </w:style>
  <w:style w:type="character" w:customStyle="1" w:styleId="81">
    <w:name w:val="button4"/>
    <w:basedOn w:val="33"/>
    <w:autoRedefine/>
    <w:qFormat/>
    <w:uiPriority w:val="0"/>
  </w:style>
  <w:style w:type="character" w:customStyle="1" w:styleId="82">
    <w:name w:val="placeholder"/>
    <w:basedOn w:val="33"/>
    <w:autoRedefine/>
    <w:qFormat/>
    <w:uiPriority w:val="0"/>
  </w:style>
  <w:style w:type="character" w:customStyle="1" w:styleId="83">
    <w:name w:val="w32"/>
    <w:basedOn w:val="33"/>
    <w:autoRedefine/>
    <w:qFormat/>
    <w:uiPriority w:val="0"/>
  </w:style>
  <w:style w:type="character" w:customStyle="1" w:styleId="84">
    <w:name w:val="icontext12"/>
    <w:basedOn w:val="33"/>
    <w:autoRedefine/>
    <w:qFormat/>
    <w:uiPriority w:val="0"/>
  </w:style>
  <w:style w:type="character" w:customStyle="1" w:styleId="85">
    <w:name w:val="fc-event-bg"/>
    <w:basedOn w:val="33"/>
    <w:autoRedefine/>
    <w:qFormat/>
    <w:uiPriority w:val="0"/>
    <w:rPr>
      <w:shd w:val="clear" w:color="auto" w:fill="FFFFFF"/>
    </w:rPr>
  </w:style>
  <w:style w:type="character" w:customStyle="1" w:styleId="86">
    <w:name w:val="remind"/>
    <w:basedOn w:val="33"/>
    <w:autoRedefine/>
    <w:qFormat/>
    <w:uiPriority w:val="0"/>
  </w:style>
  <w:style w:type="character" w:customStyle="1" w:styleId="87">
    <w:name w:val="type"/>
    <w:basedOn w:val="33"/>
    <w:autoRedefine/>
    <w:qFormat/>
    <w:uiPriority w:val="0"/>
  </w:style>
  <w:style w:type="character" w:customStyle="1" w:styleId="88">
    <w:name w:val="xdrichtextbox"/>
    <w:basedOn w:val="33"/>
    <w:autoRedefine/>
    <w:qFormat/>
    <w:uiPriority w:val="0"/>
    <w:rPr>
      <w:color w:val="auto"/>
      <w:sz w:val="18"/>
      <w:szCs w:val="18"/>
      <w:u w:val="none"/>
      <w:bdr w:val="single" w:color="DCDCDC" w:sz="8" w:space="0"/>
      <w:shd w:val="clear" w:color="auto" w:fill="auto"/>
    </w:rPr>
  </w:style>
  <w:style w:type="character" w:customStyle="1" w:styleId="89">
    <w:name w:val="mid"/>
    <w:basedOn w:val="33"/>
    <w:autoRedefine/>
    <w:qFormat/>
    <w:uiPriority w:val="0"/>
  </w:style>
  <w:style w:type="character" w:customStyle="1" w:styleId="90">
    <w:name w:val="state"/>
    <w:basedOn w:val="33"/>
    <w:autoRedefine/>
    <w:qFormat/>
    <w:uiPriority w:val="0"/>
  </w:style>
  <w:style w:type="character" w:customStyle="1" w:styleId="91">
    <w:name w:val="ico_open"/>
    <w:basedOn w:val="33"/>
    <w:autoRedefine/>
    <w:qFormat/>
    <w:uiPriority w:val="0"/>
  </w:style>
  <w:style w:type="character" w:customStyle="1" w:styleId="92">
    <w:name w:val="close"/>
    <w:basedOn w:val="33"/>
    <w:autoRedefine/>
    <w:qFormat/>
    <w:uiPriority w:val="0"/>
  </w:style>
  <w:style w:type="character" w:customStyle="1" w:styleId="93">
    <w:name w:val="sort"/>
    <w:basedOn w:val="33"/>
    <w:autoRedefine/>
    <w:qFormat/>
    <w:uiPriority w:val="0"/>
    <w:rPr>
      <w:bdr w:val="single" w:color="D3E8DF" w:sz="6" w:space="0"/>
    </w:rPr>
  </w:style>
  <w:style w:type="character" w:customStyle="1" w:styleId="94">
    <w:name w:val="print"/>
    <w:basedOn w:val="33"/>
    <w:autoRedefine/>
    <w:qFormat/>
    <w:uiPriority w:val="0"/>
  </w:style>
  <w:style w:type="character" w:customStyle="1" w:styleId="95">
    <w:name w:val="close3"/>
    <w:basedOn w:val="33"/>
    <w:autoRedefine/>
    <w:qFormat/>
    <w:uiPriority w:val="0"/>
    <w:rPr>
      <w:vanish/>
    </w:rPr>
  </w:style>
  <w:style w:type="character" w:customStyle="1" w:styleId="96">
    <w:name w:val="fc-event-title"/>
    <w:basedOn w:val="33"/>
    <w:autoRedefine/>
    <w:qFormat/>
    <w:uiPriority w:val="0"/>
  </w:style>
  <w:style w:type="character" w:customStyle="1" w:styleId="97">
    <w:name w:val="ico_open1"/>
    <w:basedOn w:val="33"/>
    <w:autoRedefine/>
    <w:qFormat/>
    <w:uiPriority w:val="0"/>
  </w:style>
  <w:style w:type="character" w:customStyle="1" w:styleId="98">
    <w:name w:val="ui_title_wrap_title"/>
    <w:basedOn w:val="33"/>
    <w:autoRedefine/>
    <w:qFormat/>
    <w:uiPriority w:val="0"/>
  </w:style>
  <w:style w:type="character" w:customStyle="1" w:styleId="99">
    <w:name w:val="button"/>
    <w:basedOn w:val="33"/>
    <w:autoRedefine/>
    <w:qFormat/>
    <w:uiPriority w:val="0"/>
  </w:style>
  <w:style w:type="character" w:customStyle="1" w:styleId="100">
    <w:name w:val="after"/>
    <w:basedOn w:val="33"/>
    <w:autoRedefine/>
    <w:qFormat/>
    <w:uiPriority w:val="0"/>
    <w:rPr>
      <w:sz w:val="16"/>
      <w:szCs w:val="0"/>
    </w:rPr>
  </w:style>
  <w:style w:type="character" w:customStyle="1" w:styleId="101">
    <w:name w:val="close1"/>
    <w:basedOn w:val="33"/>
    <w:autoRedefine/>
    <w:qFormat/>
    <w:uiPriority w:val="0"/>
  </w:style>
  <w:style w:type="character" w:customStyle="1" w:styleId="102">
    <w:name w:val="icontext11"/>
    <w:basedOn w:val="33"/>
    <w:autoRedefine/>
    <w:qFormat/>
    <w:uiPriority w:val="0"/>
  </w:style>
  <w:style w:type="character" w:customStyle="1" w:styleId="103">
    <w:name w:val="common"/>
    <w:basedOn w:val="33"/>
    <w:autoRedefine/>
    <w:qFormat/>
    <w:uiPriority w:val="0"/>
  </w:style>
  <w:style w:type="character" w:customStyle="1" w:styleId="104">
    <w:name w:val="publisher"/>
    <w:basedOn w:val="33"/>
    <w:autoRedefine/>
    <w:qFormat/>
    <w:uiPriority w:val="0"/>
  </w:style>
  <w:style w:type="character" w:customStyle="1" w:styleId="105">
    <w:name w:val="ico_fold2"/>
    <w:basedOn w:val="33"/>
    <w:autoRedefine/>
    <w:qFormat/>
    <w:uiPriority w:val="0"/>
  </w:style>
  <w:style w:type="character" w:customStyle="1" w:styleId="106">
    <w:name w:val="browse_class&gt;span"/>
    <w:basedOn w:val="33"/>
    <w:autoRedefine/>
    <w:qFormat/>
    <w:uiPriority w:val="0"/>
  </w:style>
  <w:style w:type="character" w:customStyle="1" w:styleId="107">
    <w:name w:val="addresses_group2"/>
    <w:basedOn w:val="33"/>
    <w:autoRedefine/>
    <w:qFormat/>
    <w:uiPriority w:val="0"/>
  </w:style>
  <w:style w:type="character" w:customStyle="1" w:styleId="108">
    <w:name w:val="addaffix"/>
    <w:basedOn w:val="33"/>
    <w:autoRedefine/>
    <w:qFormat/>
    <w:uiPriority w:val="0"/>
  </w:style>
  <w:style w:type="character" w:customStyle="1" w:styleId="109">
    <w:name w:val="icontext2"/>
    <w:basedOn w:val="33"/>
    <w:autoRedefine/>
    <w:qFormat/>
    <w:uiPriority w:val="0"/>
  </w:style>
  <w:style w:type="character" w:customStyle="1" w:styleId="110">
    <w:name w:val="score2"/>
    <w:basedOn w:val="33"/>
    <w:autoRedefine/>
    <w:qFormat/>
    <w:uiPriority w:val="0"/>
  </w:style>
  <w:style w:type="character" w:customStyle="1" w:styleId="111">
    <w:name w:val="refresh"/>
    <w:basedOn w:val="33"/>
    <w:autoRedefine/>
    <w:qFormat/>
    <w:uiPriority w:val="0"/>
  </w:style>
  <w:style w:type="character" w:customStyle="1" w:styleId="112">
    <w:name w:val="drapbtn"/>
    <w:basedOn w:val="33"/>
    <w:autoRedefine/>
    <w:qFormat/>
    <w:uiPriority w:val="0"/>
  </w:style>
  <w:style w:type="character" w:customStyle="1" w:styleId="113">
    <w:name w:val="xdrichtextbox2"/>
    <w:basedOn w:val="33"/>
    <w:autoRedefine/>
    <w:qFormat/>
    <w:uiPriority w:val="0"/>
  </w:style>
  <w:style w:type="character" w:customStyle="1" w:styleId="114">
    <w:name w:val="share"/>
    <w:basedOn w:val="33"/>
    <w:autoRedefine/>
    <w:qFormat/>
    <w:uiPriority w:val="0"/>
  </w:style>
  <w:style w:type="character" w:customStyle="1" w:styleId="115">
    <w:name w:val="creater"/>
    <w:basedOn w:val="33"/>
    <w:autoRedefine/>
    <w:qFormat/>
    <w:uiPriority w:val="0"/>
  </w:style>
  <w:style w:type="character" w:customStyle="1" w:styleId="116">
    <w:name w:val="biggerthanmax"/>
    <w:basedOn w:val="33"/>
    <w:autoRedefine/>
    <w:qFormat/>
    <w:uiPriority w:val="0"/>
    <w:rPr>
      <w:shd w:val="clear" w:color="auto" w:fill="FFFF00"/>
    </w:rPr>
  </w:style>
  <w:style w:type="character" w:customStyle="1" w:styleId="117">
    <w:name w:val="tmpztreemove_arrow"/>
    <w:basedOn w:val="33"/>
    <w:autoRedefine/>
    <w:qFormat/>
    <w:uiPriority w:val="0"/>
  </w:style>
  <w:style w:type="character" w:customStyle="1" w:styleId="118">
    <w:name w:val="pagechatarealistclose_box"/>
    <w:basedOn w:val="33"/>
    <w:autoRedefine/>
    <w:qFormat/>
    <w:uiPriority w:val="0"/>
  </w:style>
  <w:style w:type="character" w:customStyle="1" w:styleId="119">
    <w:name w:val="hover21"/>
    <w:basedOn w:val="33"/>
    <w:autoRedefine/>
    <w:qFormat/>
    <w:uiPriority w:val="0"/>
  </w:style>
  <w:style w:type="character" w:customStyle="1" w:styleId="120">
    <w:name w:val="time_select4"/>
    <w:basedOn w:val="33"/>
    <w:autoRedefine/>
    <w:qFormat/>
    <w:uiPriority w:val="0"/>
  </w:style>
  <w:style w:type="character" w:customStyle="1" w:styleId="121">
    <w:name w:val="fold_open"/>
    <w:basedOn w:val="33"/>
    <w:autoRedefine/>
    <w:qFormat/>
    <w:uiPriority w:val="0"/>
  </w:style>
  <w:style w:type="character" w:customStyle="1" w:styleId="122">
    <w:name w:val="unselect"/>
    <w:basedOn w:val="33"/>
    <w:autoRedefine/>
    <w:qFormat/>
    <w:uiPriority w:val="0"/>
  </w:style>
  <w:style w:type="character" w:customStyle="1" w:styleId="123">
    <w:name w:val="person"/>
    <w:basedOn w:val="33"/>
    <w:autoRedefine/>
    <w:qFormat/>
    <w:uiPriority w:val="0"/>
  </w:style>
  <w:style w:type="character" w:customStyle="1" w:styleId="124">
    <w:name w:val="setmenu"/>
    <w:basedOn w:val="33"/>
    <w:autoRedefine/>
    <w:qFormat/>
    <w:uiPriority w:val="0"/>
  </w:style>
  <w:style w:type="character" w:customStyle="1" w:styleId="125">
    <w:name w:val="hover20"/>
    <w:basedOn w:val="33"/>
    <w:autoRedefine/>
    <w:qFormat/>
    <w:uiPriority w:val="0"/>
  </w:style>
  <w:style w:type="character" w:customStyle="1" w:styleId="126">
    <w:name w:val="choosename"/>
    <w:basedOn w:val="33"/>
    <w:autoRedefine/>
    <w:qFormat/>
    <w:uiPriority w:val="0"/>
  </w:style>
  <w:style w:type="character" w:customStyle="1" w:styleId="127">
    <w:name w:val="design_class"/>
    <w:basedOn w:val="33"/>
    <w:autoRedefine/>
    <w:qFormat/>
    <w:uiPriority w:val="0"/>
  </w:style>
  <w:style w:type="character" w:customStyle="1" w:styleId="128">
    <w:name w:val="startdate"/>
    <w:basedOn w:val="33"/>
    <w:autoRedefine/>
    <w:qFormat/>
    <w:uiPriority w:val="0"/>
  </w:style>
  <w:style w:type="character" w:customStyle="1" w:styleId="129">
    <w:name w:val="setlist_ico"/>
    <w:basedOn w:val="33"/>
    <w:autoRedefine/>
    <w:qFormat/>
    <w:uiPriority w:val="0"/>
  </w:style>
  <w:style w:type="character" w:customStyle="1" w:styleId="130">
    <w:name w:val="form"/>
    <w:basedOn w:val="33"/>
    <w:autoRedefine/>
    <w:qFormat/>
    <w:uiPriority w:val="0"/>
  </w:style>
  <w:style w:type="character" w:customStyle="1" w:styleId="131">
    <w:name w:val="associateddata"/>
    <w:basedOn w:val="33"/>
    <w:autoRedefine/>
    <w:qFormat/>
    <w:uiPriority w:val="0"/>
    <w:rPr>
      <w:shd w:val="clear" w:color="auto" w:fill="50A6F9"/>
    </w:rPr>
  </w:style>
  <w:style w:type="character" w:customStyle="1" w:styleId="132">
    <w:name w:val="hover18"/>
    <w:basedOn w:val="33"/>
    <w:autoRedefine/>
    <w:qFormat/>
    <w:uiPriority w:val="0"/>
  </w:style>
  <w:style w:type="character" w:customStyle="1" w:styleId="133">
    <w:name w:val="scope"/>
    <w:basedOn w:val="33"/>
    <w:autoRedefine/>
    <w:qFormat/>
    <w:uiPriority w:val="0"/>
  </w:style>
  <w:style w:type="character" w:customStyle="1" w:styleId="134">
    <w:name w:val="nobutton"/>
    <w:basedOn w:val="33"/>
    <w:autoRedefine/>
    <w:qFormat/>
    <w:uiPriority w:val="0"/>
  </w:style>
  <w:style w:type="character" w:customStyle="1" w:styleId="135">
    <w:name w:val="senddate"/>
    <w:basedOn w:val="33"/>
    <w:autoRedefine/>
    <w:qFormat/>
    <w:uiPriority w:val="0"/>
  </w:style>
  <w:style w:type="character" w:customStyle="1" w:styleId="136">
    <w:name w:val="number"/>
    <w:basedOn w:val="33"/>
    <w:autoRedefine/>
    <w:qFormat/>
    <w:uiPriority w:val="0"/>
    <w:rPr>
      <w:b/>
      <w:sz w:val="22"/>
      <w:szCs w:val="22"/>
    </w:rPr>
  </w:style>
  <w:style w:type="character" w:customStyle="1" w:styleId="137">
    <w:name w:val="hover22"/>
    <w:basedOn w:val="33"/>
    <w:autoRedefine/>
    <w:qFormat/>
    <w:uiPriority w:val="0"/>
  </w:style>
  <w:style w:type="character" w:customStyle="1" w:styleId="138">
    <w:name w:val="remindgray"/>
    <w:basedOn w:val="33"/>
    <w:autoRedefine/>
    <w:qFormat/>
    <w:uiPriority w:val="0"/>
  </w:style>
  <w:style w:type="character" w:customStyle="1" w:styleId="139">
    <w:name w:val="active4"/>
    <w:basedOn w:val="33"/>
    <w:autoRedefine/>
    <w:qFormat/>
    <w:uiPriority w:val="0"/>
    <w:rPr>
      <w:color w:val="FFFFFF"/>
    </w:rPr>
  </w:style>
  <w:style w:type="character" w:customStyle="1" w:styleId="140">
    <w:name w:val="reminders"/>
    <w:basedOn w:val="33"/>
    <w:autoRedefine/>
    <w:qFormat/>
    <w:uiPriority w:val="0"/>
  </w:style>
  <w:style w:type="character" w:customStyle="1" w:styleId="141">
    <w:name w:val="hide2"/>
    <w:basedOn w:val="33"/>
    <w:autoRedefine/>
    <w:qFormat/>
    <w:uiPriority w:val="0"/>
    <w:rPr>
      <w:vanish/>
    </w:rPr>
  </w:style>
  <w:style w:type="character" w:customStyle="1" w:styleId="142">
    <w:name w:val="time1"/>
    <w:basedOn w:val="33"/>
    <w:autoRedefine/>
    <w:qFormat/>
    <w:uiPriority w:val="0"/>
    <w:rPr>
      <w:color w:val="6A8386"/>
    </w:rPr>
  </w:style>
  <w:style w:type="character" w:customStyle="1" w:styleId="143">
    <w:name w:val="layui-layer-tabnow"/>
    <w:basedOn w:val="33"/>
    <w:autoRedefine/>
    <w:qFormat/>
    <w:uiPriority w:val="0"/>
    <w:rPr>
      <w:bdr w:val="single" w:color="CCCCCC" w:sz="6" w:space="0"/>
      <w:shd w:val="clear" w:color="auto" w:fill="FFFFFF"/>
    </w:rPr>
  </w:style>
  <w:style w:type="character" w:customStyle="1" w:styleId="144">
    <w:name w:val="fc-event-time12"/>
    <w:basedOn w:val="33"/>
    <w:autoRedefine/>
    <w:qFormat/>
    <w:uiPriority w:val="0"/>
    <w:rPr>
      <w:sz w:val="15"/>
      <w:szCs w:val="15"/>
    </w:rPr>
  </w:style>
  <w:style w:type="character" w:customStyle="1" w:styleId="145">
    <w:name w:val="edit_class"/>
    <w:basedOn w:val="33"/>
    <w:autoRedefine/>
    <w:qFormat/>
    <w:uiPriority w:val="0"/>
  </w:style>
  <w:style w:type="character" w:customStyle="1" w:styleId="146">
    <w:name w:val="first-child"/>
    <w:basedOn w:val="33"/>
    <w:autoRedefine/>
    <w:qFormat/>
    <w:uiPriority w:val="0"/>
  </w:style>
  <w:style w:type="character" w:customStyle="1" w:styleId="147">
    <w:name w:val="portal_setico"/>
    <w:basedOn w:val="33"/>
    <w:autoRedefine/>
    <w:qFormat/>
    <w:uiPriority w:val="0"/>
  </w:style>
  <w:style w:type="character" w:customStyle="1" w:styleId="148">
    <w:name w:val="active"/>
    <w:basedOn w:val="33"/>
    <w:autoRedefine/>
    <w:qFormat/>
    <w:uiPriority w:val="0"/>
    <w:rPr>
      <w:color w:val="00FF00"/>
      <w:shd w:val="clear" w:color="auto" w:fill="111111"/>
    </w:rPr>
  </w:style>
  <w:style w:type="character" w:customStyle="1" w:styleId="149">
    <w:name w:val="complete"/>
    <w:basedOn w:val="33"/>
    <w:autoRedefine/>
    <w:qFormat/>
    <w:uiPriority w:val="0"/>
  </w:style>
  <w:style w:type="paragraph" w:customStyle="1" w:styleId="150">
    <w:name w:val="样式1"/>
    <w:basedOn w:val="5"/>
    <w:next w:val="6"/>
    <w:autoRedefine/>
    <w:qFormat/>
    <w:uiPriority w:val="0"/>
    <w:rPr>
      <w:rFonts w:eastAsia="Arial"/>
    </w:rPr>
  </w:style>
  <w:style w:type="paragraph" w:customStyle="1" w:styleId="151">
    <w:name w:val="段"/>
    <w:autoRedefine/>
    <w:qFormat/>
    <w:locked/>
    <w:uiPriority w:val="0"/>
    <w:pPr>
      <w:ind w:firstLine="200" w:firstLineChars="200"/>
      <w:jc w:val="both"/>
    </w:pPr>
    <w:rPr>
      <w:rFonts w:ascii="宋体" w:hAnsi="Times New Roman" w:eastAsia="宋体" w:cs="Times New Roman"/>
      <w:sz w:val="21"/>
      <w:szCs w:val="22"/>
      <w:lang w:val="en-US" w:eastAsia="zh-CN" w:bidi="ar-SA"/>
    </w:rPr>
  </w:style>
  <w:style w:type="paragraph" w:customStyle="1" w:styleId="152">
    <w:name w:val="四级标题"/>
    <w:basedOn w:val="19"/>
    <w:autoRedefine/>
    <w:qFormat/>
    <w:uiPriority w:val="0"/>
    <w:rPr>
      <w:rFonts w:eastAsia="黑体"/>
    </w:rPr>
  </w:style>
  <w:style w:type="paragraph" w:customStyle="1" w:styleId="153">
    <w:name w:val="Normal Indent1"/>
    <w:basedOn w:val="1"/>
    <w:autoRedefine/>
    <w:qFormat/>
    <w:uiPriority w:val="0"/>
    <w:pPr>
      <w:ind w:firstLine="420"/>
    </w:pPr>
  </w:style>
  <w:style w:type="paragraph" w:customStyle="1" w:styleId="154">
    <w:name w:val="BlockQuote"/>
    <w:basedOn w:val="1"/>
    <w:autoRedefine/>
    <w:qFormat/>
    <w:uiPriority w:val="0"/>
    <w:pPr>
      <w:spacing w:line="600" w:lineRule="exact"/>
      <w:ind w:firstLine="880" w:firstLineChars="200"/>
    </w:pPr>
    <w:rPr>
      <w:rFonts w:eastAsia="仿宋"/>
      <w:sz w:val="32"/>
    </w:rPr>
  </w:style>
  <w:style w:type="paragraph" w:customStyle="1" w:styleId="155">
    <w:name w:val="标准"/>
    <w:basedOn w:val="1"/>
    <w:autoRedefine/>
    <w:qFormat/>
    <w:uiPriority w:val="0"/>
    <w:pPr>
      <w:adjustRightInd w:val="0"/>
      <w:spacing w:line="312" w:lineRule="atLeast"/>
    </w:pPr>
    <w:rPr>
      <w:kern w:val="0"/>
      <w:sz w:val="24"/>
    </w:rPr>
  </w:style>
  <w:style w:type="paragraph" w:customStyle="1" w:styleId="156">
    <w:name w:val="正文首行缩进 21"/>
    <w:basedOn w:val="157"/>
    <w:next w:val="28"/>
    <w:autoRedefine/>
    <w:qFormat/>
    <w:uiPriority w:val="0"/>
    <w:pPr>
      <w:ind w:firstLine="200" w:firstLineChars="200"/>
    </w:pPr>
  </w:style>
  <w:style w:type="paragraph" w:customStyle="1" w:styleId="157">
    <w:name w:val="正文文本缩进1"/>
    <w:basedOn w:val="1"/>
    <w:autoRedefine/>
    <w:qFormat/>
    <w:uiPriority w:val="0"/>
    <w:pPr>
      <w:ind w:left="200" w:leftChars="200"/>
    </w:pPr>
  </w:style>
  <w:style w:type="paragraph" w:customStyle="1" w:styleId="158">
    <w:name w:val="Table Paragraph"/>
    <w:basedOn w:val="1"/>
    <w:autoRedefine/>
    <w:qFormat/>
    <w:uiPriority w:val="1"/>
    <w:pPr>
      <w:jc w:val="left"/>
    </w:pPr>
    <w:rPr>
      <w:rFonts w:ascii="Calibri" w:hAnsi="Calibri" w:eastAsia="宋体" w:cs="Times New Roman"/>
      <w:kern w:val="0"/>
      <w:sz w:val="22"/>
      <w:lang w:eastAsia="en-US"/>
    </w:rPr>
  </w:style>
  <w:style w:type="paragraph" w:customStyle="1" w:styleId="159">
    <w:name w:val="_Style 4"/>
    <w:next w:val="1"/>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160">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无间隔"/>
    <w:autoRedefine/>
    <w:qFormat/>
    <w:uiPriority w:val="1"/>
    <w:pPr>
      <w:widowControl w:val="0"/>
      <w:jc w:val="both"/>
    </w:pPr>
    <w:rPr>
      <w:rFonts w:hint="eastAsia" w:ascii="Times New Roman" w:hAnsi="Times New Roman" w:eastAsia="华文中宋" w:cs="Times New Roman"/>
      <w:kern w:val="2"/>
      <w:sz w:val="21"/>
      <w:szCs w:val="22"/>
      <w:lang w:val="en-US" w:eastAsia="zh-CN" w:bidi="ar-SA"/>
    </w:rPr>
  </w:style>
  <w:style w:type="paragraph" w:customStyle="1" w:styleId="162">
    <w:name w:val="List Paragraph"/>
    <w:basedOn w:val="1"/>
    <w:autoRedefine/>
    <w:qFormat/>
    <w:uiPriority w:val="34"/>
    <w:pPr>
      <w:ind w:firstLine="420" w:firstLineChars="200"/>
    </w:pPr>
    <w:rPr>
      <w:rFonts w:ascii="Calibri" w:hAnsi="Calibri"/>
      <w:sz w:val="21"/>
      <w:szCs w:val="22"/>
    </w:rPr>
  </w:style>
  <w:style w:type="table" w:customStyle="1" w:styleId="163">
    <w:name w:val="常规_表二_12"/>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64">
    <w:name w:val="常规 291"/>
    <w:basedOn w:val="31"/>
    <w:autoRedefine/>
    <w:qFormat/>
    <w:uiPriority w:val="0"/>
    <w:pPr>
      <w:textAlignment w:val="center"/>
    </w:pPr>
    <w:rPr>
      <w:rFonts w:hint="eastAsia" w:ascii="宋体" w:hAnsi="宋体" w:eastAsia="宋体" w:cs="宋体"/>
      <w:color w:val="000000"/>
      <w:sz w:val="22"/>
      <w:szCs w:val="22"/>
      <w:u w:val="none"/>
    </w:rPr>
    <w:tcPr>
      <w:vAlign w:val="center"/>
    </w:tcPr>
  </w:style>
  <w:style w:type="table" w:customStyle="1" w:styleId="165">
    <w:name w:val="常规 18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66">
    <w:name w:val="常规_检修_3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67">
    <w:name w:val="常规 15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68">
    <w:name w:val="常规 26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69">
    <w:name w:val="常规 10 3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70">
    <w:name w:val="常规 2 3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71">
    <w:name w:val="常规_Sheet1_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72">
    <w:name w:val="常规 6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73">
    <w:name w:val="常规 4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74">
    <w:name w:val="常规2"/>
    <w:basedOn w:val="31"/>
    <w:autoRedefine/>
    <w:qFormat/>
    <w:uiPriority w:val="0"/>
    <w:pPr>
      <w:textAlignment w:val="bottom"/>
    </w:pPr>
    <w:rPr>
      <w:rFonts w:hint="default" w:ascii="Times New Roman" w:hAnsi="Times New Roman" w:cs="Times New Roman"/>
      <w:color w:val="auto"/>
      <w:sz w:val="24"/>
      <w:szCs w:val="24"/>
      <w:u w:val="none"/>
    </w:rPr>
    <w:tcPr>
      <w:vAlign w:val="bottom"/>
    </w:tcPr>
  </w:style>
  <w:style w:type="table" w:customStyle="1" w:styleId="175">
    <w:name w:val="常规_Sheet1_4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76">
    <w:name w:val="常规_检修_31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77">
    <w:name w:val="常规_Sheet11"/>
    <w:basedOn w:val="31"/>
    <w:autoRedefine/>
    <w:qFormat/>
    <w:uiPriority w:val="0"/>
    <w:pPr>
      <w:textAlignment w:val="bottom"/>
    </w:pPr>
    <w:rPr>
      <w:rFonts w:hint="eastAsia" w:ascii="宋体" w:hAnsi="宋体" w:eastAsia="宋体" w:cs="宋体"/>
      <w:color w:val="auto"/>
      <w:sz w:val="24"/>
      <w:szCs w:val="24"/>
      <w:u w:val="none"/>
    </w:rPr>
    <w:tcPr>
      <w:vAlign w:val="bottom"/>
    </w:tcPr>
  </w:style>
  <w:style w:type="table" w:customStyle="1" w:styleId="178">
    <w:name w:val="常规_检修_14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79">
    <w:name w:val="常规_检修_17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0">
    <w:name w:val="常规_检修_1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1">
    <w:name w:val="常规_检修、实业、矿业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82">
    <w:name w:val="常规_Sheet1_2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3">
    <w:name w:val="常规 23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84">
    <w:name w:val="常规_检修_2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5">
    <w:name w:val="常规_表二_2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86">
    <w:name w:val="常规_检修_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7">
    <w:name w:val="常规_检修_29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8">
    <w:name w:val="常规_检修_24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9">
    <w:name w:val="常规_Sheet1_1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0">
    <w:name w:val="货币2"/>
    <w:basedOn w:val="31"/>
    <w:autoRedefine/>
    <w:qFormat/>
    <w:uiPriority w:val="0"/>
  </w:style>
  <w:style w:type="table" w:customStyle="1" w:styleId="191">
    <w:name w:val="常规_检修_2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2">
    <w:name w:val="常规 5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93">
    <w:name w:val="常规_Sheet1_11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4">
    <w:name w:val="常规 2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95">
    <w:name w:val="常规_检修_27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6">
    <w:name w:val="常规_检修_22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7">
    <w:name w:val="常规_Sheet1_1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8">
    <w:name w:val="超链接1"/>
    <w:basedOn w:val="31"/>
    <w:autoRedefine/>
    <w:qFormat/>
    <w:uiPriority w:val="0"/>
    <w:rPr>
      <w:rFonts w:hint="eastAsia" w:ascii="宋体" w:hAnsi="宋体" w:eastAsia="宋体" w:cs="宋体"/>
      <w:color w:val="0000FF"/>
      <w:sz w:val="22"/>
      <w:szCs w:val="22"/>
      <w:u w:val="single"/>
    </w:rPr>
  </w:style>
  <w:style w:type="table" w:customStyle="1" w:styleId="199">
    <w:name w:val="常规 19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00">
    <w:name w:val="常规 10 2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01">
    <w:name w:val="常规_检修_1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2">
    <w:name w:val="常规 11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03">
    <w:name w:val="常规_检修_8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4">
    <w:name w:val="常规 3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05">
    <w:name w:val="常规_检修_38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6">
    <w:name w:val="常规_检修_7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7">
    <w:name w:val="常规 31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08">
    <w:name w:val="常规_检修_2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9">
    <w:name w:val="常规_检修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0">
    <w:name w:val="常规 7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11">
    <w:name w:val="常规 25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12">
    <w:name w:val="常规_检修_26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3">
    <w:name w:val="常规_Sheet1_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4">
    <w:name w:val="常规_检修_12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5">
    <w:name w:val="常规_检修_41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6">
    <w:name w:val="常规_检修_18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7">
    <w:name w:val="常规 17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18">
    <w:name w:val="常规_Sheet12"/>
    <w:basedOn w:val="31"/>
    <w:autoRedefine/>
    <w:qFormat/>
    <w:uiPriority w:val="0"/>
    <w:pPr>
      <w:textAlignment w:val="bottom"/>
    </w:pPr>
    <w:rPr>
      <w:rFonts w:hint="eastAsia" w:ascii="宋体" w:hAnsi="宋体" w:eastAsia="宋体" w:cs="宋体"/>
      <w:color w:val="auto"/>
      <w:sz w:val="24"/>
      <w:szCs w:val="24"/>
      <w:u w:val="none"/>
    </w:rPr>
    <w:tcPr>
      <w:vAlign w:val="bottom"/>
    </w:tcPr>
  </w:style>
  <w:style w:type="table" w:customStyle="1" w:styleId="219">
    <w:name w:val="常规_Sheet1_9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0">
    <w:name w:val="常规1"/>
    <w:basedOn w:val="31"/>
    <w:autoRedefine/>
    <w:qFormat/>
    <w:uiPriority w:val="0"/>
    <w:pPr>
      <w:textAlignment w:val="bottom"/>
    </w:pPr>
    <w:rPr>
      <w:rFonts w:hint="default" w:ascii="Times New Roman" w:hAnsi="Times New Roman" w:cs="Times New Roman"/>
      <w:color w:val="auto"/>
      <w:sz w:val="24"/>
      <w:szCs w:val="24"/>
      <w:u w:val="none"/>
    </w:rPr>
    <w:tcPr>
      <w:vAlign w:val="bottom"/>
    </w:tcPr>
  </w:style>
  <w:style w:type="table" w:customStyle="1" w:styleId="221">
    <w:name w:val="常规_检修_11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2">
    <w:name w:val="常规_检修_6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3">
    <w:name w:val="常规_检修_36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4">
    <w:name w:val="常规_检修_37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5">
    <w:name w:val="常规_检修_20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6">
    <w:name w:val="常规_检修_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7">
    <w:name w:val="常规 9 21"/>
    <w:basedOn w:val="31"/>
    <w:autoRedefine/>
    <w:qFormat/>
    <w:uiPriority w:val="0"/>
    <w:pPr>
      <w:textAlignment w:val="bottom"/>
    </w:pPr>
    <w:rPr>
      <w:rFonts w:ascii="Tahoma" w:hAnsi="Tahoma" w:eastAsia="Tahoma" w:cs="Tahoma"/>
      <w:color w:val="000000"/>
      <w:sz w:val="22"/>
      <w:szCs w:val="22"/>
      <w:u w:val="none"/>
    </w:rPr>
    <w:tcPr>
      <w:vAlign w:val="bottom"/>
    </w:tcPr>
  </w:style>
  <w:style w:type="table" w:customStyle="1" w:styleId="228">
    <w:name w:val="常规_检修_1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9">
    <w:name w:val="常规 13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30">
    <w:name w:val="常规 16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31">
    <w:name w:val="常规_检修_21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2">
    <w:name w:val="常规_15晋北铝业公司集团计划内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33">
    <w:name w:val="常规 271"/>
    <w:basedOn w:val="31"/>
    <w:autoRedefine/>
    <w:qFormat/>
    <w:uiPriority w:val="0"/>
    <w:pPr>
      <w:textAlignment w:val="center"/>
    </w:pPr>
    <w:rPr>
      <w:rFonts w:hint="eastAsia" w:ascii="宋体" w:hAnsi="宋体" w:eastAsia="宋体" w:cs="宋体"/>
      <w:color w:val="000000"/>
      <w:sz w:val="22"/>
      <w:szCs w:val="22"/>
      <w:u w:val="none"/>
    </w:rPr>
    <w:tcPr>
      <w:vAlign w:val="center"/>
    </w:tcPr>
  </w:style>
  <w:style w:type="table" w:customStyle="1" w:styleId="234">
    <w:name w:val="常规_检修_39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5">
    <w:name w:val="常规_检修_28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6">
    <w:name w:val="常规_检修_30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7">
    <w:name w:val="常规_检修_16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8">
    <w:name w:val="常规_检修_4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9">
    <w:name w:val="常规_检修_40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0">
    <w:name w:val="常规_检修_9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1">
    <w:name w:val="常规_检修_3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2">
    <w:name w:val="常规_Sheet1_7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3">
    <w:name w:val="常规_Sheet1_16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4">
    <w:name w:val="常规_Sheet1_12"/>
    <w:basedOn w:val="31"/>
    <w:autoRedefine/>
    <w:qFormat/>
    <w:uiPriority w:val="0"/>
    <w:pPr>
      <w:textAlignment w:val="bottom"/>
    </w:pPr>
    <w:rPr>
      <w:rFonts w:hint="eastAsia" w:ascii="宋体" w:hAnsi="宋体" w:eastAsia="宋体" w:cs="宋体"/>
      <w:color w:val="auto"/>
      <w:sz w:val="24"/>
      <w:szCs w:val="24"/>
      <w:u w:val="none"/>
    </w:rPr>
    <w:tcPr>
      <w:vAlign w:val="bottom"/>
    </w:tcPr>
  </w:style>
  <w:style w:type="table" w:customStyle="1" w:styleId="245">
    <w:name w:val="常规_检修_10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6">
    <w:name w:val="常规 12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47">
    <w:name w:val="常规_检修_34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8">
    <w:name w:val="常规_表二_22"/>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49">
    <w:name w:val="常规_Sheet1_10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50">
    <w:name w:val="常规_表二_1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51">
    <w:name w:val="常规_Sheet1_8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52">
    <w:name w:val="常规 8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53">
    <w:name w:val="常规_检修_32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54">
    <w:name w:val="常规_检修_19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55">
    <w:name w:val="常规_Sheet1_14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56">
    <w:name w:val="常规 141"/>
    <w:basedOn w:val="31"/>
    <w:autoRedefine/>
    <w:qFormat/>
    <w:uiPriority w:val="0"/>
    <w:pPr>
      <w:textAlignment w:val="center"/>
    </w:pPr>
    <w:rPr>
      <w:rFonts w:hint="eastAsia" w:ascii="宋体" w:hAnsi="宋体" w:eastAsia="宋体" w:cs="宋体"/>
      <w:color w:val="auto"/>
      <w:sz w:val="24"/>
      <w:szCs w:val="24"/>
      <w:u w:val="none"/>
    </w:r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14225</Words>
  <Characters>36279</Characters>
  <Lines>28</Lines>
  <Paragraphs>7</Paragraphs>
  <TotalTime>163</TotalTime>
  <ScaleCrop>false</ScaleCrop>
  <LinksUpToDate>false</LinksUpToDate>
  <CharactersWithSpaces>42373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2016-03-04T03:49:00Z</dcterms:created>
  <dc:creator>Administrator</dc:creator>
  <cp:lastModifiedBy>路</cp:lastModifiedBy>
  <cp:lastPrinted>2020-02-12T02:23:00Z</cp:lastPrinted>
  <dcterms:modified xsi:type="dcterms:W3CDTF">2026-09-12T17:19:45Z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F4FF9AD6F55A4B978FE296922DBB9658_13</vt:lpwstr>
  </property>
  <property fmtid="{D5CDD505-2E9C-101B-9397-08002B2CF9AE}" pid="4" name="KSOTemplateDocerSaveRecord">
    <vt:lpwstr>eyJoZGlkIjoiMzQ4ODYzY2FlNmMzYmE3ODJhODIxM2E1Y2Y4MTNlNjEiLCJ1c2VySWQiOiI0MjgxMDIxNzYifQ==</vt:lpwstr>
  </property>
</Properties>
</file>