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0B24002">
      <w:pPr>
        <w:spacing w:line="360" w:lineRule="auto"/>
        <w:ind w:left="-178" w:leftChars="-85" w:right="119"/>
        <w:jc w:val="right"/>
        <w:rPr>
          <w:b/>
          <w:bCs/>
          <w:sz w:val="24"/>
        </w:rPr>
      </w:pPr>
      <w:bookmarkStart w:id="159" w:name="_GoBack"/>
      <w:bookmarkEnd w:id="159"/>
      <w:r>
        <w:rPr>
          <w:rFonts w:eastAsia="仿宋"/>
          <w:b/>
          <w:bCs/>
          <w:sz w:val="32"/>
          <w:szCs w:val="32"/>
        </w:rPr>
        <w:drawing>
          <wp:anchor distT="0" distB="0" distL="0" distR="0" simplePos="0" relativeHeight="251659264" behindDoc="0" locked="0" layoutInCell="1" allowOverlap="1">
            <wp:simplePos x="0" y="0"/>
            <wp:positionH relativeFrom="column">
              <wp:posOffset>-135255</wp:posOffset>
            </wp:positionH>
            <wp:positionV relativeFrom="paragraph">
              <wp:posOffset>-11430</wp:posOffset>
            </wp:positionV>
            <wp:extent cx="3262630" cy="524510"/>
            <wp:effectExtent l="0" t="0" r="13970" b="8890"/>
            <wp:wrapNone/>
            <wp:docPr id="1027" name="图片 2" descr="说明: 铝电公司-04"/>
            <wp:cNvGraphicFramePr/>
            <a:graphic xmlns:a="http://schemas.openxmlformats.org/drawingml/2006/main">
              <a:graphicData uri="http://schemas.openxmlformats.org/drawingml/2006/picture">
                <pic:pic xmlns:pic="http://schemas.openxmlformats.org/drawingml/2006/picture">
                  <pic:nvPicPr>
                    <pic:cNvPr id="1027" name="图片 2" descr="说明: 铝电公司-04"/>
                    <pic:cNvPicPr/>
                  </pic:nvPicPr>
                  <pic:blipFill>
                    <a:blip r:embed="rId14" cstate="print"/>
                    <a:srcRect/>
                    <a:stretch>
                      <a:fillRect/>
                    </a:stretch>
                  </pic:blipFill>
                  <pic:spPr>
                    <a:xfrm>
                      <a:off x="0" y="0"/>
                      <a:ext cx="3262629" cy="524510"/>
                    </a:xfrm>
                    <a:prstGeom prst="rect">
                      <a:avLst/>
                    </a:prstGeom>
                    <a:ln>
                      <a:noFill/>
                    </a:ln>
                  </pic:spPr>
                </pic:pic>
              </a:graphicData>
            </a:graphic>
          </wp:anchor>
        </w:drawing>
      </w:r>
    </w:p>
    <w:p w14:paraId="714E4B97">
      <w:pPr>
        <w:spacing w:line="360" w:lineRule="auto"/>
        <w:jc w:val="left"/>
      </w:pPr>
    </w:p>
    <w:p w14:paraId="63B6C8E7">
      <w:pPr>
        <w:spacing w:line="360" w:lineRule="auto"/>
        <w:jc w:val="center"/>
        <w:rPr>
          <w:b/>
          <w:bCs/>
          <w:sz w:val="52"/>
          <w:szCs w:val="52"/>
        </w:rPr>
      </w:pPr>
    </w:p>
    <w:p w14:paraId="7646393B">
      <w:pPr>
        <w:spacing w:line="360" w:lineRule="auto"/>
        <w:jc w:val="center"/>
        <w:rPr>
          <w:b/>
          <w:bCs/>
          <w:sz w:val="52"/>
          <w:szCs w:val="52"/>
        </w:rPr>
      </w:pPr>
    </w:p>
    <w:p w14:paraId="7F0E7B2D">
      <w:pPr>
        <w:adjustRightInd w:val="0"/>
        <w:snapToGrid w:val="0"/>
        <w:spacing w:line="360" w:lineRule="auto"/>
        <w:jc w:val="center"/>
        <w:rPr>
          <w:b/>
          <w:bCs/>
          <w:sz w:val="52"/>
          <w:szCs w:val="52"/>
        </w:rPr>
      </w:pPr>
      <w:r>
        <w:rPr>
          <w:b/>
          <w:bCs/>
          <w:sz w:val="52"/>
          <w:szCs w:val="52"/>
        </w:rPr>
        <w:t>国家电投国际投资开发（几内亚）有限责任公司铝土矿道路运输服务</w:t>
      </w:r>
    </w:p>
    <w:p w14:paraId="6998592B">
      <w:pPr>
        <w:adjustRightInd w:val="0"/>
        <w:snapToGrid w:val="0"/>
        <w:spacing w:line="360" w:lineRule="auto"/>
        <w:jc w:val="center"/>
        <w:rPr>
          <w:b/>
          <w:bCs/>
          <w:sz w:val="52"/>
          <w:szCs w:val="52"/>
        </w:rPr>
      </w:pPr>
      <w:r>
        <w:rPr>
          <w:b/>
          <w:bCs/>
          <w:sz w:val="52"/>
          <w:szCs w:val="52"/>
        </w:rPr>
        <w:t>竞争性谈判采购</w:t>
      </w:r>
    </w:p>
    <w:p w14:paraId="14A1AF26">
      <w:pPr>
        <w:jc w:val="center"/>
      </w:pPr>
    </w:p>
    <w:p w14:paraId="19C90732">
      <w:pPr>
        <w:adjustRightInd w:val="0"/>
        <w:snapToGrid w:val="0"/>
        <w:spacing w:line="360" w:lineRule="auto"/>
        <w:jc w:val="center"/>
        <w:rPr>
          <w:b/>
          <w:bCs/>
          <w:sz w:val="52"/>
          <w:szCs w:val="52"/>
        </w:rPr>
      </w:pPr>
      <w:r>
        <w:rPr>
          <w:b/>
          <w:bCs/>
          <w:sz w:val="52"/>
          <w:szCs w:val="52"/>
        </w:rPr>
        <w:t>Documents d'appel d'offres pour les services de transport routier de bauxite de SPIC International Investment &amp; Development(Guinea) Co.,Ltd</w:t>
      </w:r>
    </w:p>
    <w:p w14:paraId="5025BA17">
      <w:pPr>
        <w:jc w:val="center"/>
      </w:pPr>
    </w:p>
    <w:p w14:paraId="5260F5A5">
      <w:pPr>
        <w:jc w:val="center"/>
      </w:pPr>
    </w:p>
    <w:p w14:paraId="6CBCAD5B">
      <w:pPr>
        <w:jc w:val="center"/>
      </w:pPr>
    </w:p>
    <w:p w14:paraId="1D5363E9">
      <w:pPr>
        <w:jc w:val="center"/>
      </w:pPr>
    </w:p>
    <w:p w14:paraId="232CB232">
      <w:pPr>
        <w:jc w:val="center"/>
      </w:pPr>
    </w:p>
    <w:p w14:paraId="04BCE5C2">
      <w:pPr>
        <w:jc w:val="center"/>
      </w:pPr>
    </w:p>
    <w:p w14:paraId="5DC702CA">
      <w:pPr>
        <w:jc w:val="center"/>
      </w:pPr>
    </w:p>
    <w:tbl>
      <w:tblPr>
        <w:tblStyle w:val="31"/>
        <w:tblW w:w="9180" w:type="dxa"/>
        <w:jc w:val="center"/>
        <w:tblLayout w:type="fixed"/>
        <w:tblCellMar>
          <w:top w:w="0" w:type="dxa"/>
          <w:left w:w="108" w:type="dxa"/>
          <w:bottom w:w="0" w:type="dxa"/>
          <w:right w:w="108" w:type="dxa"/>
        </w:tblCellMar>
      </w:tblPr>
      <w:tblGrid>
        <w:gridCol w:w="2717"/>
        <w:gridCol w:w="6463"/>
      </w:tblGrid>
      <w:tr w14:paraId="20342E68">
        <w:tblPrEx>
          <w:tblCellMar>
            <w:top w:w="0" w:type="dxa"/>
            <w:left w:w="108" w:type="dxa"/>
            <w:bottom w:w="0" w:type="dxa"/>
            <w:right w:w="108" w:type="dxa"/>
          </w:tblCellMar>
        </w:tblPrEx>
        <w:trPr>
          <w:trHeight w:val="542" w:hRule="atLeast"/>
          <w:jc w:val="center"/>
        </w:trPr>
        <w:tc>
          <w:tcPr>
            <w:tcW w:w="2717" w:type="dxa"/>
            <w:vAlign w:val="center"/>
          </w:tcPr>
          <w:p w14:paraId="36C2EBE1">
            <w:pPr>
              <w:jc w:val="distribute"/>
              <w:rPr>
                <w:sz w:val="28"/>
                <w:szCs w:val="22"/>
              </w:rPr>
            </w:pPr>
            <w:r>
              <w:rPr>
                <w:b/>
                <w:sz w:val="30"/>
                <w:szCs w:val="22"/>
              </w:rPr>
              <w:t>采 购 人：</w:t>
            </w:r>
          </w:p>
        </w:tc>
        <w:tc>
          <w:tcPr>
            <w:tcW w:w="6463" w:type="dxa"/>
            <w:vAlign w:val="center"/>
          </w:tcPr>
          <w:p w14:paraId="6EDFF12D">
            <w:pPr>
              <w:jc w:val="distribute"/>
              <w:rPr>
                <w:b/>
                <w:sz w:val="30"/>
                <w:szCs w:val="22"/>
              </w:rPr>
            </w:pPr>
            <w:r>
              <w:rPr>
                <w:b/>
                <w:sz w:val="30"/>
                <w:szCs w:val="22"/>
              </w:rPr>
              <w:t>国家电投国际投资开发（几内亚）有限责任公司</w:t>
            </w:r>
          </w:p>
        </w:tc>
      </w:tr>
      <w:tr w14:paraId="0D06D243">
        <w:tblPrEx>
          <w:tblCellMar>
            <w:top w:w="0" w:type="dxa"/>
            <w:left w:w="108" w:type="dxa"/>
            <w:bottom w:w="0" w:type="dxa"/>
            <w:right w:w="108" w:type="dxa"/>
          </w:tblCellMar>
        </w:tblPrEx>
        <w:trPr>
          <w:trHeight w:val="542" w:hRule="atLeast"/>
          <w:jc w:val="center"/>
        </w:trPr>
        <w:tc>
          <w:tcPr>
            <w:tcW w:w="2717" w:type="dxa"/>
            <w:vAlign w:val="center"/>
          </w:tcPr>
          <w:p w14:paraId="0CE5045B">
            <w:pPr>
              <w:jc w:val="distribute"/>
              <w:rPr>
                <w:b/>
                <w:sz w:val="30"/>
                <w:szCs w:val="22"/>
              </w:rPr>
            </w:pPr>
            <w:r>
              <w:rPr>
                <w:b/>
                <w:sz w:val="30"/>
                <w:szCs w:val="22"/>
              </w:rPr>
              <w:t>Acheteur</w:t>
            </w:r>
          </w:p>
        </w:tc>
        <w:tc>
          <w:tcPr>
            <w:tcW w:w="6463" w:type="dxa"/>
            <w:vAlign w:val="center"/>
          </w:tcPr>
          <w:p w14:paraId="48E4CFDB">
            <w:pPr>
              <w:jc w:val="distribute"/>
              <w:rPr>
                <w:b/>
                <w:sz w:val="30"/>
                <w:szCs w:val="22"/>
              </w:rPr>
            </w:pPr>
            <w:r>
              <w:rPr>
                <w:b/>
                <w:sz w:val="30"/>
                <w:szCs w:val="22"/>
              </w:rPr>
              <w:t>SPIC International Investment &amp; Development(Guinea) Co.,Ltd</w:t>
            </w:r>
          </w:p>
        </w:tc>
      </w:tr>
    </w:tbl>
    <w:p w14:paraId="59BD15AD">
      <w:pPr>
        <w:jc w:val="center"/>
        <w:rPr>
          <w:b/>
          <w:kern w:val="0"/>
          <w:sz w:val="28"/>
          <w:highlight w:val="yellow"/>
        </w:rPr>
      </w:pPr>
    </w:p>
    <w:p w14:paraId="45F576AC">
      <w:pPr>
        <w:jc w:val="center"/>
        <w:rPr>
          <w:b/>
          <w:sz w:val="28"/>
        </w:rPr>
      </w:pPr>
      <w:r>
        <w:rPr>
          <w:b/>
          <w:sz w:val="28"/>
        </w:rPr>
        <w:t>20</w:t>
      </w:r>
      <w:r>
        <w:rPr>
          <w:b/>
          <w:sz w:val="28"/>
          <w:u w:val="single"/>
        </w:rPr>
        <w:t xml:space="preserve"> 2</w:t>
      </w:r>
      <w:r>
        <w:rPr>
          <w:rFonts w:hint="eastAsia"/>
          <w:b/>
          <w:sz w:val="28"/>
          <w:u w:val="single"/>
        </w:rPr>
        <w:t>6</w:t>
      </w:r>
      <w:r>
        <w:rPr>
          <w:b/>
          <w:sz w:val="28"/>
          <w:u w:val="single"/>
        </w:rPr>
        <w:t xml:space="preserve"> </w:t>
      </w:r>
      <w:r>
        <w:rPr>
          <w:b/>
          <w:sz w:val="28"/>
        </w:rPr>
        <w:t>年</w:t>
      </w:r>
      <w:r>
        <w:rPr>
          <w:b/>
          <w:sz w:val="28"/>
          <w:u w:val="single"/>
        </w:rPr>
        <w:t xml:space="preserve"> </w:t>
      </w:r>
      <w:r>
        <w:rPr>
          <w:rFonts w:hint="eastAsia"/>
          <w:b/>
          <w:sz w:val="28"/>
          <w:u w:val="single"/>
        </w:rPr>
        <w:t>4</w:t>
      </w:r>
      <w:r>
        <w:rPr>
          <w:b/>
          <w:sz w:val="28"/>
          <w:u w:val="single"/>
        </w:rPr>
        <w:t xml:space="preserve"> </w:t>
      </w:r>
      <w:r>
        <w:rPr>
          <w:b/>
          <w:sz w:val="28"/>
        </w:rPr>
        <w:t>月</w:t>
      </w:r>
    </w:p>
    <w:p w14:paraId="74D682BE">
      <w:pPr>
        <w:spacing w:line="360" w:lineRule="auto"/>
        <w:jc w:val="center"/>
        <w:rPr>
          <w:rFonts w:hint="eastAsia" w:eastAsia="仿宋_GB2312"/>
          <w:b/>
          <w:sz w:val="36"/>
          <w:szCs w:val="36"/>
          <w:lang w:eastAsia="zh-CN"/>
        </w:rPr>
      </w:pPr>
      <w:r>
        <w:rPr>
          <w:rFonts w:hint="eastAsia" w:eastAsia="仿宋_GB2312"/>
          <w:b/>
          <w:sz w:val="36"/>
          <w:szCs w:val="36"/>
        </w:rPr>
        <w:t>April</w:t>
      </w:r>
      <w:r>
        <w:rPr>
          <w:rFonts w:eastAsia="仿宋_GB2312"/>
          <w:b/>
          <w:sz w:val="36"/>
          <w:szCs w:val="36"/>
        </w:rPr>
        <w:t xml:space="preserve"> 202</w:t>
      </w:r>
      <w:r>
        <w:rPr>
          <w:rFonts w:hint="eastAsia" w:eastAsia="仿宋_GB2312"/>
          <w:b/>
          <w:sz w:val="36"/>
          <w:szCs w:val="36"/>
          <w:lang w:val="en-US" w:eastAsia="zh-CN"/>
        </w:rPr>
        <w:t>6</w:t>
      </w:r>
    </w:p>
    <w:p w14:paraId="6462A031">
      <w:pPr>
        <w:jc w:val="center"/>
        <w:rPr>
          <w:b/>
          <w:sz w:val="28"/>
          <w:highlight w:val="yellow"/>
        </w:rPr>
      </w:pPr>
    </w:p>
    <w:p w14:paraId="017CE220">
      <w:pPr>
        <w:pStyle w:val="22"/>
        <w:tabs>
          <w:tab w:val="right" w:leader="dot" w:pos="9354"/>
        </w:tabs>
        <w:jc w:val="both"/>
        <w:rPr>
          <w:rFonts w:eastAsia="仿宋_GB2312"/>
          <w:b/>
          <w:sz w:val="36"/>
          <w:szCs w:val="36"/>
        </w:rPr>
        <w:sectPr>
          <w:headerReference r:id="rId3" w:type="default"/>
          <w:pgSz w:w="11906" w:h="16838"/>
          <w:pgMar w:top="1417" w:right="1134" w:bottom="1134" w:left="1417" w:header="851" w:footer="850" w:gutter="0"/>
          <w:pgNumType w:start="1"/>
          <w:cols w:space="720" w:num="1"/>
          <w:titlePg/>
          <w:docGrid w:linePitch="312" w:charSpace="0"/>
        </w:sectPr>
      </w:pPr>
      <w:bookmarkStart w:id="0" w:name="_Toc30176"/>
    </w:p>
    <w:p w14:paraId="2EFB979B">
      <w:pPr>
        <w:spacing w:line="360" w:lineRule="auto"/>
        <w:jc w:val="center"/>
        <w:rPr>
          <w:rFonts w:eastAsia="仿宋_GB2312"/>
          <w:b/>
          <w:sz w:val="36"/>
          <w:szCs w:val="36"/>
        </w:rPr>
      </w:pPr>
      <w:r>
        <w:rPr>
          <w:b/>
          <w:sz w:val="28"/>
          <w:szCs w:val="28"/>
        </w:rPr>
        <w:t>目 录</w:t>
      </w:r>
    </w:p>
    <w:p w14:paraId="04F3CEB5">
      <w:pPr>
        <w:pStyle w:val="22"/>
        <w:tabs>
          <w:tab w:val="right" w:leader="dot" w:pos="9355"/>
        </w:tabs>
      </w:pPr>
      <w:r>
        <w:rPr>
          <w:rFonts w:eastAsia="仿宋_GB2312"/>
          <w:szCs w:val="36"/>
        </w:rPr>
        <w:fldChar w:fldCharType="begin"/>
      </w:r>
      <w:r>
        <w:rPr>
          <w:rFonts w:eastAsia="仿宋_GB2312"/>
          <w:szCs w:val="36"/>
        </w:rPr>
        <w:instrText xml:space="preserve">TOC \o "1-3" \h \u </w:instrText>
      </w:r>
      <w:r>
        <w:rPr>
          <w:rFonts w:eastAsia="仿宋_GB2312"/>
          <w:szCs w:val="36"/>
        </w:rPr>
        <w:fldChar w:fldCharType="separate"/>
      </w:r>
      <w:r>
        <w:fldChar w:fldCharType="begin"/>
      </w:r>
      <w:r>
        <w:instrText xml:space="preserve"> HYPERLINK \l "_Toc21240" </w:instrText>
      </w:r>
      <w:r>
        <w:fldChar w:fldCharType="separate"/>
      </w:r>
      <w:r>
        <w:t>第</w:t>
      </w:r>
      <w:r>
        <w:rPr>
          <w:kern w:val="44"/>
          <w:szCs w:val="28"/>
        </w:rPr>
        <w:t xml:space="preserve">一章 </w:t>
      </w:r>
      <w:r>
        <w:rPr>
          <w:szCs w:val="28"/>
        </w:rPr>
        <w:t>响应人须知</w:t>
      </w:r>
      <w:r>
        <w:tab/>
      </w:r>
      <w:r>
        <w:fldChar w:fldCharType="end"/>
      </w:r>
    </w:p>
    <w:p w14:paraId="184DB9FB">
      <w:pPr>
        <w:pStyle w:val="26"/>
        <w:tabs>
          <w:tab w:val="right" w:leader="dot" w:pos="9355"/>
        </w:tabs>
      </w:pPr>
      <w:r>
        <w:fldChar w:fldCharType="begin"/>
      </w:r>
      <w:r>
        <w:instrText xml:space="preserve"> HYPERLINK \l "_Toc27752" </w:instrText>
      </w:r>
      <w:r>
        <w:fldChar w:fldCharType="separate"/>
      </w:r>
      <w:r>
        <w:rPr>
          <w:bCs/>
          <w:szCs w:val="21"/>
        </w:rPr>
        <w:t>响应人须知前附表</w:t>
      </w:r>
      <w:r>
        <w:tab/>
      </w:r>
      <w:r>
        <w:fldChar w:fldCharType="end"/>
      </w:r>
    </w:p>
    <w:p w14:paraId="78E48133">
      <w:pPr>
        <w:pStyle w:val="26"/>
        <w:tabs>
          <w:tab w:val="right" w:leader="dot" w:pos="9355"/>
        </w:tabs>
      </w:pPr>
      <w:r>
        <w:fldChar w:fldCharType="begin"/>
      </w:r>
      <w:r>
        <w:instrText xml:space="preserve"> HYPERLINK \l "_Toc21661" </w:instrText>
      </w:r>
      <w:r>
        <w:fldChar w:fldCharType="separate"/>
      </w:r>
      <w:r>
        <w:rPr>
          <w:kern w:val="0"/>
          <w:szCs w:val="21"/>
        </w:rPr>
        <w:t>1.总则</w:t>
      </w:r>
      <w:r>
        <w:tab/>
      </w:r>
      <w:r>
        <w:fldChar w:fldCharType="end"/>
      </w:r>
    </w:p>
    <w:p w14:paraId="713D6DC2">
      <w:pPr>
        <w:pStyle w:val="26"/>
        <w:tabs>
          <w:tab w:val="right" w:leader="dot" w:pos="9355"/>
        </w:tabs>
      </w:pPr>
      <w:r>
        <w:fldChar w:fldCharType="begin"/>
      </w:r>
      <w:r>
        <w:instrText xml:space="preserve"> HYPERLINK \l "_Toc15773" </w:instrText>
      </w:r>
      <w:r>
        <w:fldChar w:fldCharType="separate"/>
      </w:r>
      <w:r>
        <w:rPr>
          <w:kern w:val="0"/>
          <w:szCs w:val="21"/>
        </w:rPr>
        <w:t>2.竞争性谈判文件组成</w:t>
      </w:r>
      <w:r>
        <w:tab/>
      </w:r>
      <w:r>
        <w:fldChar w:fldCharType="end"/>
      </w:r>
    </w:p>
    <w:p w14:paraId="5CA8A72F">
      <w:pPr>
        <w:pStyle w:val="26"/>
        <w:tabs>
          <w:tab w:val="right" w:leader="dot" w:pos="9355"/>
        </w:tabs>
      </w:pPr>
      <w:r>
        <w:fldChar w:fldCharType="begin"/>
      </w:r>
      <w:r>
        <w:instrText xml:space="preserve"> HYPERLINK \l "_Toc8244" </w:instrText>
      </w:r>
      <w:r>
        <w:fldChar w:fldCharType="separate"/>
      </w:r>
      <w:r>
        <w:rPr>
          <w:kern w:val="0"/>
          <w:szCs w:val="21"/>
        </w:rPr>
        <w:t>3.谈判说明</w:t>
      </w:r>
      <w:r>
        <w:tab/>
      </w:r>
      <w:r>
        <w:fldChar w:fldCharType="end"/>
      </w:r>
    </w:p>
    <w:p w14:paraId="4D228BB7">
      <w:pPr>
        <w:pStyle w:val="26"/>
        <w:tabs>
          <w:tab w:val="right" w:leader="dot" w:pos="9355"/>
        </w:tabs>
      </w:pPr>
      <w:r>
        <w:fldChar w:fldCharType="begin"/>
      </w:r>
      <w:r>
        <w:instrText xml:space="preserve"> HYPERLINK \l "_Toc22619" </w:instrText>
      </w:r>
      <w:r>
        <w:fldChar w:fldCharType="separate"/>
      </w:r>
      <w:r>
        <w:rPr>
          <w:kern w:val="0"/>
          <w:szCs w:val="21"/>
        </w:rPr>
        <w:t>4.合同签订</w:t>
      </w:r>
      <w:r>
        <w:tab/>
      </w:r>
      <w:r>
        <w:fldChar w:fldCharType="end"/>
      </w:r>
    </w:p>
    <w:p w14:paraId="4156DCEC">
      <w:pPr>
        <w:pStyle w:val="22"/>
        <w:tabs>
          <w:tab w:val="right" w:leader="dot" w:pos="9355"/>
        </w:tabs>
      </w:pPr>
      <w:r>
        <w:fldChar w:fldCharType="begin"/>
      </w:r>
      <w:r>
        <w:instrText xml:space="preserve"> HYPERLINK \l "_Toc22692" </w:instrText>
      </w:r>
      <w:r>
        <w:fldChar w:fldCharType="separate"/>
      </w:r>
      <w:r>
        <w:t>第</w:t>
      </w:r>
      <w:r>
        <w:rPr>
          <w:kern w:val="44"/>
          <w:szCs w:val="28"/>
        </w:rPr>
        <w:t xml:space="preserve">二章 </w:t>
      </w:r>
      <w:r>
        <w:rPr>
          <w:szCs w:val="28"/>
        </w:rPr>
        <w:t>委托人要求</w:t>
      </w:r>
      <w:r>
        <w:tab/>
      </w:r>
      <w:r>
        <w:fldChar w:fldCharType="end"/>
      </w:r>
    </w:p>
    <w:p w14:paraId="3C6623B9">
      <w:pPr>
        <w:pStyle w:val="22"/>
        <w:tabs>
          <w:tab w:val="right" w:leader="dot" w:pos="9355"/>
        </w:tabs>
      </w:pPr>
      <w:r>
        <w:fldChar w:fldCharType="begin"/>
      </w:r>
      <w:r>
        <w:instrText xml:space="preserve"> HYPERLINK \l "_Toc13119" </w:instrText>
      </w:r>
      <w:r>
        <w:fldChar w:fldCharType="separate"/>
      </w:r>
      <w:r>
        <w:rPr>
          <w:szCs w:val="28"/>
        </w:rPr>
        <w:t>第三章 合同</w:t>
      </w:r>
      <w:r>
        <w:tab/>
      </w:r>
      <w:r>
        <w:fldChar w:fldCharType="end"/>
      </w:r>
    </w:p>
    <w:p w14:paraId="35754FD1">
      <w:pPr>
        <w:pStyle w:val="22"/>
        <w:tabs>
          <w:tab w:val="right" w:leader="dot" w:pos="9355"/>
        </w:tabs>
      </w:pPr>
      <w:r>
        <w:fldChar w:fldCharType="begin"/>
      </w:r>
      <w:r>
        <w:instrText xml:space="preserve"> HYPERLINK \l "_Toc15382" </w:instrText>
      </w:r>
      <w:r>
        <w:fldChar w:fldCharType="separate"/>
      </w:r>
      <w:r>
        <w:rPr>
          <w:szCs w:val="28"/>
        </w:rPr>
        <w:t>第四章 响应文件格式</w:t>
      </w:r>
      <w:r>
        <w:tab/>
      </w:r>
      <w:r>
        <w:fldChar w:fldCharType="end"/>
      </w:r>
    </w:p>
    <w:p w14:paraId="7083D612">
      <w:pPr>
        <w:pStyle w:val="26"/>
        <w:tabs>
          <w:tab w:val="right" w:leader="dot" w:pos="9355"/>
        </w:tabs>
      </w:pPr>
      <w:r>
        <w:fldChar w:fldCharType="begin"/>
      </w:r>
      <w:r>
        <w:instrText xml:space="preserve"> HYPERLINK \l "_Toc18570" </w:instrText>
      </w:r>
      <w:r>
        <w:fldChar w:fldCharType="separate"/>
      </w:r>
      <w:r>
        <w:rPr>
          <w:szCs w:val="28"/>
        </w:rPr>
        <w:t>目 录</w:t>
      </w:r>
      <w:r>
        <w:tab/>
      </w:r>
      <w:r>
        <w:fldChar w:fldCharType="end"/>
      </w:r>
    </w:p>
    <w:p w14:paraId="0CB865E1">
      <w:pPr>
        <w:pStyle w:val="26"/>
        <w:tabs>
          <w:tab w:val="right" w:leader="dot" w:pos="9355"/>
        </w:tabs>
      </w:pPr>
      <w:r>
        <w:fldChar w:fldCharType="begin"/>
      </w:r>
      <w:r>
        <w:instrText xml:space="preserve"> HYPERLINK \l "_Toc7028" </w:instrText>
      </w:r>
      <w:r>
        <w:fldChar w:fldCharType="separate"/>
      </w:r>
      <w:r>
        <w:rPr>
          <w:szCs w:val="21"/>
        </w:rPr>
        <w:t>一、法定代表人（单位负责人）身份证明</w:t>
      </w:r>
      <w:r>
        <w:tab/>
      </w:r>
      <w:r>
        <w:fldChar w:fldCharType="end"/>
      </w:r>
    </w:p>
    <w:p w14:paraId="19292D9A">
      <w:pPr>
        <w:pStyle w:val="26"/>
        <w:tabs>
          <w:tab w:val="right" w:leader="dot" w:pos="9355"/>
        </w:tabs>
      </w:pPr>
      <w:r>
        <w:fldChar w:fldCharType="begin"/>
      </w:r>
      <w:r>
        <w:instrText xml:space="preserve"> HYPERLINK \l "_Toc12892" </w:instrText>
      </w:r>
      <w:r>
        <w:fldChar w:fldCharType="separate"/>
      </w:r>
      <w:r>
        <w:rPr>
          <w:szCs w:val="21"/>
        </w:rPr>
        <w:t>二、授权委托书</w:t>
      </w:r>
      <w:r>
        <w:tab/>
      </w:r>
      <w:r>
        <w:fldChar w:fldCharType="end"/>
      </w:r>
    </w:p>
    <w:p w14:paraId="5BC71DA6">
      <w:pPr>
        <w:pStyle w:val="26"/>
        <w:tabs>
          <w:tab w:val="right" w:leader="dot" w:pos="9355"/>
        </w:tabs>
      </w:pPr>
      <w:r>
        <w:fldChar w:fldCharType="begin"/>
      </w:r>
      <w:r>
        <w:instrText xml:space="preserve"> HYPERLINK \l "_Toc5474" </w:instrText>
      </w:r>
      <w:r>
        <w:fldChar w:fldCharType="separate"/>
      </w:r>
      <w:r>
        <w:rPr>
          <w:szCs w:val="21"/>
        </w:rPr>
        <w:t>三、联合体协议书（如有）</w:t>
      </w:r>
      <w:r>
        <w:tab/>
      </w:r>
      <w:r>
        <w:fldChar w:fldCharType="end"/>
      </w:r>
    </w:p>
    <w:p w14:paraId="00C945B2">
      <w:pPr>
        <w:pStyle w:val="26"/>
        <w:tabs>
          <w:tab w:val="right" w:leader="dot" w:pos="9355"/>
        </w:tabs>
      </w:pPr>
      <w:r>
        <w:fldChar w:fldCharType="begin"/>
      </w:r>
      <w:r>
        <w:instrText xml:space="preserve"> HYPERLINK \l "_Toc12548" </w:instrText>
      </w:r>
      <w:r>
        <w:fldChar w:fldCharType="separate"/>
      </w:r>
      <w:r>
        <w:rPr>
          <w:szCs w:val="21"/>
        </w:rPr>
        <w:t>四、商务和技术偏差表</w:t>
      </w:r>
      <w:r>
        <w:tab/>
      </w:r>
      <w:r>
        <w:fldChar w:fldCharType="end"/>
      </w:r>
    </w:p>
    <w:p w14:paraId="44836FB7">
      <w:pPr>
        <w:pStyle w:val="26"/>
        <w:tabs>
          <w:tab w:val="right" w:leader="dot" w:pos="9355"/>
        </w:tabs>
      </w:pPr>
      <w:r>
        <w:fldChar w:fldCharType="begin"/>
      </w:r>
      <w:r>
        <w:instrText xml:space="preserve"> HYPERLINK \l "_Toc7213" </w:instrText>
      </w:r>
      <w:r>
        <w:fldChar w:fldCharType="separate"/>
      </w:r>
      <w:r>
        <w:rPr>
          <w:szCs w:val="21"/>
        </w:rPr>
        <w:t>五、资格审查资料</w:t>
      </w:r>
      <w:r>
        <w:tab/>
      </w:r>
      <w:r>
        <w:fldChar w:fldCharType="end"/>
      </w:r>
    </w:p>
    <w:p w14:paraId="0161A636">
      <w:pPr>
        <w:pStyle w:val="26"/>
        <w:tabs>
          <w:tab w:val="right" w:leader="dot" w:pos="9355"/>
        </w:tabs>
      </w:pPr>
      <w:r>
        <w:fldChar w:fldCharType="begin"/>
      </w:r>
      <w:r>
        <w:instrText xml:space="preserve"> HYPERLINK \l "_Toc15348" </w:instrText>
      </w:r>
      <w:r>
        <w:fldChar w:fldCharType="separate"/>
      </w:r>
      <w:r>
        <w:rPr>
          <w:szCs w:val="21"/>
        </w:rPr>
        <w:t>六、近年完成的类似项目情况表</w:t>
      </w:r>
      <w:r>
        <w:tab/>
      </w:r>
      <w:r>
        <w:fldChar w:fldCharType="end"/>
      </w:r>
    </w:p>
    <w:p w14:paraId="1A3225AF">
      <w:pPr>
        <w:pStyle w:val="26"/>
        <w:tabs>
          <w:tab w:val="right" w:leader="dot" w:pos="9355"/>
        </w:tabs>
      </w:pPr>
      <w:r>
        <w:fldChar w:fldCharType="begin"/>
      </w:r>
      <w:r>
        <w:instrText xml:space="preserve"> HYPERLINK \l "_Toc9871" </w:instrText>
      </w:r>
      <w:r>
        <w:fldChar w:fldCharType="separate"/>
      </w:r>
      <w:r>
        <w:rPr>
          <w:szCs w:val="21"/>
        </w:rPr>
        <w:t>七、服务大纲</w:t>
      </w:r>
      <w:r>
        <w:tab/>
      </w:r>
      <w:r>
        <w:fldChar w:fldCharType="end"/>
      </w:r>
    </w:p>
    <w:p w14:paraId="10DC69AB">
      <w:pPr>
        <w:pStyle w:val="26"/>
        <w:tabs>
          <w:tab w:val="right" w:leader="dot" w:pos="9355"/>
        </w:tabs>
      </w:pPr>
      <w:r>
        <w:fldChar w:fldCharType="begin"/>
      </w:r>
      <w:r>
        <w:instrText xml:space="preserve"> HYPERLINK \l "_Toc32732" </w:instrText>
      </w:r>
      <w:r>
        <w:fldChar w:fldCharType="separate"/>
      </w:r>
      <w:r>
        <w:rPr>
          <w:szCs w:val="28"/>
        </w:rPr>
        <w:t>目 录</w:t>
      </w:r>
      <w:r>
        <w:tab/>
      </w:r>
      <w:r>
        <w:fldChar w:fldCharType="end"/>
      </w:r>
    </w:p>
    <w:p w14:paraId="72CE81D9">
      <w:pPr>
        <w:pStyle w:val="26"/>
        <w:tabs>
          <w:tab w:val="right" w:leader="dot" w:pos="9355"/>
        </w:tabs>
      </w:pPr>
      <w:r>
        <w:fldChar w:fldCharType="begin"/>
      </w:r>
      <w:r>
        <w:instrText xml:space="preserve"> HYPERLINK \l "_Toc973" </w:instrText>
      </w:r>
      <w:r>
        <w:fldChar w:fldCharType="separate"/>
      </w:r>
      <w:r>
        <w:rPr>
          <w:szCs w:val="21"/>
        </w:rPr>
        <w:t>一、响应函</w:t>
      </w:r>
      <w:r>
        <w:tab/>
      </w:r>
      <w:r>
        <w:fldChar w:fldCharType="end"/>
      </w:r>
    </w:p>
    <w:p w14:paraId="77585747">
      <w:pPr>
        <w:pStyle w:val="26"/>
        <w:tabs>
          <w:tab w:val="right" w:leader="dot" w:pos="9355"/>
        </w:tabs>
      </w:pPr>
      <w:r>
        <w:fldChar w:fldCharType="begin"/>
      </w:r>
      <w:r>
        <w:instrText xml:space="preserve"> HYPERLINK \l "_Toc30430" </w:instrText>
      </w:r>
      <w:r>
        <w:fldChar w:fldCharType="separate"/>
      </w:r>
      <w:r>
        <w:rPr>
          <w:szCs w:val="21"/>
        </w:rPr>
        <w:t>二、报价格式</w:t>
      </w:r>
      <w:r>
        <w:tab/>
      </w:r>
      <w:r>
        <w:fldChar w:fldCharType="end"/>
      </w:r>
    </w:p>
    <w:p w14:paraId="1319478A">
      <w:pPr>
        <w:spacing w:line="360" w:lineRule="auto"/>
        <w:rPr>
          <w:rFonts w:eastAsia="仿宋_GB2312"/>
          <w:szCs w:val="36"/>
        </w:rPr>
      </w:pPr>
      <w:r>
        <w:rPr>
          <w:rFonts w:eastAsia="仿宋_GB2312"/>
          <w:szCs w:val="36"/>
        </w:rPr>
        <w:fldChar w:fldCharType="end"/>
      </w:r>
    </w:p>
    <w:p w14:paraId="4BDA3FA4">
      <w:pPr>
        <w:pStyle w:val="30"/>
        <w:ind w:firstLine="560"/>
        <w:rPr>
          <w:rFonts w:eastAsia="仿宋_GB2312"/>
          <w:szCs w:val="36"/>
        </w:rPr>
      </w:pPr>
    </w:p>
    <w:p w14:paraId="0EC84D80">
      <w:pPr>
        <w:pStyle w:val="30"/>
        <w:ind w:firstLine="560"/>
        <w:rPr>
          <w:rFonts w:eastAsia="仿宋_GB2312"/>
          <w:szCs w:val="36"/>
        </w:rPr>
      </w:pPr>
    </w:p>
    <w:p w14:paraId="3551CF96">
      <w:pPr>
        <w:pStyle w:val="30"/>
        <w:ind w:firstLine="560"/>
        <w:rPr>
          <w:rFonts w:eastAsia="仿宋_GB2312"/>
          <w:szCs w:val="36"/>
        </w:rPr>
      </w:pPr>
    </w:p>
    <w:p w14:paraId="1E958E27">
      <w:pPr>
        <w:pStyle w:val="30"/>
        <w:ind w:firstLine="560"/>
        <w:rPr>
          <w:rFonts w:eastAsia="仿宋_GB2312"/>
          <w:szCs w:val="36"/>
        </w:rPr>
      </w:pPr>
    </w:p>
    <w:p w14:paraId="6A7B2DC8">
      <w:pPr>
        <w:pStyle w:val="30"/>
        <w:ind w:firstLine="560"/>
        <w:rPr>
          <w:rFonts w:eastAsia="仿宋_GB2312"/>
          <w:szCs w:val="36"/>
        </w:rPr>
      </w:pPr>
    </w:p>
    <w:p w14:paraId="129833AA">
      <w:pPr>
        <w:pStyle w:val="30"/>
        <w:ind w:firstLine="560"/>
        <w:rPr>
          <w:rFonts w:eastAsia="仿宋_GB2312"/>
          <w:szCs w:val="36"/>
        </w:rPr>
      </w:pPr>
    </w:p>
    <w:p w14:paraId="7402CAB6">
      <w:pPr>
        <w:pStyle w:val="30"/>
        <w:ind w:firstLine="560"/>
        <w:rPr>
          <w:rFonts w:eastAsia="仿宋_GB2312"/>
          <w:szCs w:val="36"/>
        </w:rPr>
      </w:pPr>
    </w:p>
    <w:p w14:paraId="2A278CAC">
      <w:pPr>
        <w:pStyle w:val="30"/>
        <w:ind w:firstLine="560"/>
        <w:rPr>
          <w:rFonts w:eastAsia="仿宋_GB2312"/>
          <w:szCs w:val="36"/>
        </w:rPr>
      </w:pPr>
    </w:p>
    <w:p w14:paraId="4A4C7355">
      <w:pPr>
        <w:pStyle w:val="30"/>
        <w:ind w:firstLine="560"/>
        <w:rPr>
          <w:rFonts w:eastAsia="仿宋_GB2312"/>
          <w:szCs w:val="36"/>
        </w:rPr>
      </w:pPr>
    </w:p>
    <w:p w14:paraId="71F15D57">
      <w:pPr>
        <w:pStyle w:val="30"/>
        <w:ind w:firstLine="560"/>
        <w:rPr>
          <w:rFonts w:eastAsia="仿宋_GB2312"/>
          <w:szCs w:val="36"/>
        </w:rPr>
      </w:pPr>
    </w:p>
    <w:p w14:paraId="5396CE29">
      <w:pPr>
        <w:pStyle w:val="30"/>
        <w:ind w:firstLine="560"/>
        <w:rPr>
          <w:rFonts w:eastAsia="仿宋_GB2312"/>
          <w:szCs w:val="36"/>
        </w:rPr>
      </w:pPr>
    </w:p>
    <w:p w14:paraId="5B6FE8F6">
      <w:pPr>
        <w:pStyle w:val="30"/>
        <w:ind w:firstLine="560"/>
        <w:rPr>
          <w:rFonts w:eastAsia="仿宋_GB2312"/>
          <w:szCs w:val="36"/>
        </w:rPr>
      </w:pPr>
    </w:p>
    <w:p w14:paraId="6F491F0C">
      <w:pPr>
        <w:spacing w:line="360" w:lineRule="auto"/>
        <w:jc w:val="center"/>
        <w:rPr>
          <w:rFonts w:eastAsia="仿宋_GB2312"/>
          <w:b/>
          <w:sz w:val="36"/>
          <w:szCs w:val="36"/>
        </w:rPr>
        <w:sectPr>
          <w:headerReference r:id="rId4" w:type="first"/>
          <w:footerReference r:id="rId6" w:type="first"/>
          <w:footerReference r:id="rId5" w:type="default"/>
          <w:pgSz w:w="11906" w:h="16838"/>
          <w:pgMar w:top="1417" w:right="1134" w:bottom="1134" w:left="1417" w:header="851" w:footer="850" w:gutter="0"/>
          <w:pgNumType w:start="1"/>
          <w:cols w:space="720" w:num="1"/>
          <w:titlePg/>
          <w:docGrid w:linePitch="312" w:charSpace="0"/>
        </w:sectPr>
      </w:pPr>
    </w:p>
    <w:p w14:paraId="63390EF6">
      <w:pPr>
        <w:pStyle w:val="2"/>
        <w:numPr>
          <w:ilvl w:val="0"/>
          <w:numId w:val="1"/>
        </w:numPr>
        <w:adjustRightInd w:val="0"/>
        <w:snapToGrid w:val="0"/>
        <w:spacing w:before="0" w:after="0" w:line="360" w:lineRule="auto"/>
        <w:jc w:val="center"/>
        <w:rPr>
          <w:sz w:val="28"/>
          <w:szCs w:val="28"/>
        </w:rPr>
      </w:pPr>
      <w:bookmarkStart w:id="1" w:name="_Toc247527551"/>
      <w:bookmarkStart w:id="2" w:name="_Toc30112"/>
      <w:bookmarkStart w:id="3" w:name="_Toc300834947"/>
      <w:bookmarkStart w:id="4" w:name="_Toc247513950"/>
      <w:bookmarkStart w:id="5" w:name="_Toc144974495"/>
      <w:bookmarkStart w:id="6" w:name="_Toc21240"/>
      <w:bookmarkStart w:id="7" w:name="_Toc152045527"/>
      <w:bookmarkStart w:id="8" w:name="_Toc152042303"/>
      <w:bookmarkStart w:id="9" w:name="_Toc4273"/>
      <w:r>
        <w:rPr>
          <w:sz w:val="28"/>
          <w:szCs w:val="28"/>
        </w:rPr>
        <w:t>响应人须知</w:t>
      </w:r>
      <w:bookmarkEnd w:id="1"/>
      <w:bookmarkEnd w:id="2"/>
      <w:bookmarkEnd w:id="3"/>
      <w:bookmarkEnd w:id="4"/>
      <w:bookmarkEnd w:id="5"/>
      <w:bookmarkEnd w:id="6"/>
      <w:bookmarkEnd w:id="7"/>
      <w:bookmarkEnd w:id="8"/>
      <w:bookmarkEnd w:id="9"/>
    </w:p>
    <w:p w14:paraId="1EFFDA19">
      <w:pPr>
        <w:pStyle w:val="2"/>
        <w:adjustRightInd w:val="0"/>
        <w:snapToGrid w:val="0"/>
        <w:spacing w:before="0" w:after="0" w:line="360" w:lineRule="auto"/>
        <w:ind w:firstLine="281" w:firstLineChars="100"/>
        <w:jc w:val="center"/>
        <w:rPr>
          <w:sz w:val="28"/>
          <w:szCs w:val="28"/>
        </w:rPr>
      </w:pPr>
      <w:r>
        <w:rPr>
          <w:sz w:val="28"/>
          <w:szCs w:val="28"/>
        </w:rPr>
        <w:t>Instructions pour les soumissionnaires</w:t>
      </w:r>
    </w:p>
    <w:p w14:paraId="585EA5AE">
      <w:pPr>
        <w:pStyle w:val="3"/>
        <w:keepLines/>
        <w:widowControl/>
        <w:adjustRightInd/>
        <w:spacing w:before="0" w:after="0" w:line="360" w:lineRule="auto"/>
        <w:jc w:val="both"/>
        <w:textAlignment w:val="auto"/>
        <w:rPr>
          <w:rFonts w:ascii="Times New Roman" w:hAnsi="Times New Roman"/>
          <w:bCs/>
          <w:kern w:val="2"/>
          <w:sz w:val="21"/>
          <w:szCs w:val="21"/>
        </w:rPr>
      </w:pPr>
      <w:bookmarkStart w:id="10" w:name="_Toc9980"/>
      <w:bookmarkStart w:id="11" w:name="_Toc6561309"/>
      <w:bookmarkStart w:id="12" w:name="_Toc27752"/>
      <w:r>
        <w:rPr>
          <w:rFonts w:ascii="Times New Roman" w:hAnsi="Times New Roman"/>
          <w:bCs/>
          <w:kern w:val="2"/>
          <w:sz w:val="21"/>
          <w:szCs w:val="21"/>
        </w:rPr>
        <w:t>响应人须知前附表</w:t>
      </w:r>
      <w:bookmarkEnd w:id="10"/>
      <w:bookmarkEnd w:id="11"/>
      <w:bookmarkEnd w:id="12"/>
    </w:p>
    <w:p w14:paraId="4206F1AE">
      <w:pPr>
        <w:rPr>
          <w:lang w:val="fr-FR"/>
        </w:rPr>
      </w:pPr>
      <w:r>
        <w:rPr>
          <w:lang w:val="fr-FR"/>
        </w:rPr>
        <w:t>Annexe préliminaire des Instructions pour les soumissionnaires</w:t>
      </w:r>
    </w:p>
    <w:tbl>
      <w:tblPr>
        <w:tblStyle w:val="31"/>
        <w:tblW w:w="94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693"/>
        <w:gridCol w:w="1212"/>
        <w:gridCol w:w="4679"/>
        <w:gridCol w:w="933"/>
      </w:tblGrid>
      <w:tr w14:paraId="323394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1F728883">
            <w:pPr>
              <w:adjustRightInd w:val="0"/>
              <w:snapToGrid w:val="0"/>
              <w:jc w:val="center"/>
              <w:rPr>
                <w:b/>
              </w:rPr>
            </w:pPr>
            <w:r>
              <w:rPr>
                <w:b/>
              </w:rPr>
              <w:t>序号</w:t>
            </w:r>
          </w:p>
          <w:p w14:paraId="07EBDD70">
            <w:pPr>
              <w:pStyle w:val="20"/>
              <w:jc w:val="center"/>
            </w:pPr>
            <w:r>
              <w:rPr>
                <w:b/>
              </w:rPr>
              <w:t>Nº</w:t>
            </w:r>
          </w:p>
        </w:tc>
        <w:tc>
          <w:tcPr>
            <w:tcW w:w="1693" w:type="dxa"/>
            <w:vAlign w:val="center"/>
          </w:tcPr>
          <w:p w14:paraId="7E9ACEFA">
            <w:pPr>
              <w:adjustRightInd w:val="0"/>
              <w:snapToGrid w:val="0"/>
              <w:jc w:val="center"/>
              <w:rPr>
                <w:b/>
              </w:rPr>
            </w:pPr>
            <w:r>
              <w:rPr>
                <w:b/>
              </w:rPr>
              <w:t>条款名称</w:t>
            </w:r>
          </w:p>
          <w:p w14:paraId="14033CFE">
            <w:pPr>
              <w:adjustRightInd w:val="0"/>
              <w:snapToGrid w:val="0"/>
              <w:jc w:val="center"/>
              <w:rPr>
                <w:b/>
              </w:rPr>
            </w:pPr>
            <w:r>
              <w:rPr>
                <w:b/>
              </w:rPr>
              <w:t>Nom de l'article</w:t>
            </w:r>
          </w:p>
        </w:tc>
        <w:tc>
          <w:tcPr>
            <w:tcW w:w="5891" w:type="dxa"/>
            <w:gridSpan w:val="2"/>
            <w:vAlign w:val="center"/>
          </w:tcPr>
          <w:p w14:paraId="5B478C9A">
            <w:pPr>
              <w:adjustRightInd w:val="0"/>
              <w:snapToGrid w:val="0"/>
              <w:jc w:val="center"/>
              <w:rPr>
                <w:b/>
              </w:rPr>
            </w:pPr>
            <w:r>
              <w:rPr>
                <w:b/>
              </w:rPr>
              <w:t>编 列 内 容</w:t>
            </w:r>
          </w:p>
          <w:p w14:paraId="62E9CFDA">
            <w:pPr>
              <w:adjustRightInd w:val="0"/>
              <w:snapToGrid w:val="0"/>
              <w:jc w:val="center"/>
              <w:rPr>
                <w:b/>
              </w:rPr>
            </w:pPr>
            <w:r>
              <w:rPr>
                <w:b/>
              </w:rPr>
              <w:t>Contenu</w:t>
            </w:r>
            <w:r>
              <w:rPr>
                <w:b/>
              </w:rPr>
              <w:tab/>
            </w:r>
            <w:r>
              <w:rPr>
                <w:b/>
              </w:rPr>
              <w:t xml:space="preserve"> </w:t>
            </w:r>
          </w:p>
        </w:tc>
        <w:tc>
          <w:tcPr>
            <w:tcW w:w="933" w:type="dxa"/>
            <w:vAlign w:val="center"/>
          </w:tcPr>
          <w:p w14:paraId="3ED7CB37">
            <w:pPr>
              <w:adjustRightInd w:val="0"/>
              <w:snapToGrid w:val="0"/>
              <w:jc w:val="center"/>
              <w:rPr>
                <w:b/>
              </w:rPr>
            </w:pPr>
            <w:r>
              <w:rPr>
                <w:b/>
              </w:rPr>
              <w:t>条款号Nº de l'article</w:t>
            </w:r>
          </w:p>
          <w:p w14:paraId="779BE1D5">
            <w:pPr>
              <w:pStyle w:val="20"/>
            </w:pPr>
          </w:p>
        </w:tc>
      </w:tr>
      <w:tr w14:paraId="39BFA2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7FE60FC1">
            <w:pPr>
              <w:numPr>
                <w:ilvl w:val="0"/>
                <w:numId w:val="2"/>
              </w:numPr>
              <w:adjustRightInd w:val="0"/>
              <w:snapToGrid w:val="0"/>
              <w:jc w:val="center"/>
            </w:pPr>
          </w:p>
        </w:tc>
        <w:tc>
          <w:tcPr>
            <w:tcW w:w="1693" w:type="dxa"/>
            <w:vAlign w:val="center"/>
          </w:tcPr>
          <w:p w14:paraId="37F76B61">
            <w:pPr>
              <w:adjustRightInd w:val="0"/>
              <w:snapToGrid w:val="0"/>
              <w:jc w:val="center"/>
            </w:pPr>
            <w:r>
              <w:t>采购人</w:t>
            </w:r>
          </w:p>
          <w:p w14:paraId="29DF4347">
            <w:pPr>
              <w:pStyle w:val="20"/>
              <w:jc w:val="center"/>
            </w:pPr>
            <w:r>
              <w:t>Acheteur</w:t>
            </w:r>
          </w:p>
        </w:tc>
        <w:tc>
          <w:tcPr>
            <w:tcW w:w="5891" w:type="dxa"/>
            <w:gridSpan w:val="2"/>
            <w:vAlign w:val="center"/>
          </w:tcPr>
          <w:p w14:paraId="7524C8DE">
            <w:pPr>
              <w:adjustRightInd w:val="0"/>
              <w:snapToGrid w:val="0"/>
            </w:pPr>
            <w:r>
              <w:t>国家电投国际投资开发（几内亚）有限责任公司</w:t>
            </w:r>
          </w:p>
          <w:p w14:paraId="1F3AD0D4">
            <w:pPr>
              <w:adjustRightInd w:val="0"/>
              <w:snapToGrid w:val="0"/>
            </w:pPr>
            <w:r>
              <w:t>SPIC International Investment &amp; Development (Guinea) Co., Ltd</w:t>
            </w:r>
          </w:p>
        </w:tc>
        <w:tc>
          <w:tcPr>
            <w:tcW w:w="933" w:type="dxa"/>
            <w:vAlign w:val="center"/>
          </w:tcPr>
          <w:p w14:paraId="2E6A2950">
            <w:pPr>
              <w:adjustRightInd w:val="0"/>
              <w:snapToGrid w:val="0"/>
              <w:jc w:val="center"/>
            </w:pPr>
            <w:r>
              <w:t>1.1.1</w:t>
            </w:r>
          </w:p>
        </w:tc>
      </w:tr>
      <w:tr w14:paraId="7AA397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07D569EB">
            <w:pPr>
              <w:numPr>
                <w:ilvl w:val="0"/>
                <w:numId w:val="2"/>
              </w:numPr>
              <w:adjustRightInd w:val="0"/>
              <w:snapToGrid w:val="0"/>
              <w:jc w:val="center"/>
            </w:pPr>
          </w:p>
        </w:tc>
        <w:tc>
          <w:tcPr>
            <w:tcW w:w="1693" w:type="dxa"/>
            <w:vAlign w:val="center"/>
          </w:tcPr>
          <w:p w14:paraId="214D0EE0">
            <w:pPr>
              <w:adjustRightInd w:val="0"/>
              <w:snapToGrid w:val="0"/>
              <w:jc w:val="center"/>
            </w:pPr>
            <w:r>
              <w:t>项目单位</w:t>
            </w:r>
          </w:p>
          <w:p w14:paraId="24406B30">
            <w:pPr>
              <w:pStyle w:val="20"/>
              <w:jc w:val="center"/>
              <w:rPr>
                <w:lang w:val="fr-FR"/>
              </w:rPr>
            </w:pPr>
            <w:r>
              <w:rPr>
                <w:lang w:val="fr-FR"/>
              </w:rPr>
              <w:t>Société de projet</w:t>
            </w:r>
          </w:p>
        </w:tc>
        <w:tc>
          <w:tcPr>
            <w:tcW w:w="5891" w:type="dxa"/>
            <w:gridSpan w:val="2"/>
            <w:vAlign w:val="center"/>
          </w:tcPr>
          <w:p w14:paraId="565CD2AC">
            <w:pPr>
              <w:adjustRightInd w:val="0"/>
              <w:snapToGrid w:val="0"/>
            </w:pPr>
            <w:r>
              <w:t>几内亚高丽亚矿山股份有限公司</w:t>
            </w:r>
          </w:p>
          <w:p w14:paraId="420B0034">
            <w:pPr>
              <w:adjustRightInd w:val="0"/>
              <w:snapToGrid w:val="0"/>
            </w:pPr>
            <w:r>
              <w:t>Guinea Colia Mining S.A.</w:t>
            </w:r>
          </w:p>
        </w:tc>
        <w:tc>
          <w:tcPr>
            <w:tcW w:w="933" w:type="dxa"/>
            <w:vAlign w:val="center"/>
          </w:tcPr>
          <w:p w14:paraId="3B139E10">
            <w:pPr>
              <w:adjustRightInd w:val="0"/>
              <w:snapToGrid w:val="0"/>
              <w:jc w:val="center"/>
              <w:rPr>
                <w:szCs w:val="21"/>
              </w:rPr>
            </w:pPr>
            <w:r>
              <w:t>1.1.2</w:t>
            </w:r>
          </w:p>
        </w:tc>
      </w:tr>
      <w:tr w14:paraId="7D47ED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70E9226D">
            <w:pPr>
              <w:numPr>
                <w:ilvl w:val="0"/>
                <w:numId w:val="2"/>
              </w:numPr>
              <w:adjustRightInd w:val="0"/>
              <w:snapToGrid w:val="0"/>
              <w:jc w:val="center"/>
            </w:pPr>
          </w:p>
        </w:tc>
        <w:tc>
          <w:tcPr>
            <w:tcW w:w="1693" w:type="dxa"/>
            <w:vAlign w:val="center"/>
          </w:tcPr>
          <w:p w14:paraId="3ADAA935">
            <w:pPr>
              <w:adjustRightInd w:val="0"/>
              <w:snapToGrid w:val="0"/>
              <w:jc w:val="center"/>
            </w:pPr>
            <w:r>
              <w:t>项目名称</w:t>
            </w:r>
          </w:p>
          <w:p w14:paraId="719A2899">
            <w:pPr>
              <w:pStyle w:val="20"/>
              <w:jc w:val="center"/>
            </w:pPr>
            <w:r>
              <w:t>Nom du projet</w:t>
            </w:r>
          </w:p>
        </w:tc>
        <w:tc>
          <w:tcPr>
            <w:tcW w:w="5891" w:type="dxa"/>
            <w:gridSpan w:val="2"/>
            <w:vAlign w:val="center"/>
          </w:tcPr>
          <w:p w14:paraId="42146753">
            <w:pPr>
              <w:pStyle w:val="157"/>
              <w:adjustRightInd w:val="0"/>
              <w:snapToGrid w:val="0"/>
              <w:rPr>
                <w:rFonts w:ascii="Times New Roman" w:hAnsi="Times New Roman"/>
                <w:lang w:eastAsia="zh-CN"/>
              </w:rPr>
            </w:pPr>
            <w:r>
              <w:rPr>
                <w:rFonts w:ascii="Times New Roman" w:hAnsi="Times New Roman"/>
                <w:lang w:eastAsia="zh-CN"/>
              </w:rPr>
              <w:t>国家电投国际投资开发（几内亚）有限责任公司铝土矿道路运输服务项目</w:t>
            </w:r>
          </w:p>
          <w:p w14:paraId="23CCAACE">
            <w:pPr>
              <w:pStyle w:val="157"/>
              <w:adjustRightInd w:val="0"/>
              <w:snapToGrid w:val="0"/>
              <w:rPr>
                <w:rFonts w:ascii="Times New Roman" w:hAnsi="Times New Roman"/>
                <w:lang w:val="fr-FR" w:eastAsia="zh-CN"/>
              </w:rPr>
            </w:pPr>
            <w:r>
              <w:rPr>
                <w:rFonts w:ascii="Times New Roman" w:hAnsi="Times New Roman"/>
                <w:kern w:val="2"/>
                <w:sz w:val="21"/>
                <w:lang w:val="fr-FR" w:eastAsia="zh-CN"/>
              </w:rPr>
              <w:t>Projet de services de transport routier pour la bauxite de SPIC International Investment &amp; Development (Guinea) Co., Ltd.</w:t>
            </w:r>
          </w:p>
        </w:tc>
        <w:tc>
          <w:tcPr>
            <w:tcW w:w="933" w:type="dxa"/>
            <w:vAlign w:val="center"/>
          </w:tcPr>
          <w:p w14:paraId="7DC15788">
            <w:pPr>
              <w:adjustRightInd w:val="0"/>
              <w:snapToGrid w:val="0"/>
              <w:jc w:val="center"/>
              <w:rPr>
                <w:szCs w:val="21"/>
              </w:rPr>
            </w:pPr>
            <w:r>
              <w:t>1.1.3</w:t>
            </w:r>
          </w:p>
        </w:tc>
      </w:tr>
      <w:tr w14:paraId="7EAFA6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4B62990F">
            <w:pPr>
              <w:numPr>
                <w:ilvl w:val="0"/>
                <w:numId w:val="2"/>
              </w:numPr>
              <w:adjustRightInd w:val="0"/>
              <w:snapToGrid w:val="0"/>
            </w:pPr>
          </w:p>
        </w:tc>
        <w:tc>
          <w:tcPr>
            <w:tcW w:w="1693" w:type="dxa"/>
            <w:vAlign w:val="center"/>
          </w:tcPr>
          <w:p w14:paraId="2096B9D4">
            <w:pPr>
              <w:adjustRightInd w:val="0"/>
              <w:snapToGrid w:val="0"/>
              <w:jc w:val="center"/>
            </w:pPr>
            <w:r>
              <w:t>项目地点</w:t>
            </w:r>
          </w:p>
          <w:p w14:paraId="5163CAA3">
            <w:pPr>
              <w:pStyle w:val="20"/>
              <w:jc w:val="center"/>
              <w:rPr>
                <w:lang w:val="fr-FR"/>
              </w:rPr>
            </w:pPr>
            <w:r>
              <w:t>L</w:t>
            </w:r>
            <w:r>
              <w:rPr>
                <w:lang w:val="fr-FR"/>
              </w:rPr>
              <w:t>ieu de projet</w:t>
            </w:r>
          </w:p>
        </w:tc>
        <w:tc>
          <w:tcPr>
            <w:tcW w:w="5891" w:type="dxa"/>
            <w:gridSpan w:val="2"/>
            <w:vAlign w:val="center"/>
          </w:tcPr>
          <w:p w14:paraId="7C61BA22">
            <w:pPr>
              <w:pStyle w:val="157"/>
              <w:adjustRightInd w:val="0"/>
              <w:snapToGrid w:val="0"/>
              <w:rPr>
                <w:rFonts w:ascii="Times New Roman" w:hAnsi="Times New Roman"/>
                <w:kern w:val="2"/>
                <w:sz w:val="21"/>
                <w:szCs w:val="21"/>
                <w:lang w:eastAsia="zh-CN"/>
              </w:rPr>
            </w:pPr>
            <w:r>
              <w:rPr>
                <w:rFonts w:ascii="Times New Roman" w:hAnsi="Times New Roman"/>
                <w:kern w:val="2"/>
                <w:sz w:val="21"/>
                <w:szCs w:val="21"/>
                <w:lang w:eastAsia="zh-CN"/>
              </w:rPr>
              <w:t>几内亚泰利梅莱（</w:t>
            </w:r>
            <w:r>
              <w:rPr>
                <w:rFonts w:ascii="Times New Roman" w:hAnsi="Times New Roman"/>
                <w:sz w:val="21"/>
                <w:szCs w:val="21"/>
                <w:lang w:val="fr-FR" w:eastAsia="zh-CN"/>
              </w:rPr>
              <w:t>T</w:t>
            </w:r>
            <w:r>
              <w:rPr>
                <w:rFonts w:ascii="Times New Roman" w:hAnsi="Times New Roman"/>
                <w:sz w:val="21"/>
                <w:szCs w:val="21"/>
                <w:lang w:val="fr-FR"/>
              </w:rPr>
              <w:t>é</w:t>
            </w:r>
            <w:r>
              <w:rPr>
                <w:rFonts w:ascii="Times New Roman" w:hAnsi="Times New Roman"/>
                <w:sz w:val="21"/>
                <w:szCs w:val="21"/>
                <w:lang w:val="fr-FR" w:eastAsia="zh-CN"/>
              </w:rPr>
              <w:t>lim</w:t>
            </w:r>
            <w:r>
              <w:rPr>
                <w:rFonts w:ascii="Times New Roman" w:hAnsi="Times New Roman"/>
                <w:sz w:val="21"/>
                <w:szCs w:val="21"/>
                <w:lang w:val="fr-FR"/>
              </w:rPr>
              <w:t>é</w:t>
            </w:r>
            <w:r>
              <w:rPr>
                <w:rFonts w:ascii="Times New Roman" w:hAnsi="Times New Roman"/>
                <w:sz w:val="21"/>
                <w:szCs w:val="21"/>
                <w:lang w:val="fr-FR" w:eastAsia="zh-CN"/>
              </w:rPr>
              <w:t>l</w:t>
            </w:r>
            <w:r>
              <w:rPr>
                <w:rFonts w:ascii="Times New Roman" w:hAnsi="Times New Roman"/>
                <w:sz w:val="21"/>
                <w:szCs w:val="21"/>
                <w:lang w:val="fr-FR"/>
              </w:rPr>
              <w:t>é</w:t>
            </w:r>
            <w:r>
              <w:rPr>
                <w:rFonts w:ascii="Times New Roman" w:hAnsi="Times New Roman"/>
                <w:kern w:val="2"/>
                <w:sz w:val="21"/>
                <w:szCs w:val="21"/>
                <w:lang w:eastAsia="zh-CN"/>
              </w:rPr>
              <w:t>）、博法(</w:t>
            </w:r>
            <w:r>
              <w:rPr>
                <w:rFonts w:ascii="Times New Roman" w:hAnsi="Times New Roman"/>
                <w:sz w:val="21"/>
                <w:szCs w:val="21"/>
                <w:lang w:val="fr-FR"/>
              </w:rPr>
              <w:t>Bof</w:t>
            </w:r>
            <w:r>
              <w:rPr>
                <w:rFonts w:ascii="Times New Roman" w:hAnsi="Times New Roman"/>
                <w:sz w:val="21"/>
                <w:szCs w:val="21"/>
                <w:lang w:val="fr-FR" w:eastAsia="zh-CN"/>
              </w:rPr>
              <w:t>f</w:t>
            </w:r>
            <w:r>
              <w:rPr>
                <w:rFonts w:ascii="Times New Roman" w:hAnsi="Times New Roman"/>
                <w:sz w:val="21"/>
                <w:szCs w:val="21"/>
                <w:lang w:val="fr-FR"/>
              </w:rPr>
              <w:t>a</w:t>
            </w:r>
            <w:r>
              <w:rPr>
                <w:rFonts w:ascii="Times New Roman" w:hAnsi="Times New Roman"/>
                <w:kern w:val="2"/>
                <w:sz w:val="21"/>
                <w:szCs w:val="21"/>
                <w:lang w:eastAsia="zh-CN"/>
              </w:rPr>
              <w:t>)</w:t>
            </w:r>
          </w:p>
          <w:p w14:paraId="4C2EB245">
            <w:pPr>
              <w:pStyle w:val="157"/>
              <w:adjustRightInd w:val="0"/>
              <w:snapToGrid w:val="0"/>
              <w:rPr>
                <w:rFonts w:ascii="Times New Roman" w:hAnsi="Times New Roman"/>
                <w:szCs w:val="21"/>
                <w:lang w:val="fr-FR" w:eastAsia="zh-CN"/>
              </w:rPr>
            </w:pPr>
            <w:r>
              <w:rPr>
                <w:rFonts w:ascii="Times New Roman" w:hAnsi="Times New Roman"/>
                <w:sz w:val="21"/>
                <w:szCs w:val="21"/>
                <w:lang w:val="fr-FR"/>
              </w:rPr>
              <w:t>Bof</w:t>
            </w:r>
            <w:r>
              <w:rPr>
                <w:rFonts w:ascii="Times New Roman" w:hAnsi="Times New Roman"/>
                <w:sz w:val="21"/>
                <w:szCs w:val="21"/>
                <w:lang w:val="fr-FR" w:eastAsia="zh-CN"/>
              </w:rPr>
              <w:t>f</w:t>
            </w:r>
            <w:r>
              <w:rPr>
                <w:rFonts w:ascii="Times New Roman" w:hAnsi="Times New Roman"/>
                <w:sz w:val="21"/>
                <w:szCs w:val="21"/>
                <w:lang w:val="fr-FR"/>
              </w:rPr>
              <w:t>a,</w:t>
            </w:r>
            <w:r>
              <w:rPr>
                <w:rFonts w:ascii="Times New Roman" w:hAnsi="Times New Roman"/>
                <w:sz w:val="21"/>
                <w:szCs w:val="21"/>
                <w:lang w:val="fr-FR" w:eastAsia="zh-CN"/>
              </w:rPr>
              <w:t>T</w:t>
            </w:r>
            <w:r>
              <w:rPr>
                <w:rFonts w:ascii="Times New Roman" w:hAnsi="Times New Roman"/>
                <w:sz w:val="21"/>
                <w:szCs w:val="21"/>
                <w:lang w:val="fr-FR"/>
              </w:rPr>
              <w:t>é</w:t>
            </w:r>
            <w:r>
              <w:rPr>
                <w:rFonts w:ascii="Times New Roman" w:hAnsi="Times New Roman"/>
                <w:sz w:val="21"/>
                <w:szCs w:val="21"/>
                <w:lang w:val="fr-FR" w:eastAsia="zh-CN"/>
              </w:rPr>
              <w:t>lim</w:t>
            </w:r>
            <w:r>
              <w:rPr>
                <w:rFonts w:ascii="Times New Roman" w:hAnsi="Times New Roman"/>
                <w:sz w:val="21"/>
                <w:szCs w:val="21"/>
                <w:lang w:val="fr-FR"/>
              </w:rPr>
              <w:t>é</w:t>
            </w:r>
            <w:r>
              <w:rPr>
                <w:rFonts w:ascii="Times New Roman" w:hAnsi="Times New Roman"/>
                <w:sz w:val="21"/>
                <w:szCs w:val="21"/>
                <w:lang w:val="fr-FR" w:eastAsia="zh-CN"/>
              </w:rPr>
              <w:t>l</w:t>
            </w:r>
            <w:r>
              <w:rPr>
                <w:rFonts w:ascii="Times New Roman" w:hAnsi="Times New Roman"/>
                <w:sz w:val="21"/>
                <w:szCs w:val="21"/>
                <w:lang w:val="fr-FR"/>
              </w:rPr>
              <w:t>é</w:t>
            </w:r>
            <w:r>
              <w:rPr>
                <w:rFonts w:ascii="Times New Roman" w:hAnsi="Times New Roman"/>
                <w:sz w:val="21"/>
                <w:szCs w:val="21"/>
                <w:lang w:val="fr-FR" w:eastAsia="zh-CN"/>
              </w:rPr>
              <w:t>,</w:t>
            </w:r>
            <w:r>
              <w:rPr>
                <w:rFonts w:ascii="Times New Roman" w:hAnsi="Times New Roman"/>
                <w:sz w:val="21"/>
                <w:szCs w:val="21"/>
                <w:lang w:val="fr-FR"/>
              </w:rPr>
              <w:t xml:space="preserve"> République de Guinée</w:t>
            </w:r>
          </w:p>
        </w:tc>
        <w:tc>
          <w:tcPr>
            <w:tcW w:w="933" w:type="dxa"/>
            <w:vAlign w:val="center"/>
          </w:tcPr>
          <w:p w14:paraId="3679EE17">
            <w:pPr>
              <w:adjustRightInd w:val="0"/>
              <w:snapToGrid w:val="0"/>
              <w:jc w:val="center"/>
            </w:pPr>
            <w:r>
              <w:t>/</w:t>
            </w:r>
          </w:p>
        </w:tc>
      </w:tr>
      <w:tr w14:paraId="59553F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33A0990A">
            <w:pPr>
              <w:numPr>
                <w:ilvl w:val="0"/>
                <w:numId w:val="2"/>
              </w:numPr>
              <w:adjustRightInd w:val="0"/>
              <w:snapToGrid w:val="0"/>
              <w:jc w:val="center"/>
            </w:pPr>
          </w:p>
        </w:tc>
        <w:tc>
          <w:tcPr>
            <w:tcW w:w="1693" w:type="dxa"/>
            <w:vAlign w:val="center"/>
          </w:tcPr>
          <w:p w14:paraId="331BF61E">
            <w:pPr>
              <w:spacing w:line="360" w:lineRule="auto"/>
              <w:ind w:firstLine="480"/>
              <w:jc w:val="center"/>
            </w:pPr>
            <w:r>
              <w:t>采购范围Champ d</w:t>
            </w:r>
            <w:r>
              <w:rPr>
                <w:lang w:val="fr-FR"/>
              </w:rPr>
              <w:t>'</w:t>
            </w:r>
            <w:r>
              <w:t>appel d</w:t>
            </w:r>
            <w:r>
              <w:rPr>
                <w:lang w:val="fr-FR"/>
              </w:rPr>
              <w:t>'</w:t>
            </w:r>
            <w:r>
              <w:t>offres</w:t>
            </w:r>
          </w:p>
          <w:p w14:paraId="52BD9C70">
            <w:pPr>
              <w:pStyle w:val="20"/>
              <w:jc w:val="center"/>
              <w:rPr>
                <w:lang w:val="fr-FR"/>
              </w:rPr>
            </w:pPr>
          </w:p>
        </w:tc>
        <w:tc>
          <w:tcPr>
            <w:tcW w:w="5891" w:type="dxa"/>
            <w:gridSpan w:val="2"/>
            <w:vAlign w:val="center"/>
          </w:tcPr>
          <w:p w14:paraId="4F274FBA">
            <w:pPr>
              <w:tabs>
                <w:tab w:val="left" w:pos="5670"/>
              </w:tabs>
              <w:adjustRightInd w:val="0"/>
              <w:snapToGrid w:val="0"/>
              <w:rPr>
                <w:szCs w:val="21"/>
              </w:rPr>
            </w:pPr>
            <w:r>
              <w:t>运输承包商将铝土矿</w:t>
            </w:r>
            <w:r>
              <w:rPr>
                <w:rFonts w:hint="eastAsia"/>
              </w:rPr>
              <w:t>自56#矿体运输至维嘉港口或自南矿段运输至维嘉港口，其中，56#矿体至维嘉港口距离约150公里，南矿段至维嘉港口距离约80公里。</w:t>
            </w:r>
            <w:r>
              <w:rPr>
                <w:kern w:val="0"/>
                <w:sz w:val="22"/>
                <w:szCs w:val="21"/>
              </w:rPr>
              <w:t>，</w:t>
            </w:r>
            <w:r>
              <w:rPr>
                <w:szCs w:val="21"/>
              </w:rPr>
              <w:t>详见第二章委托人要求</w:t>
            </w:r>
          </w:p>
          <w:p w14:paraId="322A60A6">
            <w:pPr>
              <w:tabs>
                <w:tab w:val="left" w:pos="5670"/>
              </w:tabs>
              <w:adjustRightInd w:val="0"/>
              <w:snapToGrid w:val="0"/>
              <w:rPr>
                <w:lang w:val="fr-FR"/>
              </w:rPr>
            </w:pPr>
            <w:r>
              <w:rPr>
                <w:szCs w:val="21"/>
                <w:lang w:val="fr-FR"/>
              </w:rPr>
              <w:t xml:space="preserve">Le transporteur transportera la bauxite </w:t>
            </w:r>
            <w:r>
              <w:rPr>
                <w:rFonts w:hint="eastAsia"/>
                <w:szCs w:val="21"/>
                <w:lang w:val="fr-FR"/>
              </w:rPr>
              <w:t>du gisement n°56 au Port de Verga ou de la section minière sud au Port de Verga. Parmi ces trajets, la distance entre le gisement n°56 et le Port de Verga est d'environ 150 kilomètres, tandis que celle entre la section minière sud et le Port de Verga s'établit à environ 80 kilomètres</w:t>
            </w:r>
            <w:r>
              <w:rPr>
                <w:szCs w:val="21"/>
                <w:lang w:val="fr-FR"/>
              </w:rPr>
              <w:t>.</w:t>
            </w:r>
          </w:p>
        </w:tc>
        <w:tc>
          <w:tcPr>
            <w:tcW w:w="933" w:type="dxa"/>
            <w:vAlign w:val="center"/>
          </w:tcPr>
          <w:p w14:paraId="1ECA7E1F">
            <w:pPr>
              <w:adjustRightInd w:val="0"/>
              <w:snapToGrid w:val="0"/>
              <w:jc w:val="center"/>
              <w:rPr>
                <w:b/>
              </w:rPr>
            </w:pPr>
            <w:r>
              <w:t>1.3</w:t>
            </w:r>
          </w:p>
        </w:tc>
      </w:tr>
      <w:tr w14:paraId="37AA35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367131D1">
            <w:pPr>
              <w:numPr>
                <w:ilvl w:val="0"/>
                <w:numId w:val="2"/>
              </w:numPr>
              <w:adjustRightInd w:val="0"/>
              <w:snapToGrid w:val="0"/>
              <w:jc w:val="center"/>
            </w:pPr>
          </w:p>
        </w:tc>
        <w:tc>
          <w:tcPr>
            <w:tcW w:w="1693" w:type="dxa"/>
            <w:vAlign w:val="center"/>
          </w:tcPr>
          <w:p w14:paraId="2F90FA7D">
            <w:pPr>
              <w:adjustRightInd w:val="0"/>
              <w:snapToGrid w:val="0"/>
              <w:jc w:val="center"/>
            </w:pPr>
            <w:r>
              <w:t>服务期限</w:t>
            </w:r>
          </w:p>
          <w:p w14:paraId="67E665E6">
            <w:pPr>
              <w:adjustRightInd w:val="0"/>
              <w:snapToGrid w:val="0"/>
              <w:jc w:val="center"/>
              <w:rPr>
                <w:lang w:val="fr-FR"/>
              </w:rPr>
            </w:pPr>
            <w:r>
              <w:rPr>
                <w:lang w:val="fr-FR"/>
              </w:rPr>
              <w:t>Durée du service</w:t>
            </w:r>
          </w:p>
        </w:tc>
        <w:tc>
          <w:tcPr>
            <w:tcW w:w="5891" w:type="dxa"/>
            <w:gridSpan w:val="2"/>
            <w:vAlign w:val="center"/>
          </w:tcPr>
          <w:p w14:paraId="0CE01641">
            <w:pPr>
              <w:adjustRightInd w:val="0"/>
              <w:snapToGrid w:val="0"/>
              <w:rPr>
                <w:szCs w:val="21"/>
              </w:rPr>
            </w:pPr>
            <w:r>
              <w:rPr>
                <w:szCs w:val="21"/>
              </w:rPr>
              <w:t>自合同签订之日起</w:t>
            </w:r>
            <w:r>
              <w:rPr>
                <w:b/>
                <w:bCs/>
                <w:szCs w:val="21"/>
              </w:rPr>
              <w:t>三</w:t>
            </w:r>
            <w:r>
              <w:rPr>
                <w:szCs w:val="21"/>
              </w:rPr>
              <w:t>年</w:t>
            </w:r>
            <w:r>
              <w:rPr>
                <w:rFonts w:hint="eastAsia"/>
                <w:szCs w:val="21"/>
                <w:lang w:eastAsia="zh-CN"/>
              </w:rPr>
              <w:t>，</w:t>
            </w:r>
            <w:r>
              <w:rPr>
                <w:szCs w:val="21"/>
              </w:rPr>
              <w:t>详见第二章委托人要求</w:t>
            </w:r>
          </w:p>
          <w:p w14:paraId="0BC26C18">
            <w:pPr>
              <w:adjustRightInd w:val="0"/>
              <w:snapToGrid w:val="0"/>
              <w:rPr>
                <w:lang w:val="fr-FR"/>
              </w:rPr>
            </w:pPr>
            <w:r>
              <w:rPr>
                <w:szCs w:val="21"/>
                <w:lang w:val="fr-FR"/>
              </w:rPr>
              <w:t xml:space="preserve">Le contrat prend effet pour </w:t>
            </w:r>
            <w:r>
              <w:rPr>
                <w:b/>
                <w:bCs/>
                <w:szCs w:val="21"/>
                <w:lang w:val="fr-FR"/>
              </w:rPr>
              <w:t xml:space="preserve">trois </w:t>
            </w:r>
            <w:r>
              <w:rPr>
                <w:szCs w:val="21"/>
                <w:lang w:val="fr-FR"/>
              </w:rPr>
              <w:t>ans à compter de la date de signature du contrat.</w:t>
            </w:r>
            <w:r>
              <w:rPr>
                <w:rFonts w:hint="eastAsia"/>
                <w:szCs w:val="21"/>
                <w:lang w:val="en-US" w:eastAsia="zh-CN"/>
              </w:rPr>
              <w:t xml:space="preserve"> V</w:t>
            </w:r>
            <w:r>
              <w:rPr>
                <w:szCs w:val="21"/>
                <w:lang w:val="fr-FR"/>
              </w:rPr>
              <w:t>oir Chapitre II, Exigences du mandant pour plus de détails.</w:t>
            </w:r>
          </w:p>
        </w:tc>
        <w:tc>
          <w:tcPr>
            <w:tcW w:w="933" w:type="dxa"/>
            <w:vAlign w:val="center"/>
          </w:tcPr>
          <w:p w14:paraId="3CB99C33">
            <w:pPr>
              <w:adjustRightInd w:val="0"/>
              <w:snapToGrid w:val="0"/>
              <w:jc w:val="center"/>
              <w:rPr>
                <w:szCs w:val="21"/>
              </w:rPr>
            </w:pPr>
            <w:r>
              <w:t>1.4</w:t>
            </w:r>
          </w:p>
        </w:tc>
      </w:tr>
      <w:tr w14:paraId="385A44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17CBD6F1">
            <w:pPr>
              <w:numPr>
                <w:ilvl w:val="0"/>
                <w:numId w:val="2"/>
              </w:numPr>
              <w:adjustRightInd w:val="0"/>
              <w:snapToGrid w:val="0"/>
              <w:jc w:val="center"/>
            </w:pPr>
          </w:p>
        </w:tc>
        <w:tc>
          <w:tcPr>
            <w:tcW w:w="1693" w:type="dxa"/>
            <w:vAlign w:val="center"/>
          </w:tcPr>
          <w:p w14:paraId="02019AB8">
            <w:pPr>
              <w:adjustRightInd w:val="0"/>
              <w:snapToGrid w:val="0"/>
              <w:jc w:val="center"/>
            </w:pPr>
            <w:r>
              <w:t>质量标准</w:t>
            </w:r>
          </w:p>
          <w:p w14:paraId="12993D0B">
            <w:pPr>
              <w:adjustRightInd w:val="0"/>
              <w:snapToGrid w:val="0"/>
              <w:jc w:val="center"/>
            </w:pPr>
            <w:r>
              <w:t>Standard de qualité</w:t>
            </w:r>
          </w:p>
        </w:tc>
        <w:tc>
          <w:tcPr>
            <w:tcW w:w="5891" w:type="dxa"/>
            <w:gridSpan w:val="2"/>
            <w:vAlign w:val="center"/>
          </w:tcPr>
          <w:p w14:paraId="1BC78B51">
            <w:pPr>
              <w:adjustRightInd w:val="0"/>
              <w:snapToGrid w:val="0"/>
              <w:rPr>
                <w:szCs w:val="21"/>
              </w:rPr>
            </w:pPr>
            <w:r>
              <w:rPr>
                <w:szCs w:val="21"/>
              </w:rPr>
              <w:t>满足采购人现场要求，详见第二章委托人要求</w:t>
            </w:r>
          </w:p>
          <w:p w14:paraId="5138755F">
            <w:pPr>
              <w:adjustRightInd w:val="0"/>
              <w:snapToGrid w:val="0"/>
              <w:rPr>
                <w:lang w:val="fr-FR"/>
              </w:rPr>
            </w:pPr>
            <w:r>
              <w:rPr>
                <w:szCs w:val="21"/>
                <w:lang w:val="fr-FR"/>
              </w:rPr>
              <w:t>Satisfaire aux exigences du site de l'acheteur, voir Chapitre II, Exigences du mandant pour plus de détails.</w:t>
            </w:r>
          </w:p>
        </w:tc>
        <w:tc>
          <w:tcPr>
            <w:tcW w:w="933" w:type="dxa"/>
            <w:vAlign w:val="center"/>
          </w:tcPr>
          <w:p w14:paraId="7DFB9A45">
            <w:pPr>
              <w:adjustRightInd w:val="0"/>
              <w:snapToGrid w:val="0"/>
              <w:jc w:val="center"/>
              <w:rPr>
                <w:szCs w:val="21"/>
              </w:rPr>
            </w:pPr>
            <w:r>
              <w:t>1.5</w:t>
            </w:r>
          </w:p>
        </w:tc>
      </w:tr>
      <w:tr w14:paraId="2211F8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79FBF658">
            <w:pPr>
              <w:numPr>
                <w:ilvl w:val="0"/>
                <w:numId w:val="2"/>
              </w:numPr>
              <w:adjustRightInd w:val="0"/>
              <w:snapToGrid w:val="0"/>
              <w:jc w:val="center"/>
            </w:pPr>
          </w:p>
        </w:tc>
        <w:tc>
          <w:tcPr>
            <w:tcW w:w="1693" w:type="dxa"/>
            <w:vAlign w:val="center"/>
          </w:tcPr>
          <w:p w14:paraId="52269823">
            <w:pPr>
              <w:adjustRightInd w:val="0"/>
              <w:snapToGrid w:val="0"/>
              <w:jc w:val="center"/>
            </w:pPr>
            <w:r>
              <w:t>报价方式Méthode de cotation</w:t>
            </w:r>
          </w:p>
        </w:tc>
        <w:tc>
          <w:tcPr>
            <w:tcW w:w="5891" w:type="dxa"/>
            <w:gridSpan w:val="2"/>
            <w:vAlign w:val="center"/>
          </w:tcPr>
          <w:p w14:paraId="2DA74E75">
            <w:pPr>
              <w:adjustRightInd w:val="0"/>
              <w:snapToGrid w:val="0"/>
              <w:rPr>
                <w:szCs w:val="21"/>
              </w:rPr>
            </w:pPr>
            <w:r>
              <w:rPr>
                <w:szCs w:val="21"/>
              </w:rPr>
              <w:t>固定综合单价</w:t>
            </w:r>
          </w:p>
          <w:p w14:paraId="0679ACE2">
            <w:pPr>
              <w:adjustRightInd w:val="0"/>
              <w:snapToGrid w:val="0"/>
              <w:rPr>
                <w:szCs w:val="21"/>
              </w:rPr>
            </w:pPr>
            <w:r>
              <w:rPr>
                <w:szCs w:val="21"/>
              </w:rPr>
              <w:t>Prix unitaire fixe</w:t>
            </w:r>
          </w:p>
        </w:tc>
        <w:tc>
          <w:tcPr>
            <w:tcW w:w="933" w:type="dxa"/>
            <w:vAlign w:val="center"/>
          </w:tcPr>
          <w:p w14:paraId="04EA0D6E">
            <w:pPr>
              <w:adjustRightInd w:val="0"/>
              <w:snapToGrid w:val="0"/>
              <w:jc w:val="center"/>
            </w:pPr>
            <w:r>
              <w:t>1.6</w:t>
            </w:r>
          </w:p>
        </w:tc>
      </w:tr>
      <w:tr w14:paraId="63349C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01" w:type="dxa"/>
            <w:vAlign w:val="center"/>
          </w:tcPr>
          <w:p w14:paraId="267EA64C">
            <w:pPr>
              <w:numPr>
                <w:ilvl w:val="0"/>
                <w:numId w:val="2"/>
              </w:numPr>
              <w:adjustRightInd w:val="0"/>
              <w:snapToGrid w:val="0"/>
              <w:jc w:val="center"/>
            </w:pPr>
          </w:p>
        </w:tc>
        <w:tc>
          <w:tcPr>
            <w:tcW w:w="1693" w:type="dxa"/>
            <w:vAlign w:val="center"/>
          </w:tcPr>
          <w:p w14:paraId="63BE7F15">
            <w:pPr>
              <w:adjustRightInd w:val="0"/>
              <w:snapToGrid w:val="0"/>
              <w:jc w:val="center"/>
            </w:pPr>
            <w:r>
              <w:t>付款方式</w:t>
            </w:r>
          </w:p>
          <w:p w14:paraId="1E1E41CA">
            <w:pPr>
              <w:adjustRightInd w:val="0"/>
              <w:snapToGrid w:val="0"/>
              <w:jc w:val="center"/>
            </w:pPr>
            <w:r>
              <w:t>Mode de paiement</w:t>
            </w:r>
          </w:p>
        </w:tc>
        <w:tc>
          <w:tcPr>
            <w:tcW w:w="5891" w:type="dxa"/>
            <w:gridSpan w:val="2"/>
            <w:vAlign w:val="center"/>
          </w:tcPr>
          <w:p w14:paraId="09CEB136">
            <w:pPr>
              <w:adjustRightInd w:val="0"/>
              <w:snapToGrid w:val="0"/>
              <w:rPr>
                <w:lang w:val="fr-FR"/>
              </w:rPr>
            </w:pPr>
            <w:r>
              <w:rPr>
                <w:szCs w:val="21"/>
              </w:rPr>
              <w:t>月度结算，详见第四条费用结算与支付。</w:t>
            </w:r>
            <w:r>
              <w:rPr>
                <w:szCs w:val="21"/>
                <w:lang w:val="fr-FR"/>
              </w:rPr>
              <w:t>Règlement mensuel, voir l'article 4, Règlement et paiement pour plus de détails.</w:t>
            </w:r>
          </w:p>
        </w:tc>
        <w:tc>
          <w:tcPr>
            <w:tcW w:w="933" w:type="dxa"/>
            <w:vAlign w:val="center"/>
          </w:tcPr>
          <w:p w14:paraId="59711B63">
            <w:pPr>
              <w:adjustRightInd w:val="0"/>
              <w:snapToGrid w:val="0"/>
              <w:jc w:val="center"/>
              <w:rPr>
                <w:bCs/>
                <w:szCs w:val="24"/>
              </w:rPr>
            </w:pPr>
            <w:r>
              <w:t>1.7</w:t>
            </w:r>
          </w:p>
        </w:tc>
      </w:tr>
      <w:tr w14:paraId="4F9EB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746C62E7">
            <w:pPr>
              <w:numPr>
                <w:ilvl w:val="0"/>
                <w:numId w:val="2"/>
              </w:numPr>
              <w:adjustRightInd w:val="0"/>
              <w:snapToGrid w:val="0"/>
              <w:jc w:val="center"/>
            </w:pPr>
          </w:p>
        </w:tc>
        <w:tc>
          <w:tcPr>
            <w:tcW w:w="1693" w:type="dxa"/>
            <w:vAlign w:val="center"/>
          </w:tcPr>
          <w:p w14:paraId="7D1B3CFD">
            <w:pPr>
              <w:adjustRightInd w:val="0"/>
              <w:snapToGrid w:val="0"/>
              <w:jc w:val="center"/>
            </w:pPr>
            <w:r>
              <w:t>评审办法Méthode d'évaluation</w:t>
            </w:r>
          </w:p>
        </w:tc>
        <w:tc>
          <w:tcPr>
            <w:tcW w:w="5891" w:type="dxa"/>
            <w:gridSpan w:val="2"/>
            <w:vAlign w:val="center"/>
          </w:tcPr>
          <w:p w14:paraId="18FFA688">
            <w:pPr>
              <w:adjustRightInd w:val="0"/>
              <w:snapToGrid w:val="0"/>
            </w:pPr>
            <w:r>
              <w:t>经评审的最低价法</w:t>
            </w:r>
          </w:p>
          <w:p w14:paraId="22A4632F">
            <w:pPr>
              <w:adjustRightInd w:val="0"/>
              <w:snapToGrid w:val="0"/>
              <w:rPr>
                <w:lang w:val="fr-FR"/>
              </w:rPr>
            </w:pPr>
            <w:r>
              <w:rPr>
                <w:lang w:val="fr-FR"/>
              </w:rPr>
              <w:t>Méthode du prix le plus bas évalué</w:t>
            </w:r>
          </w:p>
        </w:tc>
        <w:tc>
          <w:tcPr>
            <w:tcW w:w="933" w:type="dxa"/>
            <w:vAlign w:val="center"/>
          </w:tcPr>
          <w:p w14:paraId="177DC942">
            <w:pPr>
              <w:adjustRightInd w:val="0"/>
              <w:snapToGrid w:val="0"/>
              <w:jc w:val="center"/>
            </w:pPr>
            <w:r>
              <w:t>3.5</w:t>
            </w:r>
          </w:p>
        </w:tc>
      </w:tr>
      <w:tr w14:paraId="23F53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901" w:type="dxa"/>
            <w:vMerge w:val="restart"/>
            <w:vAlign w:val="center"/>
          </w:tcPr>
          <w:p w14:paraId="161AFAD4">
            <w:pPr>
              <w:numPr>
                <w:ilvl w:val="0"/>
                <w:numId w:val="2"/>
              </w:numPr>
              <w:adjustRightInd w:val="0"/>
              <w:snapToGrid w:val="0"/>
              <w:jc w:val="center"/>
            </w:pPr>
          </w:p>
        </w:tc>
        <w:tc>
          <w:tcPr>
            <w:tcW w:w="1693" w:type="dxa"/>
            <w:vMerge w:val="restart"/>
            <w:vAlign w:val="center"/>
          </w:tcPr>
          <w:p w14:paraId="241554AF">
            <w:pPr>
              <w:adjustRightInd w:val="0"/>
              <w:snapToGrid w:val="0"/>
              <w:jc w:val="center"/>
            </w:pPr>
            <w:r>
              <w:t>响应人资质条件、能力和信誉Conditions de qualification, capacité et réputation du soumissionnaire</w:t>
            </w:r>
          </w:p>
        </w:tc>
        <w:tc>
          <w:tcPr>
            <w:tcW w:w="1212" w:type="dxa"/>
            <w:vAlign w:val="center"/>
          </w:tcPr>
          <w:p w14:paraId="615E83DB">
            <w:pPr>
              <w:adjustRightInd w:val="0"/>
              <w:snapToGrid w:val="0"/>
              <w:jc w:val="center"/>
              <w:rPr>
                <w:b/>
              </w:rPr>
            </w:pPr>
            <w:r>
              <w:t>资质要求Exigences de qualification</w:t>
            </w:r>
            <w:r>
              <w:tab/>
            </w:r>
          </w:p>
        </w:tc>
        <w:tc>
          <w:tcPr>
            <w:tcW w:w="4679" w:type="dxa"/>
            <w:vAlign w:val="center"/>
          </w:tcPr>
          <w:p w14:paraId="01F550F0">
            <w:pPr>
              <w:adjustRightInd w:val="0"/>
              <w:snapToGrid w:val="0"/>
              <w:jc w:val="left"/>
              <w:rPr>
                <w:highlight w:val="none"/>
              </w:rPr>
            </w:pPr>
            <w:r>
              <w:t>1.具有独立订立合同的资格；</w:t>
            </w:r>
            <w:r>
              <w:rPr>
                <w:rFonts w:hint="eastAsia"/>
                <w:highlight w:val="none"/>
              </w:rPr>
              <w:t>几内亚当地人为法人且在几内亚注册成立的公司；</w:t>
            </w:r>
          </w:p>
          <w:p w14:paraId="3B2EBBA3">
            <w:pPr>
              <w:adjustRightInd w:val="0"/>
              <w:snapToGrid w:val="0"/>
              <w:jc w:val="left"/>
              <w:rPr>
                <w:rFonts w:hint="default" w:eastAsia="宋体"/>
                <w:highlight w:val="none"/>
                <w:lang w:val="en-US" w:eastAsia="zh-CN"/>
              </w:rPr>
            </w:pPr>
            <w:r>
              <w:rPr>
                <w:highlight w:val="none"/>
              </w:rPr>
              <w:t>2.</w:t>
            </w:r>
            <w:r>
              <w:rPr>
                <w:szCs w:val="21"/>
                <w:highlight w:val="none"/>
              </w:rPr>
              <w:t>营业执照包含了运输服务的范围。</w:t>
            </w:r>
          </w:p>
          <w:p w14:paraId="0AE13BC1">
            <w:pPr>
              <w:pStyle w:val="20"/>
              <w:rPr>
                <w:sz w:val="21"/>
                <w:szCs w:val="21"/>
                <w:lang w:val="fr-FR"/>
              </w:rPr>
            </w:pPr>
            <w:r>
              <w:rPr>
                <w:sz w:val="21"/>
                <w:szCs w:val="21"/>
                <w:highlight w:val="none"/>
                <w:lang w:val="fr-FR"/>
              </w:rPr>
              <w:t>1.être qualifié à conclure les contrats de manière indépendante;Une société constituée en Guinée dans laquelle un Guinéen local est une personne morale et qui est enregistrée en Guinée ;</w:t>
            </w:r>
          </w:p>
          <w:p w14:paraId="7DBE15EE">
            <w:pPr>
              <w:pStyle w:val="21"/>
              <w:rPr>
                <w:lang w:val="fr-FR"/>
              </w:rPr>
            </w:pPr>
            <w:r>
              <w:rPr>
                <w:sz w:val="21"/>
                <w:szCs w:val="21"/>
                <w:lang w:val="fr-FR"/>
              </w:rPr>
              <w:t>2.La licence commerciale couvre les services de transport.</w:t>
            </w:r>
          </w:p>
        </w:tc>
        <w:tc>
          <w:tcPr>
            <w:tcW w:w="933" w:type="dxa"/>
            <w:vMerge w:val="restart"/>
            <w:vAlign w:val="center"/>
          </w:tcPr>
          <w:p w14:paraId="005C3BDC">
            <w:pPr>
              <w:adjustRightInd w:val="0"/>
              <w:snapToGrid w:val="0"/>
              <w:jc w:val="center"/>
              <w:rPr>
                <w:lang w:val="fr-FR"/>
              </w:rPr>
            </w:pPr>
          </w:p>
          <w:p w14:paraId="6D7105B7">
            <w:pPr>
              <w:adjustRightInd w:val="0"/>
              <w:snapToGrid w:val="0"/>
              <w:jc w:val="center"/>
              <w:rPr>
                <w:b/>
              </w:rPr>
            </w:pPr>
            <w:r>
              <w:t>1.8</w:t>
            </w:r>
          </w:p>
        </w:tc>
      </w:tr>
      <w:tr w14:paraId="22818C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01" w:type="dxa"/>
            <w:vMerge w:val="continue"/>
            <w:vAlign w:val="center"/>
          </w:tcPr>
          <w:p w14:paraId="34405BB8">
            <w:pPr>
              <w:adjustRightInd w:val="0"/>
              <w:snapToGrid w:val="0"/>
              <w:jc w:val="center"/>
            </w:pPr>
          </w:p>
        </w:tc>
        <w:tc>
          <w:tcPr>
            <w:tcW w:w="1693" w:type="dxa"/>
            <w:vMerge w:val="continue"/>
            <w:vAlign w:val="center"/>
          </w:tcPr>
          <w:p w14:paraId="240B6F66">
            <w:pPr>
              <w:adjustRightInd w:val="0"/>
              <w:snapToGrid w:val="0"/>
              <w:jc w:val="left"/>
            </w:pPr>
          </w:p>
        </w:tc>
        <w:tc>
          <w:tcPr>
            <w:tcW w:w="1212" w:type="dxa"/>
            <w:vAlign w:val="center"/>
          </w:tcPr>
          <w:p w14:paraId="65BD4F74">
            <w:pPr>
              <w:adjustRightInd w:val="0"/>
              <w:snapToGrid w:val="0"/>
              <w:jc w:val="center"/>
            </w:pPr>
            <w:r>
              <w:t>信誉要求</w:t>
            </w:r>
          </w:p>
          <w:p w14:paraId="2A9E0636">
            <w:pPr>
              <w:pStyle w:val="20"/>
              <w:rPr>
                <w:sz w:val="21"/>
                <w:szCs w:val="22"/>
              </w:rPr>
            </w:pPr>
            <w:r>
              <w:rPr>
                <w:sz w:val="21"/>
                <w:szCs w:val="22"/>
              </w:rPr>
              <w:t>Exigences en matière de réputation</w:t>
            </w:r>
          </w:p>
          <w:p w14:paraId="0B60FCC5">
            <w:pPr>
              <w:adjustRightInd w:val="0"/>
              <w:snapToGrid w:val="0"/>
              <w:jc w:val="center"/>
            </w:pPr>
          </w:p>
        </w:tc>
        <w:tc>
          <w:tcPr>
            <w:tcW w:w="4679" w:type="dxa"/>
            <w:vAlign w:val="center"/>
          </w:tcPr>
          <w:p w14:paraId="22CDB90E">
            <w:pPr>
              <w:numPr>
                <w:ilvl w:val="0"/>
                <w:numId w:val="3"/>
              </w:numPr>
              <w:adjustRightInd w:val="0"/>
              <w:snapToGrid w:val="0"/>
            </w:pPr>
            <w:r>
              <w:rPr>
                <w:szCs w:val="21"/>
              </w:rPr>
              <w:t>近36个月内不存在骗取中标、严重违约及因自身的责任而使任何合同被解除的情形</w:t>
            </w:r>
            <w:r>
              <w:t xml:space="preserve">。 </w:t>
            </w:r>
          </w:p>
          <w:p w14:paraId="49411D5C">
            <w:pPr>
              <w:adjustRightInd w:val="0"/>
              <w:snapToGrid w:val="0"/>
              <w:rPr>
                <w:lang w:val="fr-FR"/>
              </w:rPr>
            </w:pPr>
            <w:r>
              <w:rPr>
                <w:lang w:val="fr-FR"/>
              </w:rPr>
              <w:t>Il n'y a pas eu, au cours des 36 derniers mois, de cas de fraude pour remporter l'appel d'offres, de rupture grave de contrat ou d'annulation de contrat de sa propre responsabilité.</w:t>
            </w:r>
          </w:p>
        </w:tc>
        <w:tc>
          <w:tcPr>
            <w:tcW w:w="933" w:type="dxa"/>
            <w:vMerge w:val="continue"/>
            <w:vAlign w:val="center"/>
          </w:tcPr>
          <w:p w14:paraId="62103301">
            <w:pPr>
              <w:adjustRightInd w:val="0"/>
              <w:snapToGrid w:val="0"/>
              <w:jc w:val="center"/>
              <w:rPr>
                <w:lang w:val="fr-FR"/>
              </w:rPr>
            </w:pPr>
          </w:p>
        </w:tc>
      </w:tr>
      <w:tr w14:paraId="49B29C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01" w:type="dxa"/>
            <w:vMerge w:val="continue"/>
            <w:vAlign w:val="center"/>
          </w:tcPr>
          <w:p w14:paraId="5EF2FEA3">
            <w:pPr>
              <w:adjustRightInd w:val="0"/>
              <w:snapToGrid w:val="0"/>
              <w:jc w:val="center"/>
              <w:rPr>
                <w:lang w:val="fr-FR"/>
              </w:rPr>
            </w:pPr>
          </w:p>
        </w:tc>
        <w:tc>
          <w:tcPr>
            <w:tcW w:w="1693" w:type="dxa"/>
            <w:vMerge w:val="continue"/>
            <w:vAlign w:val="center"/>
          </w:tcPr>
          <w:p w14:paraId="2B1FA329">
            <w:pPr>
              <w:adjustRightInd w:val="0"/>
              <w:snapToGrid w:val="0"/>
              <w:jc w:val="left"/>
              <w:rPr>
                <w:lang w:val="fr-FR"/>
              </w:rPr>
            </w:pPr>
          </w:p>
        </w:tc>
        <w:tc>
          <w:tcPr>
            <w:tcW w:w="1212" w:type="dxa"/>
            <w:vAlign w:val="center"/>
          </w:tcPr>
          <w:p w14:paraId="77C31D9B">
            <w:pPr>
              <w:adjustRightInd w:val="0"/>
              <w:snapToGrid w:val="0"/>
              <w:jc w:val="center"/>
            </w:pPr>
            <w:r>
              <w:t>其他要求Autres exigences</w:t>
            </w:r>
          </w:p>
        </w:tc>
        <w:tc>
          <w:tcPr>
            <w:tcW w:w="4679" w:type="dxa"/>
            <w:vAlign w:val="center"/>
          </w:tcPr>
          <w:p w14:paraId="1353A89D">
            <w:pPr>
              <w:adjustRightInd w:val="0"/>
              <w:snapToGrid w:val="0"/>
              <w:jc w:val="left"/>
            </w:pPr>
            <w:r>
              <w:rPr>
                <w:szCs w:val="21"/>
              </w:rPr>
              <w:t>1.经营状况良好，没有处于被责令停业，财产被接管、冻结，破产状态；</w:t>
            </w:r>
            <w:r>
              <w:t xml:space="preserve">Bonne situation , </w:t>
            </w:r>
            <w:r>
              <w:rPr>
                <w:szCs w:val="21"/>
              </w:rPr>
              <w:t>s</w:t>
            </w:r>
            <w:r>
              <w:t xml:space="preserve">ous ordre de fermeture forcée, gestion ou gel des actifs, ou en état de faillite ; </w:t>
            </w:r>
          </w:p>
          <w:p w14:paraId="0B7858B1">
            <w:pPr>
              <w:adjustRightInd w:val="0"/>
              <w:snapToGrid w:val="0"/>
              <w:jc w:val="left"/>
              <w:rPr>
                <w:kern w:val="0"/>
                <w:szCs w:val="21"/>
              </w:rPr>
            </w:pPr>
            <w:r>
              <w:rPr>
                <w:szCs w:val="21"/>
              </w:rPr>
              <w:t>2.近</w:t>
            </w:r>
            <w:r>
              <w:rPr>
                <w:rFonts w:hint="eastAsia"/>
                <w:szCs w:val="21"/>
                <w:lang w:val="en-US" w:eastAsia="zh-CN"/>
              </w:rPr>
              <w:t>24</w:t>
            </w:r>
            <w:r>
              <w:rPr>
                <w:szCs w:val="21"/>
              </w:rPr>
              <w:t>个月内不存在较大及以上生产安全责任事故，</w:t>
            </w:r>
            <w:r>
              <w:rPr>
                <w:kern w:val="0"/>
                <w:szCs w:val="21"/>
              </w:rPr>
              <w:t>近1</w:t>
            </w:r>
            <w:r>
              <w:rPr>
                <w:rFonts w:hint="eastAsia"/>
                <w:kern w:val="0"/>
                <w:szCs w:val="21"/>
                <w:lang w:val="en-US" w:eastAsia="zh-CN"/>
              </w:rPr>
              <w:t>2</w:t>
            </w:r>
            <w:r>
              <w:rPr>
                <w:kern w:val="0"/>
                <w:szCs w:val="21"/>
              </w:rPr>
              <w:t>个月在国家电投集团系统内未发生人身死亡事故。</w:t>
            </w:r>
          </w:p>
          <w:p w14:paraId="22EF46FC">
            <w:pPr>
              <w:adjustRightInd w:val="0"/>
              <w:snapToGrid w:val="0"/>
              <w:jc w:val="left"/>
              <w:rPr>
                <w:lang w:val="fr-FR"/>
              </w:rPr>
            </w:pPr>
            <w:r>
              <w:rPr>
                <w:szCs w:val="21"/>
                <w:lang w:val="fr-FR"/>
              </w:rPr>
              <w:t xml:space="preserve">Aucun accident majeur ou supérieur à la responsabilité en matière de sécurité de la production au cours des </w:t>
            </w:r>
            <w:r>
              <w:rPr>
                <w:rFonts w:hint="eastAsia"/>
                <w:szCs w:val="21"/>
                <w:lang w:val="fr-FR"/>
              </w:rPr>
              <w:t>36</w:t>
            </w:r>
            <w:r>
              <w:rPr>
                <w:szCs w:val="21"/>
                <w:lang w:val="fr-FR"/>
              </w:rPr>
              <w:t xml:space="preserve"> derniers mois ; Aucun décès n'est à déplorer au sein du système du groupe SPIC au cours des </w:t>
            </w:r>
            <w:r>
              <w:rPr>
                <w:rFonts w:hint="eastAsia"/>
                <w:szCs w:val="21"/>
                <w:lang w:val="fr-FR"/>
              </w:rPr>
              <w:t>18</w:t>
            </w:r>
            <w:r>
              <w:rPr>
                <w:szCs w:val="21"/>
                <w:lang w:val="fr-FR"/>
              </w:rPr>
              <w:t xml:space="preserve"> derniers mois.</w:t>
            </w:r>
          </w:p>
        </w:tc>
        <w:tc>
          <w:tcPr>
            <w:tcW w:w="933" w:type="dxa"/>
            <w:vMerge w:val="continue"/>
            <w:vAlign w:val="center"/>
          </w:tcPr>
          <w:p w14:paraId="5082EC5D">
            <w:pPr>
              <w:adjustRightInd w:val="0"/>
              <w:snapToGrid w:val="0"/>
              <w:jc w:val="center"/>
              <w:rPr>
                <w:lang w:val="fr-FR"/>
              </w:rPr>
            </w:pPr>
          </w:p>
        </w:tc>
      </w:tr>
      <w:tr w14:paraId="688AD6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01" w:type="dxa"/>
            <w:vAlign w:val="center"/>
          </w:tcPr>
          <w:p w14:paraId="641E55DE">
            <w:pPr>
              <w:numPr>
                <w:ilvl w:val="0"/>
                <w:numId w:val="2"/>
              </w:numPr>
              <w:adjustRightInd w:val="0"/>
              <w:snapToGrid w:val="0"/>
              <w:jc w:val="center"/>
              <w:rPr>
                <w:lang w:val="fr-FR"/>
              </w:rPr>
            </w:pPr>
          </w:p>
        </w:tc>
        <w:tc>
          <w:tcPr>
            <w:tcW w:w="1693" w:type="dxa"/>
            <w:vAlign w:val="center"/>
          </w:tcPr>
          <w:p w14:paraId="7AD11896">
            <w:pPr>
              <w:adjustRightInd w:val="0"/>
              <w:snapToGrid w:val="0"/>
              <w:jc w:val="center"/>
              <w:rPr>
                <w:szCs w:val="21"/>
              </w:rPr>
            </w:pPr>
            <w:r>
              <w:rPr>
                <w:szCs w:val="21"/>
              </w:rPr>
              <w:t>是否接受联合体报价</w:t>
            </w:r>
          </w:p>
          <w:p w14:paraId="42A924C2">
            <w:pPr>
              <w:adjustRightInd w:val="0"/>
              <w:snapToGrid w:val="0"/>
              <w:jc w:val="center"/>
            </w:pPr>
            <w:r>
              <w:rPr>
                <w:szCs w:val="21"/>
              </w:rPr>
              <w:t>Acceptation ou non de l'offre du consortium</w:t>
            </w:r>
          </w:p>
        </w:tc>
        <w:tc>
          <w:tcPr>
            <w:tcW w:w="5891" w:type="dxa"/>
            <w:gridSpan w:val="2"/>
            <w:vAlign w:val="center"/>
          </w:tcPr>
          <w:p w14:paraId="6DF40077">
            <w:pPr>
              <w:pStyle w:val="11"/>
              <w:topLinePunct/>
              <w:adjustRightInd w:val="0"/>
              <w:snapToGrid w:val="0"/>
              <w:spacing w:after="0"/>
              <w:rPr>
                <w:sz w:val="21"/>
                <w:szCs w:val="21"/>
                <w:lang w:val="fr-FR"/>
              </w:rPr>
            </w:pPr>
            <w:r>
              <w:rPr>
                <w:sz w:val="21"/>
                <w:szCs w:val="21"/>
              </w:rPr>
              <w:sym w:font="Wingdings 2" w:char="0052"/>
            </w:r>
            <w:r>
              <w:rPr>
                <w:sz w:val="21"/>
                <w:szCs w:val="21"/>
              </w:rPr>
              <w:t>不接受</w:t>
            </w:r>
            <w:r>
              <w:rPr>
                <w:sz w:val="21"/>
                <w:szCs w:val="21"/>
                <w:lang w:val="fr-FR"/>
              </w:rPr>
              <w:t xml:space="preserve"> Non acceptée </w:t>
            </w:r>
          </w:p>
          <w:p w14:paraId="44C2B4D7">
            <w:pPr>
              <w:adjustRightInd w:val="0"/>
              <w:snapToGrid w:val="0"/>
              <w:rPr>
                <w:szCs w:val="21"/>
              </w:rPr>
            </w:pPr>
            <w:r>
              <w:rPr>
                <w:szCs w:val="21"/>
              </w:rPr>
              <w:t>□接受，应满足下列要求：</w:t>
            </w:r>
          </w:p>
          <w:p w14:paraId="7CA06D40">
            <w:pPr>
              <w:adjustRightInd w:val="0"/>
              <w:snapToGrid w:val="0"/>
              <w:rPr>
                <w:lang w:val="fr-FR"/>
              </w:rPr>
            </w:pPr>
            <w:r>
              <w:rPr>
                <w:szCs w:val="21"/>
                <w:lang w:val="fr-FR"/>
              </w:rPr>
              <w:t>Accepté, les exigences suivantes doivent être respectées :</w:t>
            </w:r>
          </w:p>
        </w:tc>
        <w:tc>
          <w:tcPr>
            <w:tcW w:w="933" w:type="dxa"/>
            <w:vAlign w:val="center"/>
          </w:tcPr>
          <w:p w14:paraId="318C2597">
            <w:pPr>
              <w:adjustRightInd w:val="0"/>
              <w:snapToGrid w:val="0"/>
              <w:jc w:val="center"/>
            </w:pPr>
            <w:r>
              <w:t>1.9</w:t>
            </w:r>
          </w:p>
        </w:tc>
      </w:tr>
      <w:tr w14:paraId="0DEC4E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01" w:type="dxa"/>
            <w:vAlign w:val="center"/>
          </w:tcPr>
          <w:p w14:paraId="315C018C">
            <w:pPr>
              <w:numPr>
                <w:ilvl w:val="0"/>
                <w:numId w:val="2"/>
              </w:numPr>
              <w:adjustRightInd w:val="0"/>
              <w:snapToGrid w:val="0"/>
              <w:jc w:val="center"/>
            </w:pPr>
          </w:p>
        </w:tc>
        <w:tc>
          <w:tcPr>
            <w:tcW w:w="1693" w:type="dxa"/>
            <w:vAlign w:val="center"/>
          </w:tcPr>
          <w:p w14:paraId="31B4343F">
            <w:pPr>
              <w:adjustRightInd w:val="0"/>
              <w:snapToGrid w:val="0"/>
              <w:jc w:val="center"/>
              <w:rPr>
                <w:szCs w:val="21"/>
              </w:rPr>
            </w:pPr>
            <w:r>
              <w:rPr>
                <w:szCs w:val="21"/>
              </w:rPr>
              <w:t>踏勘现场Enquête sur place</w:t>
            </w:r>
            <w:r>
              <w:rPr>
                <w:szCs w:val="21"/>
              </w:rPr>
              <w:tab/>
            </w:r>
          </w:p>
        </w:tc>
        <w:tc>
          <w:tcPr>
            <w:tcW w:w="5891" w:type="dxa"/>
            <w:gridSpan w:val="2"/>
            <w:vAlign w:val="center"/>
          </w:tcPr>
          <w:p w14:paraId="69452D4D">
            <w:pPr>
              <w:pStyle w:val="11"/>
              <w:topLinePunct/>
              <w:spacing w:after="0"/>
              <w:rPr>
                <w:sz w:val="21"/>
                <w:szCs w:val="21"/>
              </w:rPr>
            </w:pPr>
            <w:r>
              <w:rPr>
                <w:sz w:val="21"/>
                <w:szCs w:val="21"/>
              </w:rPr>
              <w:sym w:font="Wingdings 2" w:char="0052"/>
            </w:r>
            <w:r>
              <w:rPr>
                <w:sz w:val="21"/>
                <w:szCs w:val="21"/>
              </w:rPr>
              <w:t>不组织Non organisée</w:t>
            </w:r>
          </w:p>
          <w:p w14:paraId="1DE7C9B4">
            <w:pPr>
              <w:pStyle w:val="11"/>
              <w:topLinePunct/>
              <w:spacing w:after="0"/>
              <w:rPr>
                <w:sz w:val="21"/>
                <w:szCs w:val="21"/>
              </w:rPr>
            </w:pPr>
            <w:r>
              <w:rPr>
                <w:sz w:val="21"/>
                <w:szCs w:val="21"/>
              </w:rPr>
              <w:t>□组织，踏勘时间Organisé,Moment de</w:t>
            </w:r>
            <w:r>
              <w:rPr>
                <w:sz w:val="21"/>
                <w:szCs w:val="21"/>
                <w:lang w:val="fr-FR"/>
              </w:rPr>
              <w:t xml:space="preserve"> l'Enquête sur place</w:t>
            </w:r>
            <w:r>
              <w:rPr>
                <w:sz w:val="21"/>
                <w:szCs w:val="21"/>
              </w:rPr>
              <w:t>：</w:t>
            </w:r>
          </w:p>
          <w:p w14:paraId="6031B2FD">
            <w:pPr>
              <w:ind w:firstLine="840" w:firstLineChars="400"/>
              <w:rPr>
                <w:szCs w:val="21"/>
              </w:rPr>
            </w:pPr>
            <w:r>
              <w:rPr>
                <w:szCs w:val="21"/>
              </w:rPr>
              <w:t>踏勘集中地点Lieu centralisé de</w:t>
            </w:r>
            <w:r>
              <w:rPr>
                <w:szCs w:val="21"/>
                <w:lang w:val="fr-FR"/>
              </w:rPr>
              <w:t xml:space="preserve"> l'Enquête</w:t>
            </w:r>
            <w:r>
              <w:rPr>
                <w:szCs w:val="21"/>
              </w:rPr>
              <w:t>：</w:t>
            </w:r>
          </w:p>
        </w:tc>
        <w:tc>
          <w:tcPr>
            <w:tcW w:w="933" w:type="dxa"/>
            <w:vAlign w:val="center"/>
          </w:tcPr>
          <w:p w14:paraId="6DAC8161">
            <w:pPr>
              <w:adjustRightInd w:val="0"/>
              <w:snapToGrid w:val="0"/>
              <w:jc w:val="center"/>
            </w:pPr>
            <w:r>
              <w:t>1.10</w:t>
            </w:r>
          </w:p>
        </w:tc>
      </w:tr>
      <w:tr w14:paraId="3AEBD9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01" w:type="dxa"/>
            <w:vAlign w:val="center"/>
          </w:tcPr>
          <w:p w14:paraId="3D8DD7FA">
            <w:pPr>
              <w:numPr>
                <w:ilvl w:val="0"/>
                <w:numId w:val="2"/>
              </w:numPr>
              <w:adjustRightInd w:val="0"/>
              <w:snapToGrid w:val="0"/>
              <w:jc w:val="center"/>
            </w:pPr>
          </w:p>
        </w:tc>
        <w:tc>
          <w:tcPr>
            <w:tcW w:w="1693" w:type="dxa"/>
            <w:vAlign w:val="center"/>
          </w:tcPr>
          <w:p w14:paraId="05A3757B">
            <w:pPr>
              <w:adjustRightInd w:val="0"/>
              <w:snapToGrid w:val="0"/>
              <w:jc w:val="center"/>
            </w:pPr>
            <w:r>
              <w:t>响应人提出问题的截止时间</w:t>
            </w:r>
          </w:p>
          <w:p w14:paraId="6ADE931F">
            <w:pPr>
              <w:adjustRightInd w:val="0"/>
              <w:snapToGrid w:val="0"/>
              <w:jc w:val="center"/>
              <w:rPr>
                <w:lang w:val="fr-FR"/>
              </w:rPr>
            </w:pPr>
            <w:r>
              <w:rPr>
                <w:lang w:val="fr-FR"/>
              </w:rPr>
              <w:t>Date limite de soumission des questions par les soumissionnaires</w:t>
            </w:r>
          </w:p>
        </w:tc>
        <w:tc>
          <w:tcPr>
            <w:tcW w:w="5891" w:type="dxa"/>
            <w:gridSpan w:val="2"/>
            <w:vAlign w:val="center"/>
          </w:tcPr>
          <w:p w14:paraId="77BF093D">
            <w:pPr>
              <w:adjustRightInd w:val="0"/>
              <w:snapToGrid w:val="0"/>
              <w:jc w:val="left"/>
              <w:rPr>
                <w:szCs w:val="21"/>
                <w:lang w:val="fr-FR"/>
              </w:rPr>
            </w:pPr>
            <w:r>
              <w:rPr>
                <w:szCs w:val="21"/>
              </w:rPr>
              <w:t>报价截止日期</w:t>
            </w:r>
            <w:r>
              <w:rPr>
                <w:szCs w:val="21"/>
                <w:lang w:val="fr-FR"/>
              </w:rPr>
              <w:t>24</w:t>
            </w:r>
            <w:r>
              <w:rPr>
                <w:szCs w:val="21"/>
              </w:rPr>
              <w:t>小时以前</w:t>
            </w:r>
            <w:r>
              <w:rPr>
                <w:szCs w:val="21"/>
                <w:lang w:val="fr-FR"/>
              </w:rPr>
              <w:t>，</w:t>
            </w:r>
            <w:r>
              <w:rPr>
                <w:szCs w:val="21"/>
              </w:rPr>
              <w:t>将需澄清问题电子版</w:t>
            </w:r>
            <w:r>
              <w:rPr>
                <w:szCs w:val="21"/>
                <w:lang w:val="fr-FR"/>
              </w:rPr>
              <w:t>（</w:t>
            </w:r>
            <w:r>
              <w:rPr>
                <w:szCs w:val="21"/>
              </w:rPr>
              <w:t>可编辑</w:t>
            </w:r>
            <w:r>
              <w:rPr>
                <w:szCs w:val="21"/>
                <w:lang w:val="fr-FR"/>
              </w:rPr>
              <w:t>）</w:t>
            </w:r>
            <w:r>
              <w:rPr>
                <w:szCs w:val="21"/>
              </w:rPr>
              <w:t>发至</w:t>
            </w:r>
            <w:r>
              <w:rPr>
                <w:szCs w:val="21"/>
              </w:rPr>
              <w:fldChar w:fldCharType="begin"/>
            </w:r>
            <w:r>
              <w:rPr>
                <w:szCs w:val="21"/>
                <w:lang w:val="fr-FR"/>
              </w:rPr>
              <w:instrText xml:space="preserve"> HYPERLINK "mailto:SPIC-Guinea-Marketing@outlook.com</w:instrText>
            </w:r>
            <w:r>
              <w:rPr>
                <w:szCs w:val="21"/>
              </w:rPr>
              <w:instrText xml:space="preserve">。</w:instrText>
            </w:r>
            <w:r>
              <w:rPr>
                <w:szCs w:val="21"/>
                <w:lang w:val="fr-FR"/>
              </w:rPr>
              <w:instrText xml:space="preserve">" </w:instrText>
            </w:r>
            <w:r>
              <w:rPr>
                <w:szCs w:val="21"/>
              </w:rPr>
              <w:fldChar w:fldCharType="separate"/>
            </w:r>
            <w:r>
              <w:rPr>
                <w:rStyle w:val="38"/>
                <w:rFonts w:hint="eastAsia"/>
                <w:color w:val="auto"/>
                <w:szCs w:val="21"/>
                <w:lang w:val="fr-FR" w:eastAsia="zh-CN"/>
              </w:rPr>
              <w:t>SPIC-GUINEE-Achats@outlook.com</w:t>
            </w:r>
            <w:r>
              <w:rPr>
                <w:rStyle w:val="38"/>
                <w:color w:val="auto"/>
                <w:szCs w:val="21"/>
              </w:rPr>
              <w:t>。</w:t>
            </w:r>
            <w:r>
              <w:rPr>
                <w:szCs w:val="21"/>
              </w:rPr>
              <w:fldChar w:fldCharType="end"/>
            </w:r>
          </w:p>
          <w:p w14:paraId="76D26876">
            <w:pPr>
              <w:adjustRightInd w:val="0"/>
              <w:snapToGrid w:val="0"/>
              <w:rPr>
                <w:lang w:val="fr-FR"/>
              </w:rPr>
            </w:pPr>
            <w:r>
              <w:rPr>
                <w:rFonts w:hint="eastAsia"/>
                <w:szCs w:val="21"/>
                <w:lang w:val="fr-FR"/>
              </w:rPr>
              <w:t>Envoyez votre version électronique (modifiable) des questions à clarifier à l'adresse SPIC-GUINEE-Achats@outlook.com au moins 24 heures avant la date limite de soumission des offres.</w:t>
            </w:r>
          </w:p>
        </w:tc>
        <w:tc>
          <w:tcPr>
            <w:tcW w:w="933" w:type="dxa"/>
            <w:vAlign w:val="center"/>
          </w:tcPr>
          <w:p w14:paraId="00FE6817">
            <w:pPr>
              <w:adjustRightInd w:val="0"/>
              <w:snapToGrid w:val="0"/>
              <w:jc w:val="center"/>
            </w:pPr>
            <w:r>
              <w:t>/</w:t>
            </w:r>
          </w:p>
        </w:tc>
      </w:tr>
      <w:tr w14:paraId="1BCB48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01" w:type="dxa"/>
            <w:vAlign w:val="center"/>
          </w:tcPr>
          <w:p w14:paraId="04F679C0">
            <w:pPr>
              <w:numPr>
                <w:ilvl w:val="0"/>
                <w:numId w:val="2"/>
              </w:numPr>
              <w:adjustRightInd w:val="0"/>
              <w:snapToGrid w:val="0"/>
              <w:jc w:val="center"/>
            </w:pPr>
          </w:p>
        </w:tc>
        <w:tc>
          <w:tcPr>
            <w:tcW w:w="1693" w:type="dxa"/>
            <w:vAlign w:val="center"/>
          </w:tcPr>
          <w:p w14:paraId="7EA96BC0">
            <w:pPr>
              <w:adjustRightInd w:val="0"/>
              <w:snapToGrid w:val="0"/>
              <w:jc w:val="center"/>
            </w:pPr>
            <w:r>
              <w:t>采购人书面澄清Clarification écrite de l'acheteur</w:t>
            </w:r>
          </w:p>
        </w:tc>
        <w:tc>
          <w:tcPr>
            <w:tcW w:w="5891" w:type="dxa"/>
            <w:gridSpan w:val="2"/>
            <w:vAlign w:val="center"/>
          </w:tcPr>
          <w:p w14:paraId="44979D03">
            <w:pPr>
              <w:adjustRightInd w:val="0"/>
              <w:snapToGrid w:val="0"/>
              <w:jc w:val="left"/>
              <w:rPr>
                <w:szCs w:val="21"/>
              </w:rPr>
            </w:pPr>
            <w:r>
              <w:rPr>
                <w:szCs w:val="21"/>
              </w:rPr>
              <w:t>采购人对要求澄清问题的合理部分予以答复，并将电子版澄清答复文件上传至</w:t>
            </w:r>
            <w:r>
              <w:rPr>
                <w:rFonts w:hint="eastAsia"/>
                <w:szCs w:val="21"/>
                <w:lang w:eastAsia="zh-CN"/>
              </w:rPr>
              <w:t>SPIC-GUINEE-Achats@outlook.com</w:t>
            </w:r>
            <w:r>
              <w:rPr>
                <w:szCs w:val="21"/>
              </w:rPr>
              <w:t>。采购人书面要求响应人澄清的问题，响应人应在收到澄清文件按规定时间回复。</w:t>
            </w:r>
          </w:p>
          <w:p w14:paraId="076F441A">
            <w:pPr>
              <w:adjustRightInd w:val="0"/>
              <w:snapToGrid w:val="0"/>
              <w:rPr>
                <w:lang w:val="fr-FR"/>
              </w:rPr>
            </w:pPr>
            <w:r>
              <w:rPr>
                <w:rFonts w:hint="eastAsia"/>
                <w:szCs w:val="21"/>
                <w:lang w:val="fr-FR"/>
              </w:rPr>
              <w:t>L'acheteur répond aux parties raisonnables des questions souhaitant clarification et télécharge le document électronique de réponse à SPIC-GUINEE-Achats@outlook.com. Lorsque l'acheteur demande par écrit à la partie répondante de clarifier certaines questions, celle-ci doit répondre dans le délai prévu après réception du document de clarification.</w:t>
            </w:r>
          </w:p>
        </w:tc>
        <w:tc>
          <w:tcPr>
            <w:tcW w:w="933" w:type="dxa"/>
            <w:vAlign w:val="center"/>
          </w:tcPr>
          <w:p w14:paraId="52943BE9">
            <w:pPr>
              <w:adjustRightInd w:val="0"/>
              <w:snapToGrid w:val="0"/>
              <w:jc w:val="center"/>
            </w:pPr>
            <w:r>
              <w:t>/</w:t>
            </w:r>
          </w:p>
        </w:tc>
      </w:tr>
      <w:tr w14:paraId="4D71B3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60B348FD">
            <w:pPr>
              <w:numPr>
                <w:ilvl w:val="0"/>
                <w:numId w:val="2"/>
              </w:numPr>
              <w:adjustRightInd w:val="0"/>
              <w:snapToGrid w:val="0"/>
              <w:jc w:val="center"/>
            </w:pPr>
          </w:p>
        </w:tc>
        <w:tc>
          <w:tcPr>
            <w:tcW w:w="1693" w:type="dxa"/>
            <w:vAlign w:val="center"/>
          </w:tcPr>
          <w:p w14:paraId="5903FE2E">
            <w:pPr>
              <w:adjustRightInd w:val="0"/>
              <w:snapToGrid w:val="0"/>
              <w:jc w:val="center"/>
              <w:rPr>
                <w:szCs w:val="21"/>
              </w:rPr>
            </w:pPr>
            <w:r>
              <w:rPr>
                <w:szCs w:val="21"/>
              </w:rPr>
              <w:t>实质性要求和条件</w:t>
            </w:r>
          </w:p>
          <w:p w14:paraId="093B169D">
            <w:pPr>
              <w:adjustRightInd w:val="0"/>
              <w:snapToGrid w:val="0"/>
              <w:jc w:val="center"/>
              <w:rPr>
                <w:lang w:val="fr-FR"/>
              </w:rPr>
            </w:pPr>
            <w:r>
              <w:rPr>
                <w:lang w:val="fr-FR"/>
              </w:rPr>
              <w:t>Exigences et conditions de base</w:t>
            </w:r>
          </w:p>
        </w:tc>
        <w:tc>
          <w:tcPr>
            <w:tcW w:w="5891" w:type="dxa"/>
            <w:gridSpan w:val="2"/>
            <w:vAlign w:val="center"/>
          </w:tcPr>
          <w:p w14:paraId="3ADF27BA">
            <w:pPr>
              <w:adjustRightInd w:val="0"/>
              <w:snapToGrid w:val="0"/>
              <w:rPr>
                <w:b/>
                <w:szCs w:val="21"/>
              </w:rPr>
            </w:pPr>
            <w:r>
              <w:rPr>
                <w:szCs w:val="21"/>
              </w:rPr>
              <w:t>详见采购文件中“*”条款，不响应的将否决报价。</w:t>
            </w:r>
          </w:p>
          <w:p w14:paraId="1E03E83C">
            <w:pPr>
              <w:adjustRightInd w:val="0"/>
              <w:snapToGrid w:val="0"/>
              <w:rPr>
                <w:bCs/>
                <w:szCs w:val="21"/>
                <w:lang w:val="fr-FR"/>
              </w:rPr>
            </w:pPr>
            <w:r>
              <w:rPr>
                <w:bCs/>
                <w:szCs w:val="21"/>
                <w:lang w:val="fr-FR"/>
              </w:rPr>
              <w:t xml:space="preserve">Se référer à la clause "*" des documents de passation de marchés pour plus de détails, et les offres seront rejetées si elles ne sont pas conformes. </w:t>
            </w:r>
          </w:p>
          <w:p w14:paraId="16F0FB39">
            <w:pPr>
              <w:adjustRightInd w:val="0"/>
              <w:snapToGrid w:val="0"/>
              <w:rPr>
                <w:szCs w:val="21"/>
                <w:lang w:val="fr-FR"/>
              </w:rPr>
            </w:pPr>
            <w:r>
              <w:rPr>
                <w:bCs/>
                <w:szCs w:val="21"/>
                <w:lang w:val="fr-FR"/>
              </w:rPr>
              <w:t>[Si c'est le cas, cela doit faire référence au numéro du chapitre, par exemple : *Chapitre III Contrats 1.5].</w:t>
            </w:r>
          </w:p>
        </w:tc>
        <w:tc>
          <w:tcPr>
            <w:tcW w:w="933" w:type="dxa"/>
            <w:vAlign w:val="center"/>
          </w:tcPr>
          <w:p w14:paraId="35E280BD">
            <w:pPr>
              <w:adjustRightInd w:val="0"/>
              <w:snapToGrid w:val="0"/>
              <w:jc w:val="center"/>
              <w:rPr>
                <w:szCs w:val="21"/>
              </w:rPr>
            </w:pPr>
            <w:r>
              <w:t>/</w:t>
            </w:r>
          </w:p>
        </w:tc>
      </w:tr>
      <w:tr w14:paraId="4AAFF0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1E12EF3E">
            <w:pPr>
              <w:numPr>
                <w:ilvl w:val="0"/>
                <w:numId w:val="2"/>
              </w:numPr>
              <w:adjustRightInd w:val="0"/>
              <w:snapToGrid w:val="0"/>
              <w:jc w:val="center"/>
            </w:pPr>
          </w:p>
        </w:tc>
        <w:tc>
          <w:tcPr>
            <w:tcW w:w="1693" w:type="dxa"/>
            <w:vAlign w:val="center"/>
          </w:tcPr>
          <w:p w14:paraId="5770DA70">
            <w:pPr>
              <w:adjustRightInd w:val="0"/>
              <w:snapToGrid w:val="0"/>
              <w:jc w:val="center"/>
            </w:pPr>
            <w:r>
              <w:t>报价有效期Durée de validité de la soumission</w:t>
            </w:r>
          </w:p>
        </w:tc>
        <w:tc>
          <w:tcPr>
            <w:tcW w:w="5891" w:type="dxa"/>
            <w:gridSpan w:val="2"/>
            <w:vAlign w:val="center"/>
          </w:tcPr>
          <w:p w14:paraId="1F78EE61">
            <w:pPr>
              <w:adjustRightInd w:val="0"/>
              <w:snapToGrid w:val="0"/>
            </w:pPr>
            <w:r>
              <w:t>自规定的报价截止日期后90天</w:t>
            </w:r>
          </w:p>
          <w:p w14:paraId="7D5DC418">
            <w:pPr>
              <w:adjustRightInd w:val="0"/>
              <w:snapToGrid w:val="0"/>
              <w:rPr>
                <w:lang w:val="fr-FR"/>
              </w:rPr>
            </w:pPr>
            <w:r>
              <w:rPr>
                <w:lang w:val="fr-FR"/>
              </w:rPr>
              <w:t>90 jours à compter de la date limite de soumission spécifiée</w:t>
            </w:r>
          </w:p>
        </w:tc>
        <w:tc>
          <w:tcPr>
            <w:tcW w:w="933" w:type="dxa"/>
            <w:vAlign w:val="center"/>
          </w:tcPr>
          <w:p w14:paraId="1138CA27">
            <w:pPr>
              <w:adjustRightInd w:val="0"/>
              <w:snapToGrid w:val="0"/>
              <w:jc w:val="center"/>
            </w:pPr>
            <w:r>
              <w:t>/</w:t>
            </w:r>
          </w:p>
        </w:tc>
      </w:tr>
      <w:tr w14:paraId="29BB52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5AA41FF5">
            <w:pPr>
              <w:numPr>
                <w:ilvl w:val="0"/>
                <w:numId w:val="2"/>
              </w:numPr>
              <w:adjustRightInd w:val="0"/>
              <w:snapToGrid w:val="0"/>
              <w:jc w:val="center"/>
            </w:pPr>
          </w:p>
        </w:tc>
        <w:tc>
          <w:tcPr>
            <w:tcW w:w="1693" w:type="dxa"/>
            <w:vAlign w:val="center"/>
          </w:tcPr>
          <w:p w14:paraId="656AD87D">
            <w:pPr>
              <w:adjustRightInd w:val="0"/>
              <w:snapToGrid w:val="0"/>
              <w:jc w:val="center"/>
            </w:pPr>
            <w:r>
              <w:t>签字或盖章要求Exigences en matière de signature ou de sceau</w:t>
            </w:r>
          </w:p>
        </w:tc>
        <w:tc>
          <w:tcPr>
            <w:tcW w:w="5891" w:type="dxa"/>
            <w:gridSpan w:val="2"/>
            <w:vAlign w:val="center"/>
          </w:tcPr>
          <w:p w14:paraId="4F000F1F">
            <w:pPr>
              <w:adjustRightInd w:val="0"/>
              <w:snapToGrid w:val="0"/>
              <w:rPr>
                <w:szCs w:val="21"/>
              </w:rPr>
            </w:pPr>
            <w:r>
              <w:rPr>
                <w:szCs w:val="21"/>
              </w:rPr>
              <w:t>按照本采购文件的相关要求和规定在封面、表格、证明材料、其他材料等相关位置加盖单位章、法定代表人或其委托代理人签字或盖章。</w:t>
            </w:r>
          </w:p>
          <w:p w14:paraId="5050FEB0">
            <w:pPr>
              <w:adjustRightInd w:val="0"/>
              <w:snapToGrid w:val="0"/>
              <w:rPr>
                <w:lang w:val="fr-FR"/>
              </w:rPr>
            </w:pPr>
            <w:r>
              <w:rPr>
                <w:bCs/>
                <w:szCs w:val="21"/>
                <w:lang w:val="fr-FR"/>
              </w:rPr>
              <w:t>Apposer le cachet de la société, la signature ou le cachet du représentant légal ou de son agent délégué sur la couverture, les formulaires, les documents justificatifs, les autres documents et les autres emplacements pertinents conformément aux exigences et dispositions pertinentes du présent document de passation de marché.</w:t>
            </w:r>
          </w:p>
        </w:tc>
        <w:tc>
          <w:tcPr>
            <w:tcW w:w="933" w:type="dxa"/>
            <w:vAlign w:val="center"/>
          </w:tcPr>
          <w:p w14:paraId="4E478B64">
            <w:pPr>
              <w:adjustRightInd w:val="0"/>
              <w:snapToGrid w:val="0"/>
              <w:jc w:val="center"/>
            </w:pPr>
            <w:r>
              <w:t>/</w:t>
            </w:r>
          </w:p>
        </w:tc>
      </w:tr>
      <w:tr w14:paraId="42402B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1268E82D">
            <w:pPr>
              <w:numPr>
                <w:ilvl w:val="0"/>
                <w:numId w:val="2"/>
              </w:numPr>
              <w:adjustRightInd w:val="0"/>
              <w:snapToGrid w:val="0"/>
              <w:jc w:val="center"/>
            </w:pPr>
          </w:p>
        </w:tc>
        <w:tc>
          <w:tcPr>
            <w:tcW w:w="1693" w:type="dxa"/>
            <w:vAlign w:val="center"/>
          </w:tcPr>
          <w:p w14:paraId="5D9FC1EA">
            <w:pPr>
              <w:adjustRightInd w:val="0"/>
              <w:snapToGrid w:val="0"/>
              <w:jc w:val="center"/>
            </w:pPr>
            <w:r>
              <w:t>最高限价</w:t>
            </w:r>
          </w:p>
          <w:p w14:paraId="54DF175B">
            <w:pPr>
              <w:adjustRightInd w:val="0"/>
              <w:snapToGrid w:val="0"/>
              <w:jc w:val="center"/>
            </w:pPr>
            <w:r>
              <w:t>Prix maximum</w:t>
            </w:r>
          </w:p>
        </w:tc>
        <w:tc>
          <w:tcPr>
            <w:tcW w:w="5891" w:type="dxa"/>
            <w:gridSpan w:val="2"/>
            <w:vAlign w:val="center"/>
          </w:tcPr>
          <w:p w14:paraId="0D8FE6BD">
            <w:pPr>
              <w:adjustRightInd w:val="0"/>
              <w:snapToGrid w:val="0"/>
              <w:rPr>
                <w:bCs/>
                <w:szCs w:val="21"/>
              </w:rPr>
            </w:pPr>
            <w:r>
              <w:rPr>
                <w:szCs w:val="21"/>
              </w:rPr>
              <w:sym w:font="Wingdings 2" w:char="0052"/>
            </w:r>
            <w:r>
              <w:rPr>
                <w:szCs w:val="21"/>
              </w:rPr>
              <w:t>不设置</w:t>
            </w:r>
            <w:r>
              <w:rPr>
                <w:bCs/>
                <w:szCs w:val="21"/>
              </w:rPr>
              <w:t>Pas fixé</w:t>
            </w:r>
          </w:p>
          <w:p w14:paraId="64938A9E">
            <w:pPr>
              <w:adjustRightInd w:val="0"/>
              <w:snapToGrid w:val="0"/>
            </w:pPr>
            <w:r>
              <w:rPr>
                <w:szCs w:val="21"/>
              </w:rPr>
              <w:t>□设置，最高限价</w:t>
            </w:r>
            <w:r>
              <w:rPr>
                <w:bCs/>
                <w:szCs w:val="21"/>
              </w:rPr>
              <w:t>Fixé, prix maximu</w:t>
            </w:r>
            <w:r>
              <w:rPr>
                <w:bCs/>
                <w:szCs w:val="21"/>
                <w:lang w:val="fr-FR"/>
              </w:rPr>
              <w:t xml:space="preserve"> </w:t>
            </w:r>
            <w:r>
              <w:rPr>
                <w:szCs w:val="21"/>
              </w:rPr>
              <w:t>：</w:t>
            </w:r>
          </w:p>
        </w:tc>
        <w:tc>
          <w:tcPr>
            <w:tcW w:w="933" w:type="dxa"/>
            <w:vAlign w:val="center"/>
          </w:tcPr>
          <w:p w14:paraId="0B39C4D1">
            <w:pPr>
              <w:adjustRightInd w:val="0"/>
              <w:snapToGrid w:val="0"/>
              <w:jc w:val="center"/>
            </w:pPr>
            <w:r>
              <w:t>/</w:t>
            </w:r>
          </w:p>
        </w:tc>
      </w:tr>
      <w:tr w14:paraId="664B79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32C7AE89">
            <w:pPr>
              <w:numPr>
                <w:ilvl w:val="0"/>
                <w:numId w:val="2"/>
              </w:numPr>
              <w:adjustRightInd w:val="0"/>
              <w:snapToGrid w:val="0"/>
              <w:jc w:val="center"/>
            </w:pPr>
          </w:p>
        </w:tc>
        <w:tc>
          <w:tcPr>
            <w:tcW w:w="1693" w:type="dxa"/>
            <w:vAlign w:val="center"/>
          </w:tcPr>
          <w:p w14:paraId="317F7C69">
            <w:pPr>
              <w:adjustRightInd w:val="0"/>
              <w:snapToGrid w:val="0"/>
              <w:jc w:val="center"/>
            </w:pPr>
            <w:r>
              <w:t>报价截止时间</w:t>
            </w:r>
          </w:p>
          <w:p w14:paraId="02D49C4B">
            <w:pPr>
              <w:pStyle w:val="20"/>
              <w:jc w:val="center"/>
            </w:pPr>
            <w:r>
              <w:rPr>
                <w:sz w:val="21"/>
              </w:rPr>
              <w:t>Date limite de soumission</w:t>
            </w:r>
          </w:p>
        </w:tc>
        <w:tc>
          <w:tcPr>
            <w:tcW w:w="5891" w:type="dxa"/>
            <w:gridSpan w:val="2"/>
            <w:vAlign w:val="center"/>
          </w:tcPr>
          <w:p w14:paraId="317C9C0C">
            <w:pPr>
              <w:adjustRightInd w:val="0"/>
              <w:snapToGrid w:val="0"/>
            </w:pPr>
            <w:r>
              <w:t>以竞谈公告为准。</w:t>
            </w:r>
          </w:p>
          <w:p w14:paraId="147B580C">
            <w:pPr>
              <w:pStyle w:val="20"/>
              <w:rPr>
                <w:lang w:val="fr-FR"/>
              </w:rPr>
            </w:pPr>
            <w:r>
              <w:rPr>
                <w:bCs/>
                <w:sz w:val="21"/>
                <w:szCs w:val="21"/>
                <w:lang w:val="fr-FR"/>
              </w:rPr>
              <w:t>Sous réserve de l'annonce de la négociation à un taux compétitif.</w:t>
            </w:r>
          </w:p>
        </w:tc>
        <w:tc>
          <w:tcPr>
            <w:tcW w:w="933" w:type="dxa"/>
            <w:vAlign w:val="center"/>
          </w:tcPr>
          <w:p w14:paraId="5AED8D1D">
            <w:pPr>
              <w:adjustRightInd w:val="0"/>
              <w:snapToGrid w:val="0"/>
              <w:jc w:val="center"/>
            </w:pPr>
            <w:r>
              <w:t>/</w:t>
            </w:r>
          </w:p>
        </w:tc>
      </w:tr>
      <w:tr w14:paraId="14F4A0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78881AD8">
            <w:pPr>
              <w:numPr>
                <w:ilvl w:val="0"/>
                <w:numId w:val="2"/>
              </w:numPr>
              <w:adjustRightInd w:val="0"/>
              <w:snapToGrid w:val="0"/>
              <w:jc w:val="center"/>
            </w:pPr>
          </w:p>
        </w:tc>
        <w:tc>
          <w:tcPr>
            <w:tcW w:w="1693" w:type="dxa"/>
            <w:vAlign w:val="center"/>
          </w:tcPr>
          <w:p w14:paraId="187ABC5E">
            <w:pPr>
              <w:adjustRightInd w:val="0"/>
              <w:snapToGrid w:val="0"/>
              <w:jc w:val="center"/>
            </w:pPr>
            <w:r>
              <w:t>递交响应文件地点</w:t>
            </w:r>
          </w:p>
          <w:p w14:paraId="37992B34">
            <w:pPr>
              <w:adjustRightInd w:val="0"/>
              <w:snapToGrid w:val="0"/>
              <w:jc w:val="center"/>
              <w:rPr>
                <w:lang w:val="fr-FR"/>
              </w:rPr>
            </w:pPr>
            <w:r>
              <w:rPr>
                <w:lang w:val="fr-FR"/>
              </w:rPr>
              <w:t>Lieu de soumission des documents de participation</w:t>
            </w:r>
          </w:p>
        </w:tc>
        <w:tc>
          <w:tcPr>
            <w:tcW w:w="5891" w:type="dxa"/>
            <w:gridSpan w:val="2"/>
            <w:vAlign w:val="center"/>
          </w:tcPr>
          <w:p w14:paraId="0A1B478E">
            <w:pPr>
              <w:adjustRightInd w:val="0"/>
              <w:snapToGrid w:val="0"/>
              <w:rPr>
                <w:szCs w:val="21"/>
                <w:lang w:val="fr-FR"/>
              </w:rPr>
            </w:pPr>
            <w:r>
              <w:rPr>
                <w:szCs w:val="21"/>
              </w:rPr>
              <w:fldChar w:fldCharType="begin"/>
            </w:r>
            <w:r>
              <w:rPr>
                <w:szCs w:val="21"/>
                <w:lang w:val="fr-FR"/>
              </w:rPr>
              <w:instrText xml:space="preserve"> HYPERLINK "mailto:SPIC-Guinea-Marketing@outlook.com</w:instrText>
            </w:r>
            <w:r>
              <w:rPr>
                <w:szCs w:val="21"/>
              </w:rPr>
              <w:instrText xml:space="preserve">。</w:instrText>
            </w:r>
            <w:r>
              <w:rPr>
                <w:szCs w:val="21"/>
                <w:lang w:val="fr-FR"/>
              </w:rPr>
              <w:instrText xml:space="preserve">" </w:instrText>
            </w:r>
            <w:r>
              <w:rPr>
                <w:szCs w:val="21"/>
              </w:rPr>
              <w:fldChar w:fldCharType="separate"/>
            </w:r>
            <w:r>
              <w:rPr>
                <w:rStyle w:val="38"/>
                <w:rFonts w:hint="eastAsia"/>
                <w:color w:val="auto"/>
                <w:szCs w:val="21"/>
                <w:lang w:val="fr-FR" w:eastAsia="zh-CN"/>
              </w:rPr>
              <w:t>SPIC-GUINEE-Achats@outlook.com</w:t>
            </w:r>
            <w:r>
              <w:rPr>
                <w:rStyle w:val="38"/>
                <w:color w:val="auto"/>
                <w:szCs w:val="21"/>
              </w:rPr>
              <w:t>。</w:t>
            </w:r>
            <w:r>
              <w:rPr>
                <w:szCs w:val="21"/>
              </w:rPr>
              <w:fldChar w:fldCharType="end"/>
            </w:r>
          </w:p>
          <w:p w14:paraId="5394C802">
            <w:pPr>
              <w:pStyle w:val="20"/>
              <w:rPr>
                <w:lang w:val="fr-FR"/>
              </w:rPr>
            </w:pPr>
          </w:p>
        </w:tc>
        <w:tc>
          <w:tcPr>
            <w:tcW w:w="933" w:type="dxa"/>
            <w:vAlign w:val="center"/>
          </w:tcPr>
          <w:p w14:paraId="0DC9E220">
            <w:pPr>
              <w:adjustRightInd w:val="0"/>
              <w:snapToGrid w:val="0"/>
              <w:jc w:val="center"/>
            </w:pPr>
            <w:r>
              <w:t>/</w:t>
            </w:r>
          </w:p>
        </w:tc>
      </w:tr>
      <w:tr w14:paraId="165F4E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07C1BF30">
            <w:pPr>
              <w:numPr>
                <w:ilvl w:val="0"/>
                <w:numId w:val="2"/>
              </w:numPr>
              <w:adjustRightInd w:val="0"/>
              <w:snapToGrid w:val="0"/>
              <w:jc w:val="center"/>
            </w:pPr>
          </w:p>
        </w:tc>
        <w:tc>
          <w:tcPr>
            <w:tcW w:w="1693" w:type="dxa"/>
            <w:vAlign w:val="center"/>
          </w:tcPr>
          <w:p w14:paraId="2ED0515B">
            <w:pPr>
              <w:adjustRightInd w:val="0"/>
              <w:snapToGrid w:val="0"/>
              <w:jc w:val="center"/>
            </w:pPr>
            <w:r>
              <w:t>成交候选人公告媒介</w:t>
            </w:r>
          </w:p>
          <w:p w14:paraId="08CDDD63">
            <w:pPr>
              <w:adjustRightInd w:val="0"/>
              <w:snapToGrid w:val="0"/>
              <w:jc w:val="center"/>
              <w:rPr>
                <w:lang w:val="fr-FR"/>
              </w:rPr>
            </w:pPr>
            <w:r>
              <w:rPr>
                <w:lang w:val="fr-FR"/>
              </w:rPr>
              <w:t>Moyen d'annonce des candidats retenus</w:t>
            </w:r>
          </w:p>
        </w:tc>
        <w:tc>
          <w:tcPr>
            <w:tcW w:w="5891" w:type="dxa"/>
            <w:gridSpan w:val="2"/>
            <w:vAlign w:val="center"/>
          </w:tcPr>
          <w:p w14:paraId="5CB2E3D3">
            <w:pPr>
              <w:adjustRightInd w:val="0"/>
              <w:snapToGrid w:val="0"/>
              <w:rPr>
                <w:szCs w:val="21"/>
                <w:lang w:val="fr-FR"/>
              </w:rPr>
            </w:pPr>
            <w:r>
              <w:rPr>
                <w:szCs w:val="21"/>
              </w:rPr>
              <w:t>国家电投电子商务平台</w:t>
            </w:r>
            <w:r>
              <w:rPr>
                <w:szCs w:val="21"/>
                <w:lang w:val="fr-FR"/>
              </w:rPr>
              <w:t>（https://ebid.espic.com.cn）</w:t>
            </w:r>
            <w:r>
              <w:rPr>
                <w:szCs w:val="21"/>
              </w:rPr>
              <w:t>或采购人公司公告栏</w:t>
            </w:r>
          </w:p>
          <w:p w14:paraId="55DAECB8">
            <w:pPr>
              <w:pStyle w:val="20"/>
              <w:rPr>
                <w:lang w:val="fr-FR"/>
              </w:rPr>
            </w:pPr>
            <w:r>
              <w:rPr>
                <w:sz w:val="21"/>
                <w:szCs w:val="21"/>
                <w:lang w:val="fr-FR"/>
              </w:rPr>
              <w:t>la plateforme de commerce électronique du SPIC (https://ebid.espic.com.cn) ou Panneau d'affichage de l'entreprise de l'acheteur.</w:t>
            </w:r>
          </w:p>
        </w:tc>
        <w:tc>
          <w:tcPr>
            <w:tcW w:w="933" w:type="dxa"/>
            <w:vAlign w:val="center"/>
          </w:tcPr>
          <w:p w14:paraId="4AB82B3B">
            <w:pPr>
              <w:adjustRightInd w:val="0"/>
              <w:snapToGrid w:val="0"/>
              <w:jc w:val="center"/>
            </w:pPr>
            <w:r>
              <w:t>/</w:t>
            </w:r>
          </w:p>
        </w:tc>
      </w:tr>
      <w:tr w14:paraId="49D03A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6160C18F">
            <w:pPr>
              <w:numPr>
                <w:ilvl w:val="0"/>
                <w:numId w:val="2"/>
              </w:numPr>
              <w:adjustRightInd w:val="0"/>
              <w:snapToGrid w:val="0"/>
              <w:jc w:val="center"/>
            </w:pPr>
          </w:p>
        </w:tc>
        <w:tc>
          <w:tcPr>
            <w:tcW w:w="1693" w:type="dxa"/>
            <w:vAlign w:val="center"/>
          </w:tcPr>
          <w:p w14:paraId="57EE65E9">
            <w:pPr>
              <w:adjustRightInd w:val="0"/>
              <w:snapToGrid w:val="0"/>
              <w:jc w:val="center"/>
            </w:pPr>
            <w:r>
              <w:t>响应文件开启</w:t>
            </w:r>
          </w:p>
          <w:p w14:paraId="6FC8891D">
            <w:pPr>
              <w:pStyle w:val="20"/>
              <w:jc w:val="center"/>
              <w:rPr>
                <w:lang w:val="fr-FR"/>
              </w:rPr>
            </w:pPr>
            <w:r>
              <w:rPr>
                <w:sz w:val="21"/>
                <w:lang w:val="fr-FR"/>
              </w:rPr>
              <w:t>Ouverture des documents de participation</w:t>
            </w:r>
          </w:p>
        </w:tc>
        <w:tc>
          <w:tcPr>
            <w:tcW w:w="5891" w:type="dxa"/>
            <w:gridSpan w:val="2"/>
            <w:vAlign w:val="center"/>
          </w:tcPr>
          <w:p w14:paraId="7B4105D5">
            <w:pPr>
              <w:adjustRightInd w:val="0"/>
              <w:snapToGrid w:val="0"/>
            </w:pPr>
            <w:r>
              <w:rPr>
                <w:szCs w:val="21"/>
              </w:rPr>
              <w:sym w:font="Wingdings 2" w:char="0052"/>
            </w:r>
            <w:r>
              <w:rPr>
                <w:spacing w:val="-1"/>
                <w:szCs w:val="21"/>
              </w:rPr>
              <w:t>公开竞争性谈判，</w:t>
            </w:r>
            <w:r>
              <w:t>在规定截止时间若应答人为两个时，评审小组可继续按照原程序进行竞争性谈判，若应答人为一个时，可转为直接采购；或终止后重新采购。</w:t>
            </w:r>
          </w:p>
          <w:p w14:paraId="0889B697">
            <w:pPr>
              <w:adjustRightInd w:val="0"/>
              <w:snapToGrid w:val="0"/>
              <w:rPr>
                <w:lang w:val="fr-FR"/>
              </w:rPr>
            </w:pPr>
            <w:r>
              <w:rPr>
                <w:lang w:val="fr-FR"/>
              </w:rPr>
              <w:t xml:space="preserve">Négociations ouvertes à la concurrence, Le groupe d'évaluation peut poursuivre les négociations concurrentielles dans le cadre de la procédure initiale s'il y a deux participants à la date limite spécifiée, ou passer à une procédure de passation directe s'il n'y a qu'un seul participant, ou encore mettre fin à la passation de marché et la recommencer. </w:t>
            </w:r>
          </w:p>
          <w:p w14:paraId="262E7C39">
            <w:pPr>
              <w:adjustRightInd w:val="0"/>
              <w:snapToGrid w:val="0"/>
            </w:pPr>
            <w:r>
              <w:rPr>
                <w:szCs w:val="21"/>
              </w:rPr>
              <w:t>□</w:t>
            </w:r>
            <w:r>
              <w:rPr>
                <w:spacing w:val="-1"/>
                <w:szCs w:val="21"/>
              </w:rPr>
              <w:t>邀请竞争性谈判，</w:t>
            </w:r>
            <w:r>
              <w:t>在规定截止时间若应答人为两个或一个时，终止本次谈判活动。</w:t>
            </w:r>
          </w:p>
          <w:p w14:paraId="6060677A">
            <w:pPr>
              <w:adjustRightInd w:val="0"/>
              <w:snapToGrid w:val="0"/>
              <w:rPr>
                <w:lang w:val="fr-FR"/>
              </w:rPr>
            </w:pPr>
            <w:r>
              <w:rPr>
                <w:lang w:val="fr-FR"/>
              </w:rPr>
              <w:t>Invitation de négociations ouvertes à la concurrence,Cette activité de négociation prendra fin s'il y a deux ou un seul participant à la date limite spécifiée.</w:t>
            </w:r>
          </w:p>
        </w:tc>
        <w:tc>
          <w:tcPr>
            <w:tcW w:w="933" w:type="dxa"/>
            <w:vAlign w:val="center"/>
          </w:tcPr>
          <w:p w14:paraId="6D6EAC2D">
            <w:pPr>
              <w:adjustRightInd w:val="0"/>
              <w:snapToGrid w:val="0"/>
              <w:jc w:val="center"/>
            </w:pPr>
            <w:r>
              <w:t>/</w:t>
            </w:r>
          </w:p>
        </w:tc>
      </w:tr>
      <w:tr w14:paraId="7B7513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544EE5CD">
            <w:pPr>
              <w:numPr>
                <w:ilvl w:val="0"/>
                <w:numId w:val="2"/>
              </w:numPr>
              <w:adjustRightInd w:val="0"/>
              <w:snapToGrid w:val="0"/>
              <w:jc w:val="center"/>
            </w:pPr>
          </w:p>
        </w:tc>
        <w:tc>
          <w:tcPr>
            <w:tcW w:w="1693" w:type="dxa"/>
            <w:vAlign w:val="center"/>
          </w:tcPr>
          <w:p w14:paraId="71D2B958">
            <w:pPr>
              <w:adjustRightInd w:val="0"/>
              <w:snapToGrid w:val="0"/>
              <w:jc w:val="center"/>
            </w:pPr>
            <w:r>
              <w:t>成交服务费</w:t>
            </w:r>
          </w:p>
          <w:p w14:paraId="3C1D56EF">
            <w:pPr>
              <w:pStyle w:val="20"/>
              <w:jc w:val="center"/>
              <w:rPr>
                <w:lang w:val="fr-FR"/>
              </w:rPr>
            </w:pPr>
            <w:r>
              <w:rPr>
                <w:sz w:val="21"/>
                <w:lang w:val="fr-FR"/>
              </w:rPr>
              <w:t>Frais de service de transaction</w:t>
            </w:r>
          </w:p>
        </w:tc>
        <w:tc>
          <w:tcPr>
            <w:tcW w:w="5891" w:type="dxa"/>
            <w:gridSpan w:val="2"/>
            <w:vAlign w:val="center"/>
          </w:tcPr>
          <w:p w14:paraId="4C9CF34D">
            <w:pPr>
              <w:adjustRightInd w:val="0"/>
              <w:snapToGrid w:val="0"/>
              <w:rPr>
                <w:lang w:val="fr-FR"/>
              </w:rPr>
            </w:pPr>
            <w:r>
              <w:t>无</w:t>
            </w:r>
          </w:p>
          <w:p w14:paraId="3C2EC111">
            <w:pPr>
              <w:adjustRightInd w:val="0"/>
              <w:snapToGrid w:val="0"/>
              <w:rPr>
                <w:lang w:val="fr-FR"/>
              </w:rPr>
            </w:pPr>
            <w:r>
              <w:rPr>
                <w:lang w:val="fr-FR"/>
              </w:rPr>
              <w:t>Aucun</w:t>
            </w:r>
          </w:p>
        </w:tc>
        <w:tc>
          <w:tcPr>
            <w:tcW w:w="933" w:type="dxa"/>
            <w:vAlign w:val="center"/>
          </w:tcPr>
          <w:p w14:paraId="68B178D3">
            <w:pPr>
              <w:adjustRightInd w:val="0"/>
              <w:snapToGrid w:val="0"/>
              <w:jc w:val="center"/>
            </w:pPr>
            <w:r>
              <w:t>/</w:t>
            </w:r>
          </w:p>
        </w:tc>
      </w:tr>
      <w:tr w14:paraId="4DADB8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14:paraId="55821DE2">
            <w:pPr>
              <w:numPr>
                <w:ilvl w:val="0"/>
                <w:numId w:val="2"/>
              </w:numPr>
              <w:adjustRightInd w:val="0"/>
              <w:snapToGrid w:val="0"/>
              <w:jc w:val="center"/>
            </w:pPr>
          </w:p>
        </w:tc>
        <w:tc>
          <w:tcPr>
            <w:tcW w:w="1693" w:type="dxa"/>
            <w:vAlign w:val="center"/>
          </w:tcPr>
          <w:p w14:paraId="7BC14F2C">
            <w:pPr>
              <w:jc w:val="center"/>
            </w:pPr>
            <w:r>
              <w:t>其他内容</w:t>
            </w:r>
          </w:p>
          <w:p w14:paraId="420756A7">
            <w:pPr>
              <w:jc w:val="center"/>
              <w:rPr>
                <w:b/>
              </w:rPr>
            </w:pPr>
            <w:r>
              <w:t>Autres contenus</w:t>
            </w:r>
          </w:p>
        </w:tc>
        <w:tc>
          <w:tcPr>
            <w:tcW w:w="5891" w:type="dxa"/>
            <w:gridSpan w:val="2"/>
            <w:vAlign w:val="center"/>
          </w:tcPr>
          <w:p w14:paraId="2E940E53">
            <w:pPr>
              <w:numPr>
                <w:ilvl w:val="0"/>
                <w:numId w:val="4"/>
              </w:numPr>
              <w:adjustRightInd w:val="0"/>
              <w:snapToGrid w:val="0"/>
            </w:pPr>
            <w:r>
              <w:t>响应文件按技术、商务部分（也称文件A）和价格部分（也称文件B）须分开编制，单独上传，详细要求见第四章响应文件格式。</w:t>
            </w:r>
          </w:p>
          <w:p w14:paraId="00F64ED6">
            <w:pPr>
              <w:adjustRightInd w:val="0"/>
              <w:snapToGrid w:val="0"/>
              <w:rPr>
                <w:lang w:val="fr-FR"/>
              </w:rPr>
            </w:pPr>
            <w:r>
              <w:rPr>
                <w:lang w:val="fr-FR"/>
              </w:rPr>
              <w:t>Document de réponse concernant la partie technique et commerciale (également appelée document A) et la partie relative au prix (également appelée document B) doivent être préparés séparément et téléchargés séparément ; voir le chapitre IV pour les exigences détaillées concernant le format des documents de réponse.</w:t>
            </w:r>
          </w:p>
          <w:p w14:paraId="043B2291">
            <w:pPr>
              <w:numPr>
                <w:ilvl w:val="0"/>
                <w:numId w:val="4"/>
              </w:numPr>
              <w:adjustRightInd w:val="0"/>
              <w:snapToGrid w:val="0"/>
            </w:pPr>
            <w:r>
              <w:t>响应文件为PDF文件，当采购系统报价与响应文件B中报价汇总表总金额之间有差异时，以PDF文件为准；所有报价价格表须同时提供Word或Excel格式文件。</w:t>
            </w:r>
          </w:p>
          <w:p w14:paraId="6BA9B857">
            <w:pPr>
              <w:adjustRightInd w:val="0"/>
              <w:snapToGrid w:val="0"/>
              <w:rPr>
                <w:lang w:val="fr-FR"/>
              </w:rPr>
            </w:pPr>
            <w:r>
              <w:rPr>
                <w:lang w:val="fr-FR"/>
              </w:rPr>
              <w:t>Document de réponse pour le fichier PDF, lorsque l'offre du système de passation de marchés et le document de réponse B dans le tableau récapitulatif du montant total de la différence entre le fichier PDF prévaudront ; tous les devis doivent être fournis en même temps que la liste des prix au format Word ou Excel.</w:t>
            </w:r>
          </w:p>
          <w:p w14:paraId="6911D89F">
            <w:pPr>
              <w:numPr>
                <w:ilvl w:val="0"/>
                <w:numId w:val="4"/>
              </w:numPr>
              <w:adjustRightInd w:val="0"/>
              <w:snapToGrid w:val="0"/>
            </w:pPr>
            <w:r>
              <w:t>响应文件命名统一采用如“公司名称+××项目响应文件A”、“公司名称+××项目响应文件B”方式。</w:t>
            </w:r>
          </w:p>
          <w:p w14:paraId="6CB045D1">
            <w:pPr>
              <w:adjustRightInd w:val="0"/>
              <w:snapToGrid w:val="0"/>
              <w:rPr>
                <w:lang w:val="fr-FR"/>
              </w:rPr>
            </w:pPr>
            <w:r>
              <w:rPr>
                <w:lang w:val="fr-FR"/>
              </w:rPr>
              <w:t>Nom des documents de réponse doit être le même, par exemple "Nom de la société + xxx document A de réponse du projet", "Nom de la société + xxx document B de réponse du projet".</w:t>
            </w:r>
          </w:p>
          <w:p w14:paraId="41735F02">
            <w:pPr>
              <w:numPr>
                <w:ilvl w:val="0"/>
                <w:numId w:val="4"/>
              </w:numPr>
            </w:pPr>
            <w:r>
              <w:t>采购监督邮箱： yuhaoling@spic.com.cn</w:t>
            </w:r>
          </w:p>
          <w:p w14:paraId="0210A1C7">
            <w:pPr>
              <w:jc w:val="left"/>
              <w:rPr>
                <w:lang w:val="fr-FR"/>
              </w:rPr>
            </w:pPr>
            <w:r>
              <w:rPr>
                <w:lang w:val="fr-FR"/>
              </w:rPr>
              <w:t xml:space="preserve">Boîte aux lettres de supervision des achats: yuhaoling@spic.com.cn </w:t>
            </w:r>
          </w:p>
        </w:tc>
        <w:tc>
          <w:tcPr>
            <w:tcW w:w="933" w:type="dxa"/>
            <w:vAlign w:val="center"/>
          </w:tcPr>
          <w:p w14:paraId="531AFECC">
            <w:pPr>
              <w:adjustRightInd w:val="0"/>
              <w:snapToGrid w:val="0"/>
              <w:jc w:val="center"/>
            </w:pPr>
            <w:r>
              <w:t>/</w:t>
            </w:r>
          </w:p>
        </w:tc>
      </w:tr>
    </w:tbl>
    <w:p w14:paraId="1C7C555A">
      <w:pPr>
        <w:pStyle w:val="3"/>
        <w:snapToGrid w:val="0"/>
        <w:spacing w:before="0" w:after="0" w:line="360" w:lineRule="auto"/>
        <w:jc w:val="left"/>
        <w:rPr>
          <w:rFonts w:ascii="Times New Roman" w:hAnsi="Times New Roman"/>
          <w:color w:val="000000"/>
          <w:sz w:val="21"/>
          <w:szCs w:val="21"/>
        </w:rPr>
      </w:pPr>
      <w:r>
        <w:rPr>
          <w:rFonts w:ascii="Times New Roman" w:hAnsi="Times New Roman"/>
        </w:rPr>
        <w:br w:type="page"/>
      </w:r>
      <w:bookmarkEnd w:id="0"/>
      <w:bookmarkStart w:id="13" w:name="_Toc27228"/>
      <w:bookmarkStart w:id="14" w:name="_Toc6561310"/>
      <w:bookmarkStart w:id="15" w:name="_Toc30344"/>
      <w:bookmarkStart w:id="16" w:name="_Toc23549"/>
      <w:bookmarkStart w:id="17" w:name="_Toc19910"/>
      <w:bookmarkStart w:id="18" w:name="_Toc13426"/>
      <w:r>
        <w:rPr>
          <w:rFonts w:ascii="Times New Roman" w:hAnsi="Times New Roman"/>
          <w:sz w:val="21"/>
          <w:szCs w:val="21"/>
        </w:rPr>
        <w:t>1.总则</w:t>
      </w:r>
      <w:bookmarkEnd w:id="13"/>
      <w:bookmarkEnd w:id="14"/>
      <w:bookmarkEnd w:id="15"/>
      <w:bookmarkEnd w:id="16"/>
      <w:bookmarkEnd w:id="17"/>
      <w:bookmarkEnd w:id="18"/>
      <w:r>
        <w:rPr>
          <w:rFonts w:ascii="Times New Roman" w:hAnsi="Times New Roman"/>
          <w:sz w:val="21"/>
          <w:szCs w:val="21"/>
        </w:rPr>
        <w:t xml:space="preserve"> Dispositions générales</w:t>
      </w:r>
    </w:p>
    <w:p w14:paraId="68E30EFF">
      <w:pPr>
        <w:spacing w:line="360" w:lineRule="auto"/>
        <w:rPr>
          <w:b/>
          <w:kern w:val="0"/>
          <w:szCs w:val="21"/>
        </w:rPr>
      </w:pPr>
      <w:r>
        <w:rPr>
          <w:b/>
          <w:kern w:val="0"/>
          <w:szCs w:val="21"/>
        </w:rPr>
        <w:t>1.1 定义 Définitions</w:t>
      </w:r>
    </w:p>
    <w:p w14:paraId="69C33A68">
      <w:pPr>
        <w:tabs>
          <w:tab w:val="left" w:pos="993"/>
          <w:tab w:val="left" w:pos="1134"/>
        </w:tabs>
        <w:spacing w:line="360" w:lineRule="auto"/>
        <w:ind w:firstLine="420" w:firstLineChars="200"/>
        <w:jc w:val="left"/>
        <w:rPr>
          <w:szCs w:val="21"/>
        </w:rPr>
      </w:pPr>
      <w:bookmarkStart w:id="19" w:name="_Toc278290271"/>
      <w:bookmarkStart w:id="20" w:name="_Toc265890343"/>
      <w:bookmarkStart w:id="21" w:name="_Toc265891404"/>
      <w:bookmarkStart w:id="22" w:name="_Toc265891610"/>
      <w:bookmarkStart w:id="23" w:name="_Toc265889985"/>
      <w:bookmarkStart w:id="24" w:name="_Toc265890870"/>
      <w:r>
        <w:rPr>
          <w:szCs w:val="21"/>
        </w:rPr>
        <w:t>1.1.1采购人：见响应人须知前附表。</w:t>
      </w:r>
    </w:p>
    <w:p w14:paraId="01A48598">
      <w:pPr>
        <w:tabs>
          <w:tab w:val="left" w:pos="993"/>
          <w:tab w:val="left" w:pos="1134"/>
        </w:tabs>
        <w:spacing w:line="360" w:lineRule="auto"/>
        <w:ind w:firstLine="420" w:firstLineChars="200"/>
        <w:jc w:val="left"/>
        <w:rPr>
          <w:szCs w:val="21"/>
          <w:lang w:val="fr-FR"/>
        </w:rPr>
      </w:pPr>
      <w:r>
        <w:rPr>
          <w:szCs w:val="21"/>
          <w:lang w:val="fr-FR"/>
        </w:rPr>
        <w:t>Acheteur : Voir l'Annexe préliminaire des Instructions pour les soumissionnaires.</w:t>
      </w:r>
    </w:p>
    <w:p w14:paraId="1FA5DB95">
      <w:pPr>
        <w:tabs>
          <w:tab w:val="left" w:pos="993"/>
          <w:tab w:val="left" w:pos="1134"/>
        </w:tabs>
        <w:spacing w:line="360" w:lineRule="auto"/>
        <w:ind w:firstLine="420" w:firstLineChars="200"/>
        <w:jc w:val="left"/>
        <w:rPr>
          <w:szCs w:val="21"/>
        </w:rPr>
      </w:pPr>
      <w:r>
        <w:rPr>
          <w:szCs w:val="21"/>
        </w:rPr>
        <w:t>1.1.2项目单位：</w:t>
      </w:r>
      <w:bookmarkEnd w:id="19"/>
      <w:bookmarkEnd w:id="20"/>
      <w:bookmarkEnd w:id="21"/>
      <w:bookmarkEnd w:id="22"/>
      <w:bookmarkEnd w:id="23"/>
      <w:bookmarkEnd w:id="24"/>
      <w:r>
        <w:rPr>
          <w:szCs w:val="21"/>
        </w:rPr>
        <w:t>见响应人须知前附表。</w:t>
      </w:r>
    </w:p>
    <w:p w14:paraId="38E5A1EC">
      <w:pPr>
        <w:pStyle w:val="20"/>
        <w:ind w:firstLine="420" w:firstLineChars="200"/>
        <w:rPr>
          <w:sz w:val="21"/>
          <w:szCs w:val="21"/>
          <w:lang w:val="fr-FR"/>
        </w:rPr>
      </w:pPr>
      <w:r>
        <w:rPr>
          <w:sz w:val="21"/>
          <w:szCs w:val="21"/>
          <w:lang w:val="fr-FR"/>
        </w:rPr>
        <w:t>Société du projet : Voir l'Annexe préliminaire des Instructions pour les soumissionnaires.</w:t>
      </w:r>
    </w:p>
    <w:p w14:paraId="5C81A1F4">
      <w:pPr>
        <w:tabs>
          <w:tab w:val="left" w:pos="993"/>
          <w:tab w:val="left" w:pos="1134"/>
        </w:tabs>
        <w:spacing w:line="360" w:lineRule="auto"/>
        <w:ind w:firstLine="420" w:firstLineChars="200"/>
        <w:jc w:val="left"/>
        <w:rPr>
          <w:szCs w:val="21"/>
        </w:rPr>
      </w:pPr>
      <w:r>
        <w:rPr>
          <w:szCs w:val="21"/>
        </w:rPr>
        <w:t>1.1.3项目名称：见响应人须知前附表。</w:t>
      </w:r>
    </w:p>
    <w:p w14:paraId="742EED3F">
      <w:pPr>
        <w:pStyle w:val="20"/>
        <w:rPr>
          <w:sz w:val="21"/>
          <w:szCs w:val="21"/>
          <w:lang w:val="fr-FR"/>
        </w:rPr>
      </w:pPr>
      <w:r>
        <w:rPr>
          <w:sz w:val="21"/>
          <w:szCs w:val="21"/>
        </w:rPr>
        <w:t xml:space="preserve">  </w:t>
      </w:r>
      <w:r>
        <w:rPr>
          <w:sz w:val="21"/>
          <w:szCs w:val="21"/>
          <w:lang w:val="fr-FR"/>
        </w:rPr>
        <w:t>Nom du projet : Voir l'Annexe préliminaire des Instructions pour les soumissionnaires.</w:t>
      </w:r>
    </w:p>
    <w:p w14:paraId="47508166">
      <w:pPr>
        <w:tabs>
          <w:tab w:val="left" w:pos="993"/>
          <w:tab w:val="left" w:pos="1134"/>
        </w:tabs>
        <w:spacing w:line="360" w:lineRule="auto"/>
        <w:ind w:firstLine="420" w:firstLineChars="200"/>
        <w:jc w:val="left"/>
        <w:rPr>
          <w:szCs w:val="21"/>
        </w:rPr>
      </w:pPr>
      <w:r>
        <w:rPr>
          <w:szCs w:val="21"/>
        </w:rPr>
        <w:t>1.1.4响应人：参与本项目竞争的法人或其它组织</w:t>
      </w:r>
    </w:p>
    <w:p w14:paraId="7680F51A">
      <w:pPr>
        <w:pStyle w:val="20"/>
        <w:rPr>
          <w:sz w:val="21"/>
          <w:szCs w:val="21"/>
          <w:lang w:val="fr-FR"/>
        </w:rPr>
      </w:pPr>
      <w:r>
        <w:rPr>
          <w:sz w:val="21"/>
          <w:szCs w:val="21"/>
        </w:rPr>
        <w:t xml:space="preserve">  </w:t>
      </w:r>
      <w:r>
        <w:rPr>
          <w:sz w:val="21"/>
          <w:szCs w:val="21"/>
          <w:lang w:val="fr-FR"/>
        </w:rPr>
        <w:t>Soumissionnaire : Personne morale ou autre organisation participant à la compétition pour ce projet.</w:t>
      </w:r>
    </w:p>
    <w:p w14:paraId="4C47D87C">
      <w:pPr>
        <w:tabs>
          <w:tab w:val="left" w:pos="993"/>
          <w:tab w:val="left" w:pos="1134"/>
        </w:tabs>
        <w:spacing w:line="360" w:lineRule="auto"/>
        <w:ind w:firstLine="420" w:firstLineChars="200"/>
        <w:jc w:val="left"/>
        <w:rPr>
          <w:szCs w:val="21"/>
        </w:rPr>
      </w:pPr>
      <w:r>
        <w:rPr>
          <w:szCs w:val="21"/>
        </w:rPr>
        <w:t>1.1.5成交人：最终被授予合同的响应人。</w:t>
      </w:r>
    </w:p>
    <w:p w14:paraId="7B48F891">
      <w:pPr>
        <w:pStyle w:val="20"/>
        <w:rPr>
          <w:sz w:val="21"/>
          <w:szCs w:val="21"/>
          <w:lang w:val="fr-FR"/>
        </w:rPr>
      </w:pPr>
      <w:r>
        <w:rPr>
          <w:sz w:val="21"/>
          <w:szCs w:val="21"/>
        </w:rPr>
        <w:t xml:space="preserve">  </w:t>
      </w:r>
      <w:r>
        <w:rPr>
          <w:sz w:val="21"/>
          <w:szCs w:val="21"/>
          <w:lang w:val="fr-FR"/>
        </w:rPr>
        <w:t>Soumissionnaire sélectionné : soumissionnaire auquel le contrat est finalement attribué.</w:t>
      </w:r>
    </w:p>
    <w:p w14:paraId="3974C59E">
      <w:pPr>
        <w:spacing w:line="360" w:lineRule="auto"/>
        <w:rPr>
          <w:b/>
          <w:bCs/>
          <w:kern w:val="0"/>
          <w:szCs w:val="21"/>
        </w:rPr>
      </w:pPr>
      <w:r>
        <w:rPr>
          <w:b/>
          <w:kern w:val="0"/>
          <w:szCs w:val="21"/>
        </w:rPr>
        <w:t xml:space="preserve">1.2 项目概况 </w:t>
      </w:r>
      <w:r>
        <w:rPr>
          <w:b/>
          <w:bCs/>
          <w:szCs w:val="21"/>
        </w:rPr>
        <w:t>Aperçu du projet</w:t>
      </w:r>
    </w:p>
    <w:p w14:paraId="4FCE0A73">
      <w:pPr>
        <w:tabs>
          <w:tab w:val="left" w:pos="993"/>
          <w:tab w:val="left" w:pos="1134"/>
        </w:tabs>
        <w:spacing w:line="360" w:lineRule="auto"/>
        <w:ind w:firstLine="424" w:firstLineChars="202"/>
        <w:jc w:val="left"/>
        <w:rPr>
          <w:color w:val="000000"/>
          <w:szCs w:val="21"/>
        </w:rPr>
      </w:pPr>
      <w:r>
        <w:rPr>
          <w:color w:val="000000"/>
          <w:szCs w:val="21"/>
        </w:rPr>
        <w:t>本项目采购范围为本采购文件规定的，同时也包括所有必要的材料、备品备件、专用工具、消耗品以及设计、技术资料和技术服务等。具体内容详见技术部分有关规定。</w:t>
      </w:r>
    </w:p>
    <w:p w14:paraId="2E73C5A1">
      <w:pPr>
        <w:ind w:firstLine="420" w:firstLineChars="200"/>
        <w:rPr>
          <w:szCs w:val="21"/>
          <w:lang w:val="fr-FR"/>
        </w:rPr>
      </w:pPr>
      <w:r>
        <w:rPr>
          <w:szCs w:val="21"/>
          <w:lang w:val="fr-FR"/>
        </w:rPr>
        <w:t>L’étendue de l’approvisionnement de ce projet est celle définie dans ce document d'appel d'offres, et comprend également tous les matériaux nécessaires, pièces de rechange, outils spécialisés, consommables, ainsi que les documents et services techniques nécessaires. Pour les détails spécifiques, veuillez consulter les dispositions pertinentes dans la section technique.</w:t>
      </w:r>
    </w:p>
    <w:p w14:paraId="2A7181E3">
      <w:pPr>
        <w:spacing w:line="360" w:lineRule="auto"/>
        <w:rPr>
          <w:szCs w:val="21"/>
        </w:rPr>
      </w:pPr>
      <w:bookmarkStart w:id="25" w:name="_Toc20555"/>
      <w:r>
        <w:rPr>
          <w:b/>
          <w:kern w:val="0"/>
          <w:szCs w:val="21"/>
        </w:rPr>
        <w:t>1.3采购范围：</w:t>
      </w:r>
      <w:bookmarkEnd w:id="25"/>
      <w:r>
        <w:rPr>
          <w:szCs w:val="21"/>
        </w:rPr>
        <w:t>见响应人须知前附表。</w:t>
      </w:r>
    </w:p>
    <w:p w14:paraId="5F90B77B">
      <w:pPr>
        <w:ind w:firstLine="422" w:firstLineChars="200"/>
        <w:rPr>
          <w:szCs w:val="21"/>
          <w:lang w:val="fr-FR"/>
        </w:rPr>
      </w:pPr>
      <w:r>
        <w:rPr>
          <w:b/>
          <w:bCs/>
          <w:szCs w:val="21"/>
          <w:lang w:val="fr-FR"/>
        </w:rPr>
        <w:t xml:space="preserve">Étendue de l'approvisionnement </w:t>
      </w:r>
      <w:r>
        <w:rPr>
          <w:szCs w:val="21"/>
          <w:lang w:val="fr-FR"/>
        </w:rPr>
        <w:t>: Voir l'Annexe préliminaire des Instructions pour les soumissionnaires.</w:t>
      </w:r>
    </w:p>
    <w:p w14:paraId="4DDBD79A">
      <w:pPr>
        <w:spacing w:line="360" w:lineRule="auto"/>
        <w:rPr>
          <w:szCs w:val="21"/>
        </w:rPr>
      </w:pPr>
      <w:bookmarkStart w:id="26" w:name="_Toc18352"/>
      <w:r>
        <w:rPr>
          <w:b/>
          <w:kern w:val="0"/>
          <w:szCs w:val="21"/>
        </w:rPr>
        <w:t>1.4服务期限：</w:t>
      </w:r>
      <w:bookmarkEnd w:id="26"/>
      <w:r>
        <w:rPr>
          <w:szCs w:val="21"/>
        </w:rPr>
        <w:t>见响应人须知前附表。</w:t>
      </w:r>
    </w:p>
    <w:p w14:paraId="05EB1AB2">
      <w:pPr>
        <w:ind w:firstLine="422" w:firstLineChars="200"/>
        <w:rPr>
          <w:szCs w:val="21"/>
          <w:lang w:val="fr-FR"/>
        </w:rPr>
      </w:pPr>
      <w:r>
        <w:rPr>
          <w:b/>
          <w:bCs/>
          <w:szCs w:val="21"/>
          <w:lang w:val="fr-FR"/>
        </w:rPr>
        <w:t>Durée du service</w:t>
      </w:r>
      <w:r>
        <w:rPr>
          <w:szCs w:val="21"/>
          <w:lang w:val="fr-FR"/>
        </w:rPr>
        <w:t xml:space="preserve"> : Voir l'Annexe préliminaire des Instructions pour les soumissionnaires.</w:t>
      </w:r>
    </w:p>
    <w:p w14:paraId="276BD9C9">
      <w:pPr>
        <w:spacing w:line="360" w:lineRule="auto"/>
        <w:rPr>
          <w:szCs w:val="21"/>
        </w:rPr>
      </w:pPr>
      <w:bookmarkStart w:id="27" w:name="_Toc30652"/>
      <w:bookmarkStart w:id="28" w:name="_Toc16708"/>
      <w:r>
        <w:rPr>
          <w:b/>
          <w:kern w:val="0"/>
          <w:szCs w:val="21"/>
        </w:rPr>
        <w:t>1.5质量标准：</w:t>
      </w:r>
      <w:r>
        <w:rPr>
          <w:szCs w:val="21"/>
        </w:rPr>
        <w:t>见响应人须知前附表。</w:t>
      </w:r>
    </w:p>
    <w:p w14:paraId="6F8EB38E">
      <w:pPr>
        <w:ind w:firstLine="422" w:firstLineChars="200"/>
        <w:rPr>
          <w:szCs w:val="21"/>
          <w:lang w:val="fr-FR"/>
        </w:rPr>
      </w:pPr>
      <w:r>
        <w:rPr>
          <w:b/>
          <w:bCs/>
          <w:szCs w:val="21"/>
          <w:lang w:val="fr-FR"/>
        </w:rPr>
        <w:t xml:space="preserve">Normes de qualité </w:t>
      </w:r>
      <w:r>
        <w:rPr>
          <w:szCs w:val="21"/>
          <w:lang w:val="fr-FR"/>
        </w:rPr>
        <w:t>: Voir l'Annexe préliminaire des Instructions pour les soumissionnaires.</w:t>
      </w:r>
    </w:p>
    <w:p w14:paraId="508B4FFD">
      <w:pPr>
        <w:spacing w:line="360" w:lineRule="auto"/>
        <w:rPr>
          <w:szCs w:val="21"/>
        </w:rPr>
      </w:pPr>
      <w:r>
        <w:rPr>
          <w:b/>
          <w:kern w:val="0"/>
          <w:szCs w:val="21"/>
        </w:rPr>
        <w:t>1.6报价方式：</w:t>
      </w:r>
      <w:bookmarkEnd w:id="27"/>
      <w:bookmarkEnd w:id="28"/>
      <w:bookmarkStart w:id="29" w:name="_Toc4730"/>
      <w:r>
        <w:rPr>
          <w:szCs w:val="21"/>
        </w:rPr>
        <w:t>见响应人须知前附表。</w:t>
      </w:r>
    </w:p>
    <w:p w14:paraId="0B886B10">
      <w:pPr>
        <w:ind w:firstLine="422" w:firstLineChars="200"/>
        <w:rPr>
          <w:szCs w:val="21"/>
          <w:lang w:val="fr-FR"/>
        </w:rPr>
      </w:pPr>
      <w:r>
        <w:rPr>
          <w:b/>
          <w:bCs/>
          <w:szCs w:val="21"/>
          <w:lang w:val="fr-FR"/>
        </w:rPr>
        <w:t xml:space="preserve">Méthode de soumission des offres </w:t>
      </w:r>
      <w:r>
        <w:rPr>
          <w:szCs w:val="21"/>
          <w:lang w:val="fr-FR"/>
        </w:rPr>
        <w:t>: Voir l'Annexe préliminaire des Instructions pour les soumissionnaires.</w:t>
      </w:r>
    </w:p>
    <w:bookmarkEnd w:id="29"/>
    <w:p w14:paraId="0B80099A">
      <w:pPr>
        <w:spacing w:line="360" w:lineRule="auto"/>
        <w:rPr>
          <w:szCs w:val="21"/>
        </w:rPr>
      </w:pPr>
      <w:bookmarkStart w:id="30" w:name="_Toc1432"/>
      <w:bookmarkStart w:id="31" w:name="_Toc12174"/>
      <w:r>
        <w:rPr>
          <w:b/>
          <w:kern w:val="0"/>
          <w:szCs w:val="21"/>
        </w:rPr>
        <w:t>1.7付款方式：</w:t>
      </w:r>
      <w:bookmarkEnd w:id="30"/>
      <w:r>
        <w:rPr>
          <w:szCs w:val="21"/>
        </w:rPr>
        <w:t>见响应人须知前附表。</w:t>
      </w:r>
    </w:p>
    <w:p w14:paraId="49FD02AE">
      <w:pPr>
        <w:ind w:firstLine="422" w:firstLineChars="200"/>
        <w:rPr>
          <w:szCs w:val="21"/>
          <w:lang w:val="fr-FR"/>
        </w:rPr>
      </w:pPr>
      <w:r>
        <w:rPr>
          <w:b/>
          <w:bCs/>
          <w:szCs w:val="21"/>
          <w:lang w:val="fr-FR"/>
        </w:rPr>
        <w:t>Modalités de paiement</w:t>
      </w:r>
      <w:r>
        <w:rPr>
          <w:szCs w:val="21"/>
          <w:lang w:val="fr-FR"/>
        </w:rPr>
        <w:t xml:space="preserve"> : Voir l'Annexe préliminaire des Instructions pour les soumissionnaires.</w:t>
      </w:r>
    </w:p>
    <w:bookmarkEnd w:id="31"/>
    <w:p w14:paraId="0A5CADB9">
      <w:pPr>
        <w:adjustRightInd w:val="0"/>
        <w:snapToGrid w:val="0"/>
        <w:spacing w:line="360" w:lineRule="auto"/>
        <w:rPr>
          <w:szCs w:val="21"/>
        </w:rPr>
      </w:pPr>
      <w:bookmarkStart w:id="32" w:name="_Toc9875"/>
      <w:bookmarkStart w:id="33" w:name="_Toc17607"/>
      <w:r>
        <w:rPr>
          <w:b/>
          <w:kern w:val="0"/>
          <w:szCs w:val="21"/>
        </w:rPr>
        <w:t>1.8响应人资质条件、能力和信誉：</w:t>
      </w:r>
      <w:bookmarkEnd w:id="32"/>
      <w:bookmarkEnd w:id="33"/>
      <w:bookmarkStart w:id="34" w:name="_Toc21555"/>
      <w:r>
        <w:rPr>
          <w:szCs w:val="21"/>
        </w:rPr>
        <w:t>见响应人须知前附表。</w:t>
      </w:r>
    </w:p>
    <w:p w14:paraId="208143E3">
      <w:pPr>
        <w:ind w:firstLine="422" w:firstLineChars="200"/>
        <w:rPr>
          <w:szCs w:val="21"/>
          <w:lang w:val="fr-FR"/>
        </w:rPr>
      </w:pPr>
      <w:r>
        <w:rPr>
          <w:b/>
          <w:bCs/>
          <w:szCs w:val="21"/>
          <w:lang w:val="fr-FR"/>
        </w:rPr>
        <w:t>Conditions de qualification, capacités et réputation du soumissionnaire</w:t>
      </w:r>
      <w:r>
        <w:rPr>
          <w:szCs w:val="21"/>
          <w:lang w:val="fr-FR"/>
        </w:rPr>
        <w:t xml:space="preserve"> : Voir l'Annexe préliminaire des Instructions pour les soumissionnaires.</w:t>
      </w:r>
    </w:p>
    <w:p w14:paraId="1A161F5A">
      <w:pPr>
        <w:adjustRightInd w:val="0"/>
        <w:snapToGrid w:val="0"/>
        <w:spacing w:line="360" w:lineRule="auto"/>
        <w:rPr>
          <w:szCs w:val="21"/>
        </w:rPr>
      </w:pPr>
      <w:r>
        <w:rPr>
          <w:b/>
          <w:kern w:val="0"/>
          <w:szCs w:val="21"/>
        </w:rPr>
        <w:t>1.9是否接受联合体报价：</w:t>
      </w:r>
      <w:r>
        <w:rPr>
          <w:szCs w:val="21"/>
        </w:rPr>
        <w:t xml:space="preserve">响应人须知前附表规定接受联合体报价的，除应符合响应人须知前附表的要求外，还应遵守以下规定： </w:t>
      </w:r>
    </w:p>
    <w:p w14:paraId="5DBD88E6">
      <w:pPr>
        <w:ind w:firstLine="422" w:firstLineChars="200"/>
        <w:rPr>
          <w:szCs w:val="21"/>
          <w:lang w:val="fr-FR"/>
        </w:rPr>
      </w:pPr>
      <w:r>
        <w:rPr>
          <w:b/>
          <w:bCs/>
          <w:szCs w:val="21"/>
          <w:lang w:val="fr-FR"/>
        </w:rPr>
        <w:t xml:space="preserve">Acceptation des offres du consortium </w:t>
      </w:r>
      <w:r>
        <w:rPr>
          <w:szCs w:val="21"/>
          <w:lang w:val="fr-FR"/>
        </w:rPr>
        <w:t>: Si l'Annexe préliminaire des Instructions pour les soumissionnaires stipule que les offres du consortium sont acceptées, en plus de satisfaire aux exigences spécifiées dans l'annexe, les règles suivantes doivent également être respectées :</w:t>
      </w:r>
    </w:p>
    <w:p w14:paraId="4B39CB27">
      <w:pPr>
        <w:adjustRightInd w:val="0"/>
        <w:snapToGrid w:val="0"/>
        <w:spacing w:line="360" w:lineRule="auto"/>
        <w:ind w:firstLine="420" w:firstLineChars="200"/>
        <w:rPr>
          <w:szCs w:val="21"/>
        </w:rPr>
      </w:pPr>
      <w:r>
        <w:rPr>
          <w:szCs w:val="21"/>
        </w:rPr>
        <w:t>（1）联合体各方应按采购文件提供的格式签订联合体协议书，明确联合体牵头人和各方权利义务；</w:t>
      </w:r>
    </w:p>
    <w:p w14:paraId="03336AB8">
      <w:pPr>
        <w:ind w:firstLine="420" w:firstLineChars="200"/>
        <w:rPr>
          <w:szCs w:val="21"/>
          <w:lang w:val="fr-FR"/>
        </w:rPr>
      </w:pPr>
      <w:r>
        <w:rPr>
          <w:szCs w:val="21"/>
          <w:lang w:val="fr-FR"/>
        </w:rPr>
        <w:t>Les membres du consortium doivent signer un accord de consortium selon le format fourni dans le document d'appel d'offres, précisant le leader du consortium ainsi que les droits et obligations des parties.</w:t>
      </w:r>
    </w:p>
    <w:p w14:paraId="6691B642">
      <w:pPr>
        <w:adjustRightInd w:val="0"/>
        <w:snapToGrid w:val="0"/>
        <w:spacing w:line="360" w:lineRule="auto"/>
        <w:ind w:firstLine="420" w:firstLineChars="200"/>
        <w:rPr>
          <w:szCs w:val="21"/>
        </w:rPr>
      </w:pPr>
      <w:r>
        <w:rPr>
          <w:szCs w:val="21"/>
        </w:rPr>
        <w:t>（2）由同一专业的单位组成的联合体，按照资质等级较低的单位确定资质等级；</w:t>
      </w:r>
    </w:p>
    <w:p w14:paraId="7F0A02A1">
      <w:pPr>
        <w:ind w:firstLine="420" w:firstLineChars="200"/>
        <w:rPr>
          <w:szCs w:val="21"/>
          <w:lang w:val="fr-FR"/>
        </w:rPr>
      </w:pPr>
      <w:r>
        <w:rPr>
          <w:szCs w:val="21"/>
          <w:lang w:val="fr-FR"/>
        </w:rPr>
        <w:t>Un consortium composé de sociétés spécialisées du même domaine aura un niveau de qualification défini par le membre ayant le niveau de qualification le plus bas.</w:t>
      </w:r>
    </w:p>
    <w:p w14:paraId="3E13C69C">
      <w:pPr>
        <w:adjustRightInd w:val="0"/>
        <w:snapToGrid w:val="0"/>
        <w:spacing w:line="360" w:lineRule="auto"/>
        <w:ind w:firstLine="420" w:firstLineChars="200"/>
        <w:rPr>
          <w:szCs w:val="21"/>
        </w:rPr>
      </w:pPr>
      <w:r>
        <w:rPr>
          <w:szCs w:val="21"/>
        </w:rPr>
        <w:t>（3）联合体各方不得再以自己名义单独或参加其他联合体在本采购项目中报价。</w:t>
      </w:r>
    </w:p>
    <w:p w14:paraId="17B72CB6">
      <w:pPr>
        <w:ind w:firstLine="420" w:firstLineChars="200"/>
        <w:rPr>
          <w:b/>
          <w:kern w:val="0"/>
          <w:szCs w:val="21"/>
          <w:lang w:val="fr-FR"/>
        </w:rPr>
      </w:pPr>
      <w:r>
        <w:rPr>
          <w:szCs w:val="21"/>
          <w:lang w:val="fr-FR"/>
        </w:rPr>
        <w:t>Aucun membre du consortium ne peut soumettre une offre séparée ou participer à un autre consortium pour ce projet d'approvisionnement.</w:t>
      </w:r>
    </w:p>
    <w:p w14:paraId="693AF404">
      <w:pPr>
        <w:spacing w:line="360" w:lineRule="auto"/>
        <w:rPr>
          <w:b/>
          <w:bCs/>
          <w:kern w:val="0"/>
          <w:szCs w:val="21"/>
        </w:rPr>
      </w:pPr>
      <w:r>
        <w:rPr>
          <w:b/>
          <w:kern w:val="0"/>
          <w:szCs w:val="21"/>
        </w:rPr>
        <w:t xml:space="preserve">1.10 踏勘现场 </w:t>
      </w:r>
      <w:r>
        <w:rPr>
          <w:b/>
          <w:bCs/>
          <w:szCs w:val="21"/>
        </w:rPr>
        <w:t>Inspection sur site</w:t>
      </w:r>
    </w:p>
    <w:p w14:paraId="15B03C9C">
      <w:pPr>
        <w:spacing w:line="360" w:lineRule="auto"/>
        <w:ind w:firstLine="420" w:firstLineChars="200"/>
        <w:jc w:val="left"/>
        <w:rPr>
          <w:color w:val="000000"/>
          <w:szCs w:val="21"/>
        </w:rPr>
      </w:pPr>
      <w:r>
        <w:rPr>
          <w:color w:val="000000"/>
          <w:szCs w:val="21"/>
        </w:rPr>
        <w:t xml:space="preserve">1.10.1 </w:t>
      </w:r>
      <w:r>
        <w:rPr>
          <w:szCs w:val="21"/>
        </w:rPr>
        <w:t xml:space="preserve">响应人须知前附表规定组织踏勘现场的，采购人按响应人须知前附表规定的时间、地点组织响应人踏勘项目现场。 </w:t>
      </w:r>
    </w:p>
    <w:p w14:paraId="2511E984">
      <w:pPr>
        <w:spacing w:line="360" w:lineRule="auto"/>
        <w:ind w:firstLine="420" w:firstLineChars="200"/>
        <w:jc w:val="left"/>
        <w:rPr>
          <w:color w:val="000000"/>
          <w:szCs w:val="21"/>
          <w:lang w:val="fr-FR"/>
        </w:rPr>
      </w:pPr>
      <w:r>
        <w:rPr>
          <w:szCs w:val="21"/>
          <w:lang w:val="fr-FR"/>
        </w:rPr>
        <w:t>Si l'Annexe préliminaire des Instructions pour les soumissionnaires prévoit l'organisation d'une inspection sur site, l'acheteur organisera la visite du site selon le lieu et les horaires spécifiés dans l'Annexe préliminaire des Instructions pour les soumissionnaires.</w:t>
      </w:r>
    </w:p>
    <w:p w14:paraId="3B383350">
      <w:pPr>
        <w:spacing w:line="360" w:lineRule="auto"/>
        <w:ind w:firstLine="420" w:firstLineChars="200"/>
        <w:jc w:val="left"/>
        <w:rPr>
          <w:color w:val="000000"/>
          <w:szCs w:val="21"/>
        </w:rPr>
      </w:pPr>
      <w:r>
        <w:rPr>
          <w:color w:val="000000"/>
          <w:szCs w:val="21"/>
        </w:rPr>
        <w:t>1.10.2 响应人踏勘现场发生的费用自理。</w:t>
      </w:r>
    </w:p>
    <w:p w14:paraId="76154D0A">
      <w:pPr>
        <w:spacing w:line="360" w:lineRule="auto"/>
        <w:ind w:firstLine="420" w:firstLineChars="200"/>
        <w:jc w:val="left"/>
        <w:rPr>
          <w:color w:val="000000"/>
          <w:szCs w:val="21"/>
          <w:lang w:val="fr-FR"/>
        </w:rPr>
      </w:pPr>
      <w:r>
        <w:rPr>
          <w:szCs w:val="21"/>
          <w:lang w:val="fr-FR"/>
        </w:rPr>
        <w:t>Les frais liés à l’inspection sur site seront à la charge du soumissionnaire.</w:t>
      </w:r>
    </w:p>
    <w:p w14:paraId="2A3975B1">
      <w:pPr>
        <w:spacing w:line="360" w:lineRule="auto"/>
        <w:ind w:firstLine="420" w:firstLineChars="200"/>
        <w:jc w:val="left"/>
        <w:rPr>
          <w:color w:val="000000"/>
          <w:szCs w:val="21"/>
        </w:rPr>
      </w:pPr>
      <w:r>
        <w:rPr>
          <w:color w:val="000000"/>
          <w:szCs w:val="21"/>
        </w:rPr>
        <w:t>1.10.3 除采购人的原因外，响应人自行负责在踏勘现场中所发生的人员伤亡和财产损失。</w:t>
      </w:r>
    </w:p>
    <w:p w14:paraId="7964C0EB">
      <w:pPr>
        <w:widowControl/>
        <w:ind w:firstLine="420" w:firstLineChars="200"/>
        <w:jc w:val="left"/>
        <w:rPr>
          <w:color w:val="000000"/>
          <w:szCs w:val="21"/>
          <w:lang w:val="fr-FR"/>
        </w:rPr>
      </w:pPr>
      <w:r>
        <w:rPr>
          <w:szCs w:val="21"/>
          <w:lang w:val="fr-FR"/>
        </w:rPr>
        <w:t>Sauf en cas de faute de l'acheteur, le soumissionnaire est responsable des blessures corporelles et des pertes matérielles qui pourraient survenir lors de l’inspection sur site.</w:t>
      </w:r>
    </w:p>
    <w:p w14:paraId="2949EB5D">
      <w:pPr>
        <w:spacing w:line="360" w:lineRule="auto"/>
        <w:ind w:firstLine="420" w:firstLineChars="200"/>
        <w:jc w:val="left"/>
        <w:rPr>
          <w:color w:val="000000"/>
          <w:szCs w:val="21"/>
        </w:rPr>
      </w:pPr>
      <w:r>
        <w:rPr>
          <w:color w:val="000000"/>
          <w:szCs w:val="21"/>
        </w:rPr>
        <w:t>1.10.4 采购人在踏勘现场中介绍的工程场地和相关的周边环境情况，供响应人在编制响应文件时参考，采购人不对响应人据此作出的判断和决策负责。</w:t>
      </w:r>
    </w:p>
    <w:bookmarkEnd w:id="34"/>
    <w:p w14:paraId="13D70928">
      <w:pPr>
        <w:rPr>
          <w:b/>
          <w:kern w:val="0"/>
          <w:szCs w:val="21"/>
          <w:lang w:val="fr-FR"/>
        </w:rPr>
      </w:pPr>
      <w:bookmarkStart w:id="35" w:name="_Toc16567"/>
      <w:bookmarkStart w:id="36" w:name="_Toc18128"/>
      <w:r>
        <w:rPr>
          <w:b/>
          <w:kern w:val="0"/>
          <w:szCs w:val="21"/>
        </w:rPr>
        <w:t xml:space="preserve">  </w:t>
      </w:r>
      <w:r>
        <w:rPr>
          <w:szCs w:val="21"/>
          <w:lang w:val="fr-FR"/>
        </w:rPr>
        <w:t>Les informations concernant le site de l'infrastructure et l’environnement environnant fournies par l'acheteur lors de l'inspection sur site sont destinées à aider le soumissionnaire dans la préparation de sa réponse. L'acheteur ne sera pas responsable des jugements et décisions du soumissionnaire fondés sur ces informations.</w:t>
      </w:r>
    </w:p>
    <w:p w14:paraId="3B870A1D">
      <w:pPr>
        <w:spacing w:line="360" w:lineRule="auto"/>
        <w:outlineLvl w:val="1"/>
        <w:rPr>
          <w:b/>
          <w:bCs/>
          <w:kern w:val="0"/>
          <w:szCs w:val="21"/>
          <w:lang w:val="fr-FR"/>
        </w:rPr>
      </w:pPr>
      <w:r>
        <w:rPr>
          <w:b/>
          <w:kern w:val="0"/>
          <w:szCs w:val="21"/>
          <w:lang w:val="fr-FR"/>
        </w:rPr>
        <w:t>2.</w:t>
      </w:r>
      <w:r>
        <w:rPr>
          <w:b/>
          <w:kern w:val="0"/>
          <w:szCs w:val="21"/>
        </w:rPr>
        <w:t>竞争性谈判文件组成</w:t>
      </w:r>
      <w:bookmarkEnd w:id="35"/>
      <w:bookmarkEnd w:id="36"/>
      <w:r>
        <w:rPr>
          <w:b/>
          <w:kern w:val="0"/>
          <w:szCs w:val="21"/>
          <w:lang w:val="fr-FR"/>
        </w:rPr>
        <w:t xml:space="preserve"> </w:t>
      </w:r>
      <w:r>
        <w:rPr>
          <w:b/>
          <w:bCs/>
          <w:szCs w:val="21"/>
          <w:lang w:val="fr-FR"/>
        </w:rPr>
        <w:t>Composition de document de négociation concurrentielle</w:t>
      </w:r>
    </w:p>
    <w:p w14:paraId="469BD86C">
      <w:pPr>
        <w:pStyle w:val="161"/>
        <w:spacing w:line="360" w:lineRule="auto"/>
        <w:jc w:val="left"/>
        <w:rPr>
          <w:rFonts w:ascii="Times New Roman" w:hAnsi="Times New Roman"/>
          <w:color w:val="000000"/>
          <w:szCs w:val="21"/>
          <w:lang w:val="fr-FR"/>
        </w:rPr>
      </w:pPr>
      <w:r>
        <w:rPr>
          <w:rFonts w:ascii="Times New Roman" w:hAnsi="Times New Roman"/>
          <w:color w:val="000000"/>
          <w:szCs w:val="21"/>
        </w:rPr>
        <w:t>竞争性谈判文件用以阐明采购范围</w:t>
      </w:r>
      <w:r>
        <w:rPr>
          <w:rFonts w:ascii="Times New Roman" w:hAnsi="Times New Roman"/>
          <w:color w:val="000000"/>
          <w:szCs w:val="21"/>
          <w:lang w:val="fr-FR"/>
        </w:rPr>
        <w:t>，</w:t>
      </w:r>
      <w:r>
        <w:rPr>
          <w:rFonts w:ascii="Times New Roman" w:hAnsi="Times New Roman"/>
          <w:color w:val="000000"/>
          <w:szCs w:val="21"/>
        </w:rPr>
        <w:t>介绍基本的采购程序</w:t>
      </w:r>
      <w:r>
        <w:rPr>
          <w:rFonts w:ascii="Times New Roman" w:hAnsi="Times New Roman"/>
          <w:color w:val="000000"/>
          <w:szCs w:val="21"/>
          <w:lang w:val="fr-FR"/>
        </w:rPr>
        <w:t>，</w:t>
      </w:r>
      <w:r>
        <w:rPr>
          <w:rFonts w:ascii="Times New Roman" w:hAnsi="Times New Roman"/>
          <w:color w:val="000000"/>
          <w:szCs w:val="21"/>
        </w:rPr>
        <w:t>提供相应的合同条款</w:t>
      </w:r>
      <w:r>
        <w:rPr>
          <w:rFonts w:ascii="Times New Roman" w:hAnsi="Times New Roman"/>
          <w:color w:val="000000"/>
          <w:szCs w:val="21"/>
          <w:lang w:val="fr-FR"/>
        </w:rPr>
        <w:t>，</w:t>
      </w:r>
      <w:r>
        <w:rPr>
          <w:rFonts w:ascii="Times New Roman" w:hAnsi="Times New Roman"/>
          <w:color w:val="000000"/>
          <w:szCs w:val="21"/>
        </w:rPr>
        <w:t>提纲见目录。</w:t>
      </w:r>
    </w:p>
    <w:p w14:paraId="63CA7190">
      <w:pPr>
        <w:pStyle w:val="161"/>
        <w:spacing w:line="360" w:lineRule="auto"/>
        <w:jc w:val="left"/>
        <w:rPr>
          <w:rFonts w:ascii="Times New Roman" w:hAnsi="Times New Roman"/>
          <w:b/>
          <w:kern w:val="0"/>
          <w:szCs w:val="21"/>
        </w:rPr>
      </w:pPr>
      <w:r>
        <w:rPr>
          <w:rFonts w:ascii="Times New Roman" w:hAnsi="Times New Roman"/>
          <w:color w:val="000000"/>
          <w:szCs w:val="21"/>
        </w:rPr>
        <w:t>响应人应认真阅读竞争性谈判文件中所有的须知、格式、条款、技术要求和其它资料。如果响应人没有按照竞争性谈判文件要求提交全部资料，或者提交的资料没有对竞争性谈判文件在各方面都做出实质性响应而导致其报价被拒绝，该责任由响应人承担。</w:t>
      </w:r>
    </w:p>
    <w:p w14:paraId="68738258">
      <w:pPr>
        <w:rPr>
          <w:szCs w:val="21"/>
          <w:lang w:val="fr-FR"/>
        </w:rPr>
      </w:pPr>
      <w:bookmarkStart w:id="37" w:name="_Toc6830436"/>
      <w:bookmarkStart w:id="38" w:name="_Toc11324"/>
      <w:bookmarkStart w:id="39" w:name="_Toc7360390"/>
      <w:bookmarkStart w:id="40" w:name="_Toc2475"/>
      <w:bookmarkStart w:id="41" w:name="_Toc26022"/>
      <w:r>
        <w:rPr>
          <w:b/>
          <w:kern w:val="0"/>
          <w:szCs w:val="21"/>
        </w:rPr>
        <w:t xml:space="preserve">  </w:t>
      </w:r>
      <w:r>
        <w:rPr>
          <w:szCs w:val="21"/>
          <w:lang w:val="fr-FR"/>
        </w:rPr>
        <w:t>Le document de négociation concurrentielle ont pour but de définir l’étendue de l’approvisionnement, d’introduire les procédures de base de l’approvisionnement, de fournir les clauses contractuelles appropriées, dont le plan est donné dans le catalogue.</w:t>
      </w:r>
    </w:p>
    <w:p w14:paraId="325C4C6D">
      <w:pPr>
        <w:ind w:firstLine="420" w:firstLineChars="200"/>
        <w:rPr>
          <w:b/>
          <w:kern w:val="0"/>
          <w:szCs w:val="21"/>
          <w:lang w:val="fr-FR"/>
        </w:rPr>
      </w:pPr>
      <w:r>
        <w:rPr>
          <w:szCs w:val="21"/>
          <w:lang w:val="fr-FR"/>
        </w:rPr>
        <w:t>Le soumissionnaire doit lire attentivement tous les avis, formats, clauses, exigences techniques et autres informations figurant dans le document de négociation concurrentielle. Si le soumissionnaire ne soumet pas tous les documents requis par les conditions de document de négociation concurrentielle, ou si les documents soumis ne répondent pas de manière substantielle aux exigences dans tous les aspects, entraînant le rejet de l'offre, la responsabilité en incombera au soumissionnaire.</w:t>
      </w:r>
    </w:p>
    <w:p w14:paraId="19ECBF00">
      <w:pPr>
        <w:spacing w:line="360" w:lineRule="auto"/>
        <w:outlineLvl w:val="1"/>
        <w:rPr>
          <w:b/>
          <w:bCs/>
          <w:kern w:val="0"/>
          <w:szCs w:val="21"/>
          <w:lang w:val="fr-FR"/>
        </w:rPr>
      </w:pPr>
      <w:r>
        <w:rPr>
          <w:b/>
          <w:kern w:val="0"/>
          <w:szCs w:val="21"/>
          <w:lang w:val="fr-FR"/>
        </w:rPr>
        <w:t>3.</w:t>
      </w:r>
      <w:r>
        <w:rPr>
          <w:b/>
          <w:kern w:val="0"/>
          <w:szCs w:val="21"/>
        </w:rPr>
        <w:t>谈判说明</w:t>
      </w:r>
      <w:bookmarkEnd w:id="37"/>
      <w:bookmarkEnd w:id="38"/>
      <w:bookmarkEnd w:id="39"/>
      <w:bookmarkEnd w:id="40"/>
      <w:bookmarkEnd w:id="41"/>
      <w:r>
        <w:rPr>
          <w:b/>
          <w:kern w:val="0"/>
          <w:szCs w:val="21"/>
          <w:lang w:val="fr-FR"/>
        </w:rPr>
        <w:t xml:space="preserve"> </w:t>
      </w:r>
      <w:r>
        <w:rPr>
          <w:b/>
          <w:bCs/>
          <w:szCs w:val="21"/>
          <w:lang w:val="fr-FR"/>
        </w:rPr>
        <w:t>Explication de la négociation</w:t>
      </w:r>
    </w:p>
    <w:p w14:paraId="2A682ED4">
      <w:pPr>
        <w:spacing w:line="360" w:lineRule="auto"/>
        <w:rPr>
          <w:b/>
          <w:kern w:val="0"/>
          <w:szCs w:val="21"/>
          <w:lang w:val="fr-FR"/>
        </w:rPr>
      </w:pPr>
      <w:bookmarkStart w:id="42" w:name="_Toc296602452"/>
      <w:bookmarkStart w:id="43" w:name="_Toc179632581"/>
      <w:bookmarkStart w:id="44" w:name="_Toc246996950"/>
      <w:bookmarkStart w:id="45" w:name="_Toc144974531"/>
      <w:bookmarkStart w:id="46" w:name="_Toc152045563"/>
      <w:bookmarkStart w:id="47" w:name="_Toc247085721"/>
      <w:bookmarkStart w:id="48" w:name="_Toc246996207"/>
      <w:bookmarkStart w:id="49" w:name="_Toc152042339"/>
      <w:bookmarkStart w:id="50" w:name="_Toc452121906"/>
      <w:r>
        <w:rPr>
          <w:b/>
          <w:kern w:val="0"/>
          <w:szCs w:val="21"/>
          <w:lang w:val="fr-FR"/>
        </w:rPr>
        <w:t xml:space="preserve">3.1 </w:t>
      </w:r>
      <w:bookmarkEnd w:id="42"/>
      <w:bookmarkEnd w:id="43"/>
      <w:bookmarkEnd w:id="44"/>
      <w:bookmarkEnd w:id="45"/>
      <w:bookmarkEnd w:id="46"/>
      <w:bookmarkEnd w:id="47"/>
      <w:bookmarkEnd w:id="48"/>
      <w:bookmarkEnd w:id="49"/>
      <w:r>
        <w:rPr>
          <w:b/>
          <w:kern w:val="0"/>
          <w:szCs w:val="21"/>
        </w:rPr>
        <w:t>谈判小组</w:t>
      </w:r>
      <w:bookmarkEnd w:id="50"/>
      <w:r>
        <w:rPr>
          <w:b/>
          <w:kern w:val="0"/>
          <w:szCs w:val="21"/>
          <w:lang w:val="fr-FR"/>
        </w:rPr>
        <w:t xml:space="preserve"> </w:t>
      </w:r>
      <w:r>
        <w:rPr>
          <w:b/>
          <w:szCs w:val="21"/>
          <w:lang w:val="fr-FR"/>
        </w:rPr>
        <w:t>Groupe de négociation</w:t>
      </w:r>
    </w:p>
    <w:p w14:paraId="79D94DF5">
      <w:pPr>
        <w:spacing w:line="360" w:lineRule="auto"/>
        <w:ind w:firstLine="424" w:firstLineChars="202"/>
        <w:rPr>
          <w:color w:val="000000"/>
          <w:szCs w:val="21"/>
          <w:lang w:val="fr-FR"/>
        </w:rPr>
      </w:pPr>
      <w:r>
        <w:rPr>
          <w:color w:val="000000"/>
          <w:szCs w:val="21"/>
        </w:rPr>
        <w:t>谈判小组由采购人、项目有关专业专家组成。</w:t>
      </w:r>
    </w:p>
    <w:p w14:paraId="2090B321">
      <w:pPr>
        <w:widowControl/>
        <w:ind w:firstLine="420" w:firstLineChars="200"/>
        <w:rPr>
          <w:color w:val="000000"/>
          <w:szCs w:val="21"/>
          <w:lang w:val="fr-FR"/>
        </w:rPr>
      </w:pPr>
      <w:r>
        <w:rPr>
          <w:szCs w:val="21"/>
          <w:lang w:val="fr-FR"/>
        </w:rPr>
        <w:t>Le groupe de négociation est composé de l'acheteur et des experts spécialisés dans le projet concerné.</w:t>
      </w:r>
    </w:p>
    <w:p w14:paraId="6A34CE08">
      <w:pPr>
        <w:spacing w:line="360" w:lineRule="auto"/>
        <w:rPr>
          <w:b/>
          <w:kern w:val="0"/>
          <w:szCs w:val="21"/>
          <w:lang w:val="fr-FR"/>
        </w:rPr>
      </w:pPr>
      <w:bookmarkStart w:id="51" w:name="_Toc452121908"/>
      <w:r>
        <w:rPr>
          <w:b/>
          <w:kern w:val="0"/>
          <w:szCs w:val="21"/>
          <w:lang w:val="fr-FR"/>
        </w:rPr>
        <w:t xml:space="preserve">3.2 </w:t>
      </w:r>
      <w:r>
        <w:rPr>
          <w:b/>
          <w:kern w:val="0"/>
          <w:szCs w:val="21"/>
        </w:rPr>
        <w:t>谈判原则及纪律</w:t>
      </w:r>
      <w:r>
        <w:rPr>
          <w:b/>
          <w:kern w:val="0"/>
          <w:szCs w:val="21"/>
          <w:lang w:val="fr-FR"/>
        </w:rPr>
        <w:t xml:space="preserve"> </w:t>
      </w:r>
      <w:r>
        <w:rPr>
          <w:b/>
          <w:szCs w:val="21"/>
          <w:lang w:val="fr-FR"/>
        </w:rPr>
        <w:t>Principes et disciplines de la négociation</w:t>
      </w:r>
    </w:p>
    <w:p w14:paraId="06D0E8F8">
      <w:pPr>
        <w:tabs>
          <w:tab w:val="left" w:pos="0"/>
          <w:tab w:val="decimal" w:pos="6240"/>
          <w:tab w:val="right" w:leader="dot" w:pos="10800"/>
        </w:tabs>
        <w:snapToGrid w:val="0"/>
        <w:spacing w:line="360" w:lineRule="auto"/>
        <w:ind w:firstLine="424" w:firstLineChars="202"/>
        <w:rPr>
          <w:color w:val="000000"/>
          <w:szCs w:val="21"/>
          <w:lang w:val="fr-FR"/>
        </w:rPr>
      </w:pPr>
      <w:r>
        <w:rPr>
          <w:color w:val="000000"/>
          <w:szCs w:val="21"/>
          <w:lang w:val="fr-FR"/>
        </w:rPr>
        <w:t>3.2.1</w:t>
      </w:r>
      <w:r>
        <w:rPr>
          <w:color w:val="000000"/>
          <w:szCs w:val="21"/>
        </w:rPr>
        <w:t>评审按照竞争性谈判文件的规定的要求、条件、评审因素进行。</w:t>
      </w:r>
    </w:p>
    <w:p w14:paraId="17862054">
      <w:pPr>
        <w:tabs>
          <w:tab w:val="left" w:pos="0"/>
          <w:tab w:val="decimal" w:pos="6240"/>
          <w:tab w:val="right" w:leader="dot" w:pos="10800"/>
        </w:tabs>
        <w:snapToGrid w:val="0"/>
        <w:spacing w:line="360" w:lineRule="auto"/>
        <w:ind w:firstLine="424" w:firstLineChars="202"/>
        <w:rPr>
          <w:color w:val="000000"/>
          <w:szCs w:val="21"/>
          <w:lang w:val="fr-FR"/>
        </w:rPr>
      </w:pPr>
      <w:r>
        <w:rPr>
          <w:color w:val="000000"/>
          <w:szCs w:val="21"/>
          <w:lang w:val="fr-FR"/>
        </w:rPr>
        <w:t>L'évaluation se fait conformément aux exigences, conditions et critères d'évaluation définis dans le document de négociation concurrentielle.</w:t>
      </w:r>
    </w:p>
    <w:p w14:paraId="0F92ECC4">
      <w:pPr>
        <w:tabs>
          <w:tab w:val="left" w:pos="0"/>
          <w:tab w:val="decimal" w:pos="6240"/>
          <w:tab w:val="right" w:leader="dot" w:pos="10800"/>
        </w:tabs>
        <w:snapToGrid w:val="0"/>
        <w:spacing w:line="360" w:lineRule="auto"/>
        <w:ind w:firstLine="424" w:firstLineChars="202"/>
        <w:rPr>
          <w:color w:val="000000"/>
          <w:szCs w:val="21"/>
        </w:rPr>
      </w:pPr>
      <w:r>
        <w:rPr>
          <w:color w:val="000000"/>
          <w:szCs w:val="21"/>
        </w:rPr>
        <w:t>3.2.2响应文件应实质上响应竞争性谈判文件的要求，不得有显著的差异或保留。响应人如对竞争性谈判文件的某些条款、条件和规定持有异议或保留，应明确提出依据和对应的建议，谈判小组将根据其合理程度予以评价。</w:t>
      </w:r>
    </w:p>
    <w:p w14:paraId="1291E22A">
      <w:pPr>
        <w:tabs>
          <w:tab w:val="left" w:pos="0"/>
          <w:tab w:val="decimal" w:pos="6240"/>
          <w:tab w:val="right" w:leader="dot" w:pos="10800"/>
        </w:tabs>
        <w:snapToGrid w:val="0"/>
        <w:spacing w:line="360" w:lineRule="auto"/>
        <w:ind w:firstLine="424" w:firstLineChars="202"/>
        <w:rPr>
          <w:color w:val="000000"/>
          <w:szCs w:val="21"/>
          <w:lang w:val="fr-FR"/>
        </w:rPr>
      </w:pPr>
      <w:r>
        <w:rPr>
          <w:szCs w:val="21"/>
          <w:lang w:val="fr-FR"/>
        </w:rPr>
        <w:t>Les documents de réponse doivent répondre de manière substantielle aux exigences de document de négociation concurrentielle, sans divergences ou réserves significatives. Si un soumissionnaire a des objections ou des réserves concernant certaines clauses, conditions ou dispositions de document de négociation concurrentielle, il doit les soumettre clairement avec des justifications et des propositions correspondantes. Le groupe de négociation évaluera celles-ci en fonction de leur raisonnabilité.</w:t>
      </w:r>
    </w:p>
    <w:p w14:paraId="019E1943">
      <w:pPr>
        <w:tabs>
          <w:tab w:val="left" w:pos="0"/>
          <w:tab w:val="decimal" w:pos="6240"/>
          <w:tab w:val="right" w:leader="dot" w:pos="10800"/>
        </w:tabs>
        <w:snapToGrid w:val="0"/>
        <w:spacing w:line="360" w:lineRule="auto"/>
        <w:ind w:firstLine="424" w:firstLineChars="202"/>
        <w:rPr>
          <w:color w:val="000000"/>
          <w:szCs w:val="21"/>
        </w:rPr>
      </w:pPr>
      <w:r>
        <w:rPr>
          <w:color w:val="000000"/>
          <w:szCs w:val="21"/>
        </w:rPr>
        <w:t>3.2.3响应人不得相互串通报价，不得排挤其他响应人的公平竞争，不得干扰谈判人员的谈判工作，不得以任何形式打探和搜集谈判情况，不得与采购人串通报价，损害国家利益，社会公共利益或者他人利益。</w:t>
      </w:r>
    </w:p>
    <w:p w14:paraId="293BD511">
      <w:pPr>
        <w:widowControl/>
        <w:ind w:firstLine="420" w:firstLineChars="200"/>
        <w:rPr>
          <w:color w:val="000000"/>
          <w:szCs w:val="21"/>
          <w:lang w:val="fr-FR"/>
        </w:rPr>
      </w:pPr>
      <w:r>
        <w:rPr>
          <w:szCs w:val="21"/>
          <w:lang w:val="fr-FR"/>
        </w:rPr>
        <w:t>Les soumissionnaires ne doivent pas se concerter sur les prix, ne doivent pas exclure d'autres soumissionnaires de la concurrence équitable, ne doivent pas interférer avec les travaux des négociateurs, ne doivent pas enquêter ou collecter des informations sur les négociations de manière inappropriée, et ne doivent pas se concerter avec l'acheteur sur les prix, ce qui porterait atteinte aux intérêts nationaux, aux intérêts publics ou aux intérêts d'autrui.</w:t>
      </w:r>
    </w:p>
    <w:p w14:paraId="7769A9B7">
      <w:pPr>
        <w:tabs>
          <w:tab w:val="left" w:pos="0"/>
          <w:tab w:val="decimal" w:pos="6240"/>
          <w:tab w:val="right" w:leader="dot" w:pos="10800"/>
        </w:tabs>
        <w:snapToGrid w:val="0"/>
        <w:spacing w:line="360" w:lineRule="auto"/>
        <w:ind w:firstLine="424" w:firstLineChars="202"/>
        <w:rPr>
          <w:color w:val="000000"/>
          <w:szCs w:val="21"/>
        </w:rPr>
      </w:pPr>
      <w:r>
        <w:rPr>
          <w:color w:val="000000"/>
          <w:szCs w:val="21"/>
        </w:rPr>
        <w:t xml:space="preserve">3.2.4严禁响应人与谈判人员私下接触。响应人与采购人之间的正常联络及有关文件、资料的传递通过采购机构进行。 </w:t>
      </w:r>
    </w:p>
    <w:p w14:paraId="2BA0D432">
      <w:pPr>
        <w:widowControl/>
        <w:ind w:firstLine="420" w:firstLineChars="200"/>
        <w:rPr>
          <w:color w:val="000000"/>
          <w:szCs w:val="21"/>
          <w:lang w:val="fr-FR"/>
        </w:rPr>
      </w:pPr>
      <w:r>
        <w:rPr>
          <w:szCs w:val="21"/>
          <w:lang w:val="fr-FR"/>
        </w:rPr>
        <w:t>Il est strictement interdit pour un soumissionnaire de contacter en privé les négociateurs. Toute communication normale entre le soumissionnaire et l'acheteur ainsi que la transmission de documents et informations doivent passer par l'entité d'achat.</w:t>
      </w:r>
    </w:p>
    <w:p w14:paraId="53F94406">
      <w:pPr>
        <w:tabs>
          <w:tab w:val="left" w:pos="0"/>
          <w:tab w:val="decimal" w:pos="6240"/>
          <w:tab w:val="right" w:leader="dot" w:pos="10800"/>
        </w:tabs>
        <w:snapToGrid w:val="0"/>
        <w:spacing w:line="360" w:lineRule="auto"/>
        <w:ind w:firstLine="424" w:firstLineChars="202"/>
        <w:rPr>
          <w:color w:val="000000"/>
          <w:szCs w:val="21"/>
        </w:rPr>
      </w:pPr>
      <w:r>
        <w:rPr>
          <w:color w:val="000000"/>
          <w:szCs w:val="21"/>
        </w:rPr>
        <w:t xml:space="preserve">3.2.5严禁响应人向采购人或谈判小组成员以行贿的手段谋取成交。 </w:t>
      </w:r>
    </w:p>
    <w:p w14:paraId="1CB38D6C">
      <w:pPr>
        <w:tabs>
          <w:tab w:val="left" w:pos="0"/>
          <w:tab w:val="decimal" w:pos="6240"/>
          <w:tab w:val="right" w:leader="dot" w:pos="10800"/>
        </w:tabs>
        <w:snapToGrid w:val="0"/>
        <w:spacing w:line="360" w:lineRule="auto"/>
        <w:ind w:firstLine="424" w:firstLineChars="202"/>
        <w:rPr>
          <w:color w:val="000000"/>
          <w:szCs w:val="21"/>
          <w:lang w:val="fr-FR"/>
        </w:rPr>
      </w:pPr>
      <w:r>
        <w:rPr>
          <w:color w:val="000000"/>
          <w:szCs w:val="21"/>
          <w:lang w:val="fr-FR"/>
        </w:rPr>
        <w:t>Il est interdit pour un soumissionnaire de chercher à influencer l'acheteur ou les membres du groupe de négociation par des moyens de corruption.</w:t>
      </w:r>
    </w:p>
    <w:p w14:paraId="2F4529A6">
      <w:pPr>
        <w:tabs>
          <w:tab w:val="left" w:pos="0"/>
          <w:tab w:val="decimal" w:pos="6240"/>
          <w:tab w:val="right" w:leader="dot" w:pos="10800"/>
        </w:tabs>
        <w:snapToGrid w:val="0"/>
        <w:spacing w:line="360" w:lineRule="auto"/>
        <w:ind w:firstLine="424" w:firstLineChars="202"/>
        <w:rPr>
          <w:color w:val="000000"/>
          <w:szCs w:val="21"/>
        </w:rPr>
      </w:pPr>
      <w:r>
        <w:rPr>
          <w:color w:val="000000"/>
          <w:szCs w:val="21"/>
        </w:rPr>
        <w:t>3.2.6谈判小组成员应当客观、公正地履行职责，遵守职业道德，对提出的谈判意见承担个人责任。谈判小组成员不得代表各自所在单位，没有向各自所在单位汇报谈判情况的权利和义务。</w:t>
      </w:r>
    </w:p>
    <w:p w14:paraId="0B5B8EBD">
      <w:pPr>
        <w:tabs>
          <w:tab w:val="left" w:pos="0"/>
          <w:tab w:val="decimal" w:pos="6240"/>
          <w:tab w:val="right" w:leader="dot" w:pos="10800"/>
        </w:tabs>
        <w:snapToGrid w:val="0"/>
        <w:spacing w:line="360" w:lineRule="auto"/>
        <w:ind w:firstLine="424" w:firstLineChars="202"/>
        <w:rPr>
          <w:color w:val="000000"/>
          <w:szCs w:val="21"/>
          <w:lang w:val="fr-FR"/>
        </w:rPr>
      </w:pPr>
      <w:r>
        <w:rPr>
          <w:color w:val="000000"/>
          <w:szCs w:val="21"/>
          <w:lang w:val="fr-FR"/>
        </w:rPr>
        <w:t>Les membres du groupe de négociation doivent remplir leurs fonctions de manière objective et impartiale, respecter l'éthique professionnelle et être responsables personnellement des opinions exprimées dans le cadre des négociations. Les membres du groupe de négociation ne peuvent pas représenter leurs sociétés respectives et n'ont pas le droit ni l'obligation de rendre compte des négociations à leurs sociétés.</w:t>
      </w:r>
    </w:p>
    <w:p w14:paraId="527F9C6F">
      <w:pPr>
        <w:tabs>
          <w:tab w:val="left" w:pos="0"/>
          <w:tab w:val="decimal" w:pos="6240"/>
          <w:tab w:val="right" w:leader="dot" w:pos="10800"/>
        </w:tabs>
        <w:snapToGrid w:val="0"/>
        <w:spacing w:line="360" w:lineRule="auto"/>
        <w:ind w:firstLine="424" w:firstLineChars="202"/>
        <w:rPr>
          <w:color w:val="000000"/>
          <w:szCs w:val="21"/>
        </w:rPr>
      </w:pPr>
      <w:r>
        <w:rPr>
          <w:color w:val="000000"/>
          <w:szCs w:val="21"/>
        </w:rPr>
        <w:t>3.2.7所有的报价文件、谈判文件及各种谈判资料等，只限于在谈判会议室使用，不得复制，不得外带，谈判会议结束后一律统一上交，统一保管，不得私自带走。</w:t>
      </w:r>
    </w:p>
    <w:p w14:paraId="04A13BE0">
      <w:pPr>
        <w:tabs>
          <w:tab w:val="left" w:pos="0"/>
          <w:tab w:val="decimal" w:pos="6240"/>
          <w:tab w:val="right" w:leader="dot" w:pos="10800"/>
        </w:tabs>
        <w:snapToGrid w:val="0"/>
        <w:spacing w:line="360" w:lineRule="auto"/>
        <w:ind w:firstLine="424" w:firstLineChars="202"/>
        <w:rPr>
          <w:color w:val="000000"/>
          <w:szCs w:val="21"/>
          <w:lang w:val="fr-FR"/>
        </w:rPr>
      </w:pPr>
      <w:r>
        <w:rPr>
          <w:color w:val="000000"/>
          <w:szCs w:val="21"/>
          <w:lang w:val="fr-FR"/>
        </w:rPr>
        <w:t>Tous les documents de soumission, le document de négociation et autres documents liés à la négociation doivent être utilisés uniquement dans la salle de négociation, ne peuvent pas être copiés, ne doivent pas être emportés à l'extérieur, et doivent être remis après la fin de la réunion pour être conservés de manière centralisée, sans être emportés de manière non autorisée.</w:t>
      </w:r>
    </w:p>
    <w:p w14:paraId="3882A2EB">
      <w:pPr>
        <w:tabs>
          <w:tab w:val="left" w:pos="0"/>
          <w:tab w:val="decimal" w:pos="6240"/>
          <w:tab w:val="right" w:leader="dot" w:pos="10800"/>
        </w:tabs>
        <w:snapToGrid w:val="0"/>
        <w:spacing w:line="360" w:lineRule="auto"/>
        <w:ind w:firstLine="424" w:firstLineChars="202"/>
        <w:rPr>
          <w:color w:val="000000"/>
          <w:szCs w:val="21"/>
        </w:rPr>
      </w:pPr>
      <w:r>
        <w:rPr>
          <w:color w:val="000000"/>
          <w:szCs w:val="21"/>
        </w:rPr>
        <w:t>3.2.8谈判人员在谈判工作期间不得随意离开谈判地点。</w:t>
      </w:r>
    </w:p>
    <w:p w14:paraId="06B0E119">
      <w:pPr>
        <w:tabs>
          <w:tab w:val="left" w:pos="0"/>
          <w:tab w:val="decimal" w:pos="6240"/>
          <w:tab w:val="right" w:leader="dot" w:pos="10800"/>
        </w:tabs>
        <w:snapToGrid w:val="0"/>
        <w:spacing w:line="360" w:lineRule="auto"/>
        <w:ind w:firstLine="424" w:firstLineChars="202"/>
        <w:rPr>
          <w:color w:val="000000"/>
          <w:szCs w:val="21"/>
          <w:lang w:val="fr-FR"/>
        </w:rPr>
      </w:pPr>
      <w:r>
        <w:rPr>
          <w:color w:val="000000"/>
          <w:szCs w:val="21"/>
          <w:lang w:val="fr-FR"/>
        </w:rPr>
        <w:t>Pendant la période de négociation, les négociateurs ne doivent pas quitter le lieu de la négociation sans autorisation.</w:t>
      </w:r>
    </w:p>
    <w:p w14:paraId="4AB839BF">
      <w:pPr>
        <w:tabs>
          <w:tab w:val="left" w:pos="0"/>
          <w:tab w:val="decimal" w:pos="6240"/>
          <w:tab w:val="right" w:leader="dot" w:pos="10800"/>
        </w:tabs>
        <w:snapToGrid w:val="0"/>
        <w:spacing w:line="360" w:lineRule="auto"/>
        <w:ind w:firstLine="424" w:firstLineChars="202"/>
        <w:rPr>
          <w:color w:val="000000"/>
          <w:szCs w:val="21"/>
        </w:rPr>
      </w:pPr>
      <w:r>
        <w:rPr>
          <w:color w:val="000000"/>
          <w:szCs w:val="21"/>
        </w:rPr>
        <w:t>3.2.9任何谈判人员及工作人员不得私自向外透露谈判情况。</w:t>
      </w:r>
    </w:p>
    <w:p w14:paraId="188C4109">
      <w:pPr>
        <w:tabs>
          <w:tab w:val="left" w:pos="0"/>
          <w:tab w:val="decimal" w:pos="6240"/>
          <w:tab w:val="right" w:leader="dot" w:pos="10800"/>
        </w:tabs>
        <w:snapToGrid w:val="0"/>
        <w:spacing w:line="360" w:lineRule="auto"/>
        <w:ind w:firstLine="424" w:firstLineChars="202"/>
        <w:rPr>
          <w:color w:val="000000"/>
          <w:szCs w:val="21"/>
          <w:lang w:val="fr-FR"/>
        </w:rPr>
      </w:pPr>
      <w:r>
        <w:rPr>
          <w:color w:val="000000"/>
          <w:szCs w:val="21"/>
          <w:lang w:val="fr-FR"/>
        </w:rPr>
        <w:t>Aucun des participants à la négociation ni des membres du personnel ne doit divulguer des informations relatives à la négociation en dehors de la salle de négociation.</w:t>
      </w:r>
    </w:p>
    <w:p w14:paraId="57A7B848">
      <w:pPr>
        <w:spacing w:line="360" w:lineRule="auto"/>
        <w:rPr>
          <w:b/>
          <w:kern w:val="0"/>
          <w:szCs w:val="21"/>
          <w:lang w:val="fr-FR"/>
        </w:rPr>
      </w:pPr>
      <w:r>
        <w:rPr>
          <w:b/>
          <w:kern w:val="0"/>
          <w:szCs w:val="21"/>
          <w:lang w:val="fr-FR"/>
        </w:rPr>
        <w:t>3.3</w:t>
      </w:r>
      <w:r>
        <w:rPr>
          <w:b/>
          <w:kern w:val="0"/>
          <w:szCs w:val="21"/>
        </w:rPr>
        <w:t>谈判程序</w:t>
      </w:r>
      <w:r>
        <w:rPr>
          <w:b/>
          <w:kern w:val="0"/>
          <w:szCs w:val="21"/>
          <w:lang w:val="fr-FR"/>
        </w:rPr>
        <w:t xml:space="preserve"> </w:t>
      </w:r>
      <w:r>
        <w:rPr>
          <w:b/>
          <w:szCs w:val="21"/>
          <w:lang w:val="fr-FR"/>
        </w:rPr>
        <w:t>Procédure de négociation</w:t>
      </w:r>
    </w:p>
    <w:p w14:paraId="58557CF8">
      <w:pPr>
        <w:tabs>
          <w:tab w:val="left" w:pos="0"/>
          <w:tab w:val="decimal" w:pos="6240"/>
          <w:tab w:val="right" w:leader="dot" w:pos="10800"/>
        </w:tabs>
        <w:snapToGrid w:val="0"/>
        <w:spacing w:line="360" w:lineRule="auto"/>
        <w:ind w:firstLine="424" w:firstLineChars="202"/>
        <w:rPr>
          <w:color w:val="000000"/>
          <w:szCs w:val="21"/>
          <w:lang w:val="fr-FR"/>
        </w:rPr>
      </w:pPr>
      <w:r>
        <w:rPr>
          <w:color w:val="000000"/>
          <w:szCs w:val="21"/>
          <w:lang w:val="fr-FR"/>
        </w:rPr>
        <w:t>3.3.1</w:t>
      </w:r>
      <w:r>
        <w:rPr>
          <w:color w:val="000000"/>
          <w:szCs w:val="21"/>
        </w:rPr>
        <w:t>谈判小组对响应文件中有效性、完整性以及对采购文件的响应程度进行审查</w:t>
      </w:r>
      <w:r>
        <w:rPr>
          <w:color w:val="000000"/>
          <w:szCs w:val="21"/>
          <w:lang w:val="fr-FR"/>
        </w:rPr>
        <w:t>，</w:t>
      </w:r>
      <w:r>
        <w:rPr>
          <w:color w:val="000000"/>
          <w:szCs w:val="21"/>
        </w:rPr>
        <w:t>整理出需要与响应人谈判的问题。</w:t>
      </w:r>
    </w:p>
    <w:p w14:paraId="62A815A0">
      <w:pPr>
        <w:tabs>
          <w:tab w:val="left" w:pos="0"/>
          <w:tab w:val="decimal" w:pos="6240"/>
          <w:tab w:val="right" w:leader="dot" w:pos="10800"/>
        </w:tabs>
        <w:snapToGrid w:val="0"/>
        <w:spacing w:line="360" w:lineRule="auto"/>
        <w:ind w:firstLine="424" w:firstLineChars="202"/>
        <w:rPr>
          <w:color w:val="000000"/>
          <w:szCs w:val="21"/>
          <w:lang w:val="fr-FR"/>
        </w:rPr>
      </w:pPr>
      <w:r>
        <w:rPr>
          <w:szCs w:val="21"/>
          <w:lang w:val="fr-FR"/>
        </w:rPr>
        <w:t>Le groupe de négociation vérifie la validité, l'intégralité et la conformité des documents de réponse par rapport aux exigences de document de négociation, et dresse la liste des points à négocier avec les soumissionnaires.</w:t>
      </w:r>
    </w:p>
    <w:p w14:paraId="65528BAA">
      <w:pPr>
        <w:tabs>
          <w:tab w:val="left" w:pos="0"/>
          <w:tab w:val="decimal" w:pos="6240"/>
          <w:tab w:val="right" w:leader="dot" w:pos="10800"/>
        </w:tabs>
        <w:snapToGrid w:val="0"/>
        <w:spacing w:line="360" w:lineRule="auto"/>
        <w:ind w:firstLine="424" w:firstLineChars="202"/>
        <w:rPr>
          <w:color w:val="000000"/>
          <w:szCs w:val="21"/>
        </w:rPr>
      </w:pPr>
      <w:r>
        <w:rPr>
          <w:color w:val="000000"/>
          <w:szCs w:val="21"/>
        </w:rPr>
        <w:t>3.3.2谈判开始前，谈判小组须对响应人的授权代表进行身份核实，核实无误后才可进入谈判阶段。</w:t>
      </w:r>
    </w:p>
    <w:p w14:paraId="2AC4F238">
      <w:pPr>
        <w:widowControl/>
        <w:ind w:firstLine="420" w:firstLineChars="200"/>
        <w:rPr>
          <w:color w:val="000000"/>
          <w:szCs w:val="21"/>
          <w:lang w:val="fr-FR"/>
        </w:rPr>
      </w:pPr>
      <w:r>
        <w:rPr>
          <w:szCs w:val="21"/>
          <w:lang w:val="fr-FR"/>
        </w:rPr>
        <w:t>Avant de commencer la négociation, le groupe de négociation doit vérifier l'identité du représentant autorisé du soumissionnaire. Une fois cette vérification effectuée, la négociation peut commencer.</w:t>
      </w:r>
    </w:p>
    <w:p w14:paraId="608D12AD">
      <w:pPr>
        <w:tabs>
          <w:tab w:val="left" w:pos="0"/>
          <w:tab w:val="decimal" w:pos="6240"/>
          <w:tab w:val="right" w:leader="dot" w:pos="10800"/>
        </w:tabs>
        <w:snapToGrid w:val="0"/>
        <w:spacing w:line="360" w:lineRule="auto"/>
        <w:ind w:firstLine="424" w:firstLineChars="202"/>
        <w:rPr>
          <w:color w:val="000000"/>
          <w:szCs w:val="21"/>
        </w:rPr>
      </w:pPr>
      <w:r>
        <w:rPr>
          <w:color w:val="000000"/>
          <w:szCs w:val="21"/>
        </w:rPr>
        <w:t>3.3.3按照谈判邀请函规定的时间，谈判小组全体成员与受邀请响应人的授权代表分别进行谈判，谈判小组可要求响应人在规定时间内对响应文件进行补充和完善，未对采购文件作实质性响应的响应人，不得进入下一步谈判过程。</w:t>
      </w:r>
    </w:p>
    <w:p w14:paraId="1F1269DD">
      <w:pPr>
        <w:widowControl/>
        <w:ind w:firstLine="420" w:firstLineChars="200"/>
        <w:rPr>
          <w:color w:val="000000"/>
          <w:szCs w:val="21"/>
          <w:lang w:val="fr-FR"/>
        </w:rPr>
      </w:pPr>
      <w:r>
        <w:rPr>
          <w:szCs w:val="21"/>
          <w:lang w:val="fr-FR"/>
        </w:rPr>
        <w:t>Conformément à l'invitation à la négociation, l'ensemble du groupe de négociation négocie séparément avec les représentants autorisés des soumissionnaires invités. Le groupe de négociation peut demander aux soumissionnaires de compléter et d'améliorer leurs documents de réponse dans le délai imparti. Les soumissionnaires qui n'ont pas répondu de manière substantielle aux documents de l'acheteur ne peuvent pas passer à l'étape suivante de la négociation.</w:t>
      </w:r>
    </w:p>
    <w:p w14:paraId="20741628">
      <w:pPr>
        <w:tabs>
          <w:tab w:val="left" w:pos="0"/>
          <w:tab w:val="decimal" w:pos="6240"/>
          <w:tab w:val="right" w:leader="dot" w:pos="10800"/>
        </w:tabs>
        <w:snapToGrid w:val="0"/>
        <w:spacing w:line="360" w:lineRule="auto"/>
        <w:ind w:firstLine="424" w:firstLineChars="202"/>
        <w:rPr>
          <w:color w:val="000000"/>
          <w:szCs w:val="21"/>
        </w:rPr>
      </w:pPr>
      <w:r>
        <w:rPr>
          <w:color w:val="000000"/>
          <w:szCs w:val="21"/>
        </w:rPr>
        <w:t>3.3.4谈判过程中，谈判内容发生变动的，谈判小组应当以书面形式通知所有参加谈判的响应人。</w:t>
      </w:r>
    </w:p>
    <w:p w14:paraId="2082D254">
      <w:pPr>
        <w:tabs>
          <w:tab w:val="left" w:pos="0"/>
          <w:tab w:val="decimal" w:pos="6240"/>
          <w:tab w:val="right" w:leader="dot" w:pos="10800"/>
        </w:tabs>
        <w:snapToGrid w:val="0"/>
        <w:spacing w:line="360" w:lineRule="auto"/>
        <w:ind w:firstLine="424" w:firstLineChars="202"/>
        <w:rPr>
          <w:color w:val="000000"/>
          <w:szCs w:val="21"/>
          <w:lang w:val="fr-FR"/>
        </w:rPr>
      </w:pPr>
      <w:r>
        <w:rPr>
          <w:szCs w:val="21"/>
          <w:lang w:val="fr-FR"/>
        </w:rPr>
        <w:t>Si le contenu de la négociation change, le groupe de négociation doit en informer par écrit tous les soumissionnaires participants.</w:t>
      </w:r>
    </w:p>
    <w:p w14:paraId="55CB932B">
      <w:pPr>
        <w:tabs>
          <w:tab w:val="left" w:pos="0"/>
          <w:tab w:val="decimal" w:pos="6240"/>
          <w:tab w:val="right" w:leader="dot" w:pos="10800"/>
        </w:tabs>
        <w:snapToGrid w:val="0"/>
        <w:spacing w:line="360" w:lineRule="auto"/>
        <w:ind w:firstLine="424" w:firstLineChars="202"/>
        <w:rPr>
          <w:color w:val="000000"/>
          <w:szCs w:val="21"/>
        </w:rPr>
      </w:pPr>
      <w:r>
        <w:rPr>
          <w:color w:val="000000"/>
          <w:szCs w:val="21"/>
        </w:rPr>
        <w:t>3.3.5谈判小组可要求响应人进行多轮报价，但必须保证每个供应商得到均等机会。谈判小组应当要求所有继续参加谈判的响应人在规定时间内提供最后报价及有关承诺，并以书面形式确认。</w:t>
      </w:r>
    </w:p>
    <w:p w14:paraId="7DD9AA5D">
      <w:pPr>
        <w:tabs>
          <w:tab w:val="left" w:pos="0"/>
          <w:tab w:val="decimal" w:pos="6240"/>
          <w:tab w:val="right" w:leader="dot" w:pos="10800"/>
        </w:tabs>
        <w:snapToGrid w:val="0"/>
        <w:spacing w:line="360" w:lineRule="auto"/>
        <w:ind w:firstLine="424" w:firstLineChars="202"/>
        <w:rPr>
          <w:color w:val="000000"/>
          <w:szCs w:val="21"/>
          <w:lang w:val="fr-FR"/>
        </w:rPr>
      </w:pPr>
      <w:r>
        <w:rPr>
          <w:szCs w:val="21"/>
          <w:lang w:val="fr-FR"/>
        </w:rPr>
        <w:t>Le groupe de négociation peut demander aux soumissionnaires de soumettre plusieurs offres, mais il doit garantir que chaque fournisseur ait une chance égale. Le groupe de négociation doit exiger que tous les soumissionnaires participant encore à la négociation soumettent une offre finale et des engagements correspondants dans le délai imparti, et en confirmer la réception par écrit.</w:t>
      </w:r>
    </w:p>
    <w:bookmarkEnd w:id="51"/>
    <w:p w14:paraId="2269B882">
      <w:pPr>
        <w:spacing w:line="360" w:lineRule="auto"/>
        <w:rPr>
          <w:b/>
          <w:kern w:val="0"/>
          <w:szCs w:val="21"/>
          <w:lang w:val="fr-FR"/>
        </w:rPr>
      </w:pPr>
      <w:r>
        <w:rPr>
          <w:b/>
          <w:kern w:val="0"/>
          <w:szCs w:val="21"/>
          <w:lang w:val="fr-FR"/>
        </w:rPr>
        <w:t xml:space="preserve">3.4 </w:t>
      </w:r>
      <w:r>
        <w:rPr>
          <w:b/>
          <w:kern w:val="0"/>
          <w:szCs w:val="21"/>
        </w:rPr>
        <w:t>谈判澄清</w:t>
      </w:r>
      <w:r>
        <w:rPr>
          <w:b/>
          <w:kern w:val="0"/>
          <w:szCs w:val="21"/>
          <w:lang w:val="fr-FR"/>
        </w:rPr>
        <w:t xml:space="preserve"> </w:t>
      </w:r>
      <w:r>
        <w:rPr>
          <w:b/>
          <w:szCs w:val="21"/>
          <w:lang w:val="fr-FR"/>
        </w:rPr>
        <w:t>Clarifications des négociations</w:t>
      </w:r>
    </w:p>
    <w:p w14:paraId="4CD81D7B">
      <w:pPr>
        <w:adjustRightInd w:val="0"/>
        <w:snapToGrid w:val="0"/>
        <w:spacing w:line="360" w:lineRule="auto"/>
        <w:ind w:firstLine="424" w:firstLineChars="202"/>
        <w:rPr>
          <w:color w:val="000000"/>
          <w:szCs w:val="21"/>
          <w:lang w:val="fr-FR"/>
        </w:rPr>
      </w:pPr>
      <w:r>
        <w:rPr>
          <w:color w:val="000000"/>
          <w:szCs w:val="21"/>
          <w:lang w:val="fr-FR"/>
        </w:rPr>
        <w:t xml:space="preserve">3.4.1 </w:t>
      </w:r>
      <w:r>
        <w:rPr>
          <w:color w:val="000000"/>
          <w:szCs w:val="21"/>
        </w:rPr>
        <w:t>谈判小组对响应文件中不满足竞争性谈判文件要求、不清楚、不明确之处进行专门标注和记录</w:t>
      </w:r>
      <w:r>
        <w:rPr>
          <w:color w:val="000000"/>
          <w:szCs w:val="21"/>
          <w:lang w:val="fr-FR"/>
        </w:rPr>
        <w:t>，</w:t>
      </w:r>
      <w:r>
        <w:rPr>
          <w:color w:val="000000"/>
          <w:szCs w:val="21"/>
        </w:rPr>
        <w:t>整理出需要响应人澄清的问题。</w:t>
      </w:r>
    </w:p>
    <w:p w14:paraId="19EFD1C0">
      <w:pPr>
        <w:adjustRightInd w:val="0"/>
        <w:snapToGrid w:val="0"/>
        <w:spacing w:line="360" w:lineRule="auto"/>
        <w:ind w:firstLine="424" w:firstLineChars="202"/>
        <w:rPr>
          <w:color w:val="000000"/>
          <w:szCs w:val="21"/>
          <w:lang w:val="fr-FR"/>
        </w:rPr>
      </w:pPr>
      <w:r>
        <w:rPr>
          <w:szCs w:val="21"/>
          <w:lang w:val="fr-FR"/>
        </w:rPr>
        <w:t>Le groupe de négociation marque et enregistre les points dans les documents de réponse qui ne respectent pas les exigences de document de négociation concurrentielle, qui sont flous ou ambigus, et dresse la liste des points nécessitant des clarifications de la part des soumissionnaires.</w:t>
      </w:r>
    </w:p>
    <w:p w14:paraId="204E72F7">
      <w:pPr>
        <w:adjustRightInd w:val="0"/>
        <w:snapToGrid w:val="0"/>
        <w:spacing w:line="360" w:lineRule="auto"/>
        <w:ind w:firstLine="424" w:firstLineChars="202"/>
        <w:rPr>
          <w:color w:val="000000"/>
          <w:szCs w:val="21"/>
        </w:rPr>
      </w:pPr>
      <w:r>
        <w:rPr>
          <w:color w:val="000000"/>
          <w:szCs w:val="21"/>
        </w:rPr>
        <w:t>3.4.2谈判小组可针对响应文件中含义不明确或前后说法不一或明显笔误的内容要求响应人澄清。响应人应将书面答复签字/盖章后通过采购平台上传。</w:t>
      </w:r>
    </w:p>
    <w:p w14:paraId="7C9D3AC1">
      <w:pPr>
        <w:adjustRightInd w:val="0"/>
        <w:snapToGrid w:val="0"/>
        <w:spacing w:line="360" w:lineRule="auto"/>
        <w:ind w:firstLine="424" w:firstLineChars="202"/>
        <w:rPr>
          <w:color w:val="000000"/>
          <w:szCs w:val="21"/>
          <w:lang w:val="fr-FR"/>
        </w:rPr>
      </w:pPr>
      <w:r>
        <w:rPr>
          <w:szCs w:val="21"/>
          <w:lang w:val="fr-FR"/>
        </w:rPr>
        <w:t>Le groupe de négociation peut demander des clarifications sur des éléments des documents de réponse qui sont ambigus, contradictoires ou qui contiennent des erreurs évidentes. Le soumissionnaire doit soumettre sa réponse écrite, signée et tamponnée, via la plateforme d'achat.</w:t>
      </w:r>
    </w:p>
    <w:p w14:paraId="36E3F3D4">
      <w:pPr>
        <w:tabs>
          <w:tab w:val="left" w:pos="0"/>
          <w:tab w:val="decimal" w:pos="6240"/>
          <w:tab w:val="right" w:leader="dot" w:pos="10800"/>
        </w:tabs>
        <w:snapToGrid w:val="0"/>
        <w:spacing w:line="360" w:lineRule="auto"/>
        <w:ind w:firstLine="424" w:firstLineChars="202"/>
        <w:rPr>
          <w:color w:val="000000"/>
          <w:szCs w:val="21"/>
        </w:rPr>
      </w:pPr>
      <w:r>
        <w:rPr>
          <w:color w:val="000000"/>
          <w:szCs w:val="21"/>
        </w:rPr>
        <w:t>3.4.3 澄清文件作为响应文件的有效的补充文件。响应人不得超出原竞争性谈判文件的范围或对原响应文件内容作实质性修改。</w:t>
      </w:r>
    </w:p>
    <w:p w14:paraId="620DCD47">
      <w:pPr>
        <w:tabs>
          <w:tab w:val="left" w:pos="0"/>
          <w:tab w:val="decimal" w:pos="6240"/>
          <w:tab w:val="right" w:leader="dot" w:pos="10800"/>
        </w:tabs>
        <w:snapToGrid w:val="0"/>
        <w:spacing w:line="360" w:lineRule="auto"/>
        <w:ind w:firstLine="424" w:firstLineChars="202"/>
        <w:rPr>
          <w:color w:val="000000"/>
          <w:szCs w:val="21"/>
          <w:lang w:val="fr-FR"/>
        </w:rPr>
      </w:pPr>
      <w:r>
        <w:rPr>
          <w:szCs w:val="21"/>
          <w:lang w:val="fr-FR"/>
        </w:rPr>
        <w:t>Les documents de clarification constituent un complément valide aux documents de réponse. Les soumissionnaires ne doivent pas dépasser le cadre de document de négociation concurrentielle originaux ni modifier substantiellement le contenu de leurs documents de réponse.</w:t>
      </w:r>
    </w:p>
    <w:p w14:paraId="4688FEA6">
      <w:pPr>
        <w:spacing w:line="360" w:lineRule="auto"/>
        <w:rPr>
          <w:b/>
          <w:bCs/>
          <w:kern w:val="0"/>
          <w:szCs w:val="21"/>
          <w:lang w:val="fr-FR"/>
        </w:rPr>
      </w:pPr>
      <w:r>
        <w:rPr>
          <w:b/>
          <w:kern w:val="0"/>
          <w:szCs w:val="21"/>
          <w:lang w:val="fr-FR"/>
        </w:rPr>
        <w:t xml:space="preserve">3.5 </w:t>
      </w:r>
      <w:r>
        <w:rPr>
          <w:b/>
          <w:kern w:val="0"/>
          <w:szCs w:val="21"/>
        </w:rPr>
        <w:t>评审方法</w:t>
      </w:r>
      <w:r>
        <w:rPr>
          <w:b/>
          <w:kern w:val="0"/>
          <w:szCs w:val="21"/>
          <w:lang w:val="fr-FR"/>
        </w:rPr>
        <w:t xml:space="preserve"> </w:t>
      </w:r>
      <w:r>
        <w:rPr>
          <w:b/>
          <w:bCs/>
          <w:szCs w:val="21"/>
          <w:lang w:val="fr-FR"/>
        </w:rPr>
        <w:t>Méthode d'évaluation</w:t>
      </w:r>
    </w:p>
    <w:p w14:paraId="109E08B0">
      <w:pPr>
        <w:spacing w:line="360" w:lineRule="auto"/>
        <w:ind w:firstLine="420" w:firstLineChars="200"/>
        <w:rPr>
          <w:color w:val="000000"/>
          <w:szCs w:val="21"/>
          <w:lang w:val="fr-FR"/>
        </w:rPr>
      </w:pPr>
      <w:r>
        <w:rPr>
          <w:color w:val="000000"/>
          <w:szCs w:val="21"/>
          <w:lang w:val="fr-FR"/>
        </w:rPr>
        <w:t>3.5.1</w:t>
      </w:r>
      <w:r>
        <w:rPr>
          <w:color w:val="000000"/>
          <w:szCs w:val="21"/>
        </w:rPr>
        <w:t>报价复核</w:t>
      </w:r>
      <w:r>
        <w:rPr>
          <w:color w:val="000000"/>
          <w:szCs w:val="21"/>
          <w:lang w:val="fr-FR"/>
        </w:rPr>
        <w:t>：</w:t>
      </w:r>
      <w:r>
        <w:rPr>
          <w:color w:val="000000"/>
          <w:szCs w:val="21"/>
        </w:rPr>
        <w:t>对各有效响应文件的报价按竞争性谈判文件规定的修正原则进行算术性复核</w:t>
      </w:r>
      <w:r>
        <w:rPr>
          <w:color w:val="000000"/>
          <w:szCs w:val="21"/>
          <w:lang w:val="fr-FR"/>
        </w:rPr>
        <w:t>，</w:t>
      </w:r>
      <w:r>
        <w:rPr>
          <w:color w:val="000000"/>
          <w:szCs w:val="21"/>
        </w:rPr>
        <w:t>确定修正后的评审价格。</w:t>
      </w:r>
    </w:p>
    <w:p w14:paraId="19C00E5F">
      <w:pPr>
        <w:spacing w:line="360" w:lineRule="auto"/>
        <w:ind w:firstLine="420" w:firstLineChars="200"/>
        <w:rPr>
          <w:color w:val="000000"/>
          <w:szCs w:val="21"/>
          <w:lang w:val="fr-FR"/>
        </w:rPr>
      </w:pPr>
      <w:r>
        <w:rPr>
          <w:szCs w:val="21"/>
          <w:lang w:val="fr-FR"/>
        </w:rPr>
        <w:t>Vérification des offres : Le groupe de négociation procède à une vérification arithmétique des offres valides conformément aux principes de correction définis dans le document de négociation concurrentielle, afin de déterminer le prix révisé pour l'évaluation.</w:t>
      </w:r>
    </w:p>
    <w:p w14:paraId="77F42275">
      <w:pPr>
        <w:spacing w:line="360" w:lineRule="auto"/>
        <w:ind w:firstLine="420" w:firstLineChars="200"/>
        <w:rPr>
          <w:color w:val="000000"/>
          <w:szCs w:val="21"/>
        </w:rPr>
      </w:pPr>
      <w:r>
        <w:rPr>
          <w:color w:val="000000"/>
          <w:szCs w:val="21"/>
        </w:rPr>
        <w:t>3.5.2主要单价因素分析：对各有效响应文件报价中的单价进行分析，检查是否有明显不合理的单价；检查主要单价因素是否有明显错误。</w:t>
      </w:r>
    </w:p>
    <w:p w14:paraId="6BDADB70">
      <w:pPr>
        <w:spacing w:line="360" w:lineRule="auto"/>
        <w:ind w:firstLine="420" w:firstLineChars="200"/>
        <w:rPr>
          <w:color w:val="000000"/>
          <w:szCs w:val="21"/>
          <w:lang w:val="fr-FR"/>
        </w:rPr>
      </w:pPr>
      <w:r>
        <w:rPr>
          <w:szCs w:val="21"/>
          <w:lang w:val="fr-FR"/>
        </w:rPr>
        <w:t>Analyse des principaux prix unitaires : Le groupe de négociation analyse les prix unitaires dans les offres valides pour identifier d'éventuelles incohérences ou erreurs évidentes dans les prix unitaires principaux.</w:t>
      </w:r>
    </w:p>
    <w:p w14:paraId="4621381F">
      <w:pPr>
        <w:pStyle w:val="3"/>
        <w:snapToGrid w:val="0"/>
        <w:spacing w:before="0" w:after="0" w:line="360" w:lineRule="auto"/>
        <w:jc w:val="left"/>
        <w:rPr>
          <w:rFonts w:ascii="Times New Roman" w:hAnsi="Times New Roman"/>
          <w:bCs/>
          <w:sz w:val="21"/>
          <w:szCs w:val="21"/>
        </w:rPr>
      </w:pPr>
      <w:r>
        <w:rPr>
          <w:rFonts w:ascii="Times New Roman" w:hAnsi="Times New Roman"/>
          <w:sz w:val="21"/>
          <w:szCs w:val="21"/>
        </w:rPr>
        <w:t>3.5.3谈判小组将根据响应人须知前附表中资质要求和第四章响应文件构成规定提供的文件采用最低评审价法，即在综合考虑技术、商务定性的基础上，</w:t>
      </w:r>
      <w:r>
        <w:rPr>
          <w:rFonts w:ascii="Times New Roman" w:hAnsi="Times New Roman"/>
          <w:bCs/>
          <w:sz w:val="21"/>
          <w:szCs w:val="21"/>
        </w:rPr>
        <w:t>按照评审价格由低至高的顺序确定排名并依次选取中标人，投标报价最低的优先分配运输量，当最低价投标人运力不能满足采购人需求时，依次选取次低价作为中标人，分配运输量。依此类推，直至选取满足采购人需求的运量为止。</w:t>
      </w:r>
    </w:p>
    <w:p w14:paraId="0372CE6A">
      <w:pPr>
        <w:spacing w:line="360" w:lineRule="auto"/>
        <w:ind w:firstLine="420" w:firstLineChars="200"/>
        <w:rPr>
          <w:b/>
          <w:bCs/>
          <w:szCs w:val="21"/>
          <w:lang w:val="fr-FR"/>
        </w:rPr>
      </w:pPr>
      <w:r>
        <w:rPr>
          <w:szCs w:val="21"/>
          <w:lang w:val="fr-FR"/>
        </w:rPr>
        <w:t>Le groupe de négociation sélectionnera le soumissionnaire en appliquant la méthode du prix le plus bas, conformément aux exigences de qualification stipulées dans l'</w:t>
      </w:r>
      <w:r>
        <w:rPr>
          <w:lang w:val="fr-FR"/>
        </w:rPr>
        <w:t xml:space="preserve"> </w:t>
      </w:r>
      <w:r>
        <w:rPr>
          <w:szCs w:val="21"/>
          <w:lang w:val="fr-FR"/>
        </w:rPr>
        <w:t xml:space="preserve">Annexe préliminaire des Instructions pour les soumissionnaires et aux règles définies dans le chapitre 4 de la constitution du dossier de réponse. En prenant en compte les critères techniques et commerciaux qualitatifs, </w:t>
      </w:r>
      <w:r>
        <w:rPr>
          <w:b/>
          <w:bCs/>
          <w:szCs w:val="21"/>
          <w:lang w:val="fr-FR"/>
        </w:rPr>
        <w:t>le groupe de négociation sélectionnera le soumissionnaire en classant les soumissions par ordre croissant de prix et en attribuant successivement les lots de transport. Le soumissionnaire avec l'offre la plus basse recevra en priorité une quantité de transport. Si la capacité de transport du soumissionnaire avec l'offre la plus basse ne peut pas satisfaire les besoins de l'acheteur, le soumissionnaire suivant avec le prix le plus bas sera sélectionné, et ainsi de suite, jusqu'à ce que la capacité de transport satisfasse les besoins de l'acheteur.</w:t>
      </w:r>
    </w:p>
    <w:p w14:paraId="6665611E">
      <w:pPr>
        <w:adjustRightInd w:val="0"/>
        <w:snapToGrid w:val="0"/>
        <w:spacing w:line="360" w:lineRule="auto"/>
        <w:ind w:firstLine="424" w:firstLineChars="202"/>
        <w:jc w:val="left"/>
        <w:rPr>
          <w:szCs w:val="21"/>
        </w:rPr>
      </w:pPr>
      <w:r>
        <w:rPr>
          <w:szCs w:val="21"/>
        </w:rPr>
        <w:t>3.5.4本项目不一定授给最低报价者，对采购结果不负责解释，最低报价不是被授予合同的保证。</w:t>
      </w:r>
    </w:p>
    <w:p w14:paraId="5A4BA6F8">
      <w:pPr>
        <w:adjustRightInd w:val="0"/>
        <w:snapToGrid w:val="0"/>
        <w:spacing w:line="360" w:lineRule="auto"/>
        <w:ind w:firstLine="424" w:firstLineChars="202"/>
        <w:jc w:val="left"/>
        <w:rPr>
          <w:szCs w:val="21"/>
          <w:lang w:val="fr-FR"/>
        </w:rPr>
      </w:pPr>
      <w:r>
        <w:rPr>
          <w:szCs w:val="21"/>
          <w:lang w:val="fr-FR"/>
        </w:rPr>
        <w:t>Ce projet ne sera pas nécessairement attribué au soumissionnaire ayant présenté la proposition la plus basse. L'acheteur ne fournit aucune explication concernant le résultat de l'attribution et le prix le plus bas ne constitue pas une garantie d'attribution du contrat.</w:t>
      </w:r>
    </w:p>
    <w:p w14:paraId="23516797">
      <w:pPr>
        <w:spacing w:line="360" w:lineRule="auto"/>
        <w:rPr>
          <w:b/>
          <w:kern w:val="0"/>
          <w:szCs w:val="21"/>
        </w:rPr>
      </w:pPr>
      <w:r>
        <w:rPr>
          <w:b/>
          <w:kern w:val="0"/>
          <w:szCs w:val="21"/>
        </w:rPr>
        <w:t>3.6评审表</w:t>
      </w:r>
      <w:r>
        <w:rPr>
          <w:b/>
          <w:bCs/>
          <w:szCs w:val="21"/>
        </w:rPr>
        <w:t>Tableau d'évaluation</w:t>
      </w:r>
    </w:p>
    <w:tbl>
      <w:tblPr>
        <w:tblStyle w:val="31"/>
        <w:tblW w:w="95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340"/>
        <w:gridCol w:w="1734"/>
        <w:gridCol w:w="5491"/>
      </w:tblGrid>
      <w:tr w14:paraId="5316DD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275" w:type="dxa"/>
            <w:gridSpan w:val="2"/>
            <w:vAlign w:val="center"/>
          </w:tcPr>
          <w:p w14:paraId="04FFCA20">
            <w:pPr>
              <w:jc w:val="center"/>
              <w:rPr>
                <w:b/>
                <w:szCs w:val="21"/>
              </w:rPr>
            </w:pPr>
            <w:r>
              <w:rPr>
                <w:b/>
                <w:szCs w:val="21"/>
              </w:rPr>
              <w:t>条款号</w:t>
            </w:r>
          </w:p>
          <w:p w14:paraId="63F9DEED">
            <w:pPr>
              <w:jc w:val="center"/>
              <w:rPr>
                <w:b/>
                <w:szCs w:val="21"/>
              </w:rPr>
            </w:pPr>
            <w:r>
              <w:rPr>
                <w:b/>
                <w:szCs w:val="21"/>
              </w:rPr>
              <w:t>Numéro de l'article</w:t>
            </w:r>
          </w:p>
        </w:tc>
        <w:tc>
          <w:tcPr>
            <w:tcW w:w="1734" w:type="dxa"/>
            <w:vAlign w:val="center"/>
          </w:tcPr>
          <w:p w14:paraId="03EA17DF">
            <w:pPr>
              <w:jc w:val="center"/>
              <w:rPr>
                <w:b/>
                <w:szCs w:val="21"/>
              </w:rPr>
            </w:pPr>
            <w:r>
              <w:rPr>
                <w:b/>
                <w:szCs w:val="21"/>
              </w:rPr>
              <w:t>评审因素</w:t>
            </w:r>
          </w:p>
          <w:p w14:paraId="46A27D75">
            <w:pPr>
              <w:jc w:val="center"/>
              <w:rPr>
                <w:b/>
                <w:szCs w:val="21"/>
              </w:rPr>
            </w:pPr>
            <w:r>
              <w:rPr>
                <w:b/>
                <w:szCs w:val="21"/>
              </w:rPr>
              <w:t>Critère d'évaluation</w:t>
            </w:r>
          </w:p>
        </w:tc>
        <w:tc>
          <w:tcPr>
            <w:tcW w:w="5491" w:type="dxa"/>
            <w:vAlign w:val="center"/>
          </w:tcPr>
          <w:p w14:paraId="62B3DB3A">
            <w:pPr>
              <w:jc w:val="center"/>
              <w:rPr>
                <w:b/>
                <w:szCs w:val="21"/>
              </w:rPr>
            </w:pPr>
            <w:r>
              <w:rPr>
                <w:b/>
                <w:szCs w:val="21"/>
              </w:rPr>
              <w:t>评审标准</w:t>
            </w:r>
          </w:p>
          <w:p w14:paraId="28EE253A">
            <w:pPr>
              <w:jc w:val="center"/>
              <w:rPr>
                <w:b/>
                <w:szCs w:val="21"/>
              </w:rPr>
            </w:pPr>
            <w:r>
              <w:rPr>
                <w:b/>
                <w:szCs w:val="21"/>
              </w:rPr>
              <w:t>Norme d'évaluation</w:t>
            </w:r>
          </w:p>
        </w:tc>
      </w:tr>
      <w:tr w14:paraId="1D2BEF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35" w:type="dxa"/>
            <w:vMerge w:val="restart"/>
            <w:vAlign w:val="center"/>
          </w:tcPr>
          <w:p w14:paraId="2F475F4F">
            <w:pPr>
              <w:jc w:val="center"/>
              <w:rPr>
                <w:szCs w:val="21"/>
              </w:rPr>
            </w:pPr>
            <w:r>
              <w:rPr>
                <w:szCs w:val="21"/>
              </w:rPr>
              <w:t>1.1.1</w:t>
            </w:r>
          </w:p>
        </w:tc>
        <w:tc>
          <w:tcPr>
            <w:tcW w:w="1340" w:type="dxa"/>
            <w:vMerge w:val="restart"/>
            <w:vAlign w:val="center"/>
          </w:tcPr>
          <w:p w14:paraId="602013C4">
            <w:pPr>
              <w:jc w:val="center"/>
              <w:rPr>
                <w:szCs w:val="21"/>
              </w:rPr>
            </w:pPr>
            <w:r>
              <w:rPr>
                <w:szCs w:val="21"/>
              </w:rPr>
              <w:t>形式评审标准</w:t>
            </w:r>
          </w:p>
          <w:p w14:paraId="49A33DA3">
            <w:pPr>
              <w:jc w:val="center"/>
              <w:rPr>
                <w:szCs w:val="21"/>
              </w:rPr>
            </w:pPr>
            <w:r>
              <w:rPr>
                <w:szCs w:val="21"/>
              </w:rPr>
              <w:t>Normes de Révision Formelle</w:t>
            </w:r>
          </w:p>
        </w:tc>
        <w:tc>
          <w:tcPr>
            <w:tcW w:w="1734" w:type="dxa"/>
            <w:vAlign w:val="center"/>
          </w:tcPr>
          <w:p w14:paraId="16808496">
            <w:pPr>
              <w:jc w:val="center"/>
              <w:rPr>
                <w:szCs w:val="21"/>
              </w:rPr>
            </w:pPr>
            <w:r>
              <w:rPr>
                <w:szCs w:val="21"/>
              </w:rPr>
              <w:t>响应人名称</w:t>
            </w:r>
          </w:p>
          <w:p w14:paraId="5B6B3752">
            <w:pPr>
              <w:jc w:val="center"/>
              <w:rPr>
                <w:szCs w:val="21"/>
              </w:rPr>
            </w:pPr>
            <w:r>
              <w:rPr>
                <w:szCs w:val="21"/>
              </w:rPr>
              <w:t>Nom du soumissionnaire</w:t>
            </w:r>
          </w:p>
        </w:tc>
        <w:tc>
          <w:tcPr>
            <w:tcW w:w="5491" w:type="dxa"/>
            <w:vAlign w:val="center"/>
          </w:tcPr>
          <w:p w14:paraId="3B3633E9">
            <w:pPr>
              <w:rPr>
                <w:szCs w:val="21"/>
              </w:rPr>
            </w:pPr>
            <w:r>
              <w:rPr>
                <w:szCs w:val="21"/>
              </w:rPr>
              <w:t>与营业执照、资质证书一致</w:t>
            </w:r>
          </w:p>
          <w:p w14:paraId="2972336F">
            <w:pPr>
              <w:rPr>
                <w:szCs w:val="21"/>
                <w:lang w:val="fr-FR"/>
              </w:rPr>
            </w:pPr>
            <w:r>
              <w:rPr>
                <w:szCs w:val="21"/>
                <w:lang w:val="fr-FR"/>
              </w:rPr>
              <w:t>Doit être conforme au nom indiqué dans licence d'exploitation de la société et au certificat de qualification.</w:t>
            </w:r>
          </w:p>
        </w:tc>
      </w:tr>
      <w:tr w14:paraId="128322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35" w:type="dxa"/>
            <w:vMerge w:val="continue"/>
            <w:vAlign w:val="center"/>
          </w:tcPr>
          <w:p w14:paraId="39859655">
            <w:pPr>
              <w:rPr>
                <w:szCs w:val="21"/>
                <w:lang w:val="fr-FR"/>
              </w:rPr>
            </w:pPr>
          </w:p>
        </w:tc>
        <w:tc>
          <w:tcPr>
            <w:tcW w:w="1340" w:type="dxa"/>
            <w:vMerge w:val="continue"/>
            <w:vAlign w:val="center"/>
          </w:tcPr>
          <w:p w14:paraId="54E503EF">
            <w:pPr>
              <w:rPr>
                <w:szCs w:val="21"/>
                <w:lang w:val="fr-FR"/>
              </w:rPr>
            </w:pPr>
          </w:p>
        </w:tc>
        <w:tc>
          <w:tcPr>
            <w:tcW w:w="1734" w:type="dxa"/>
            <w:vAlign w:val="center"/>
          </w:tcPr>
          <w:p w14:paraId="70D4C57B">
            <w:pPr>
              <w:jc w:val="center"/>
              <w:rPr>
                <w:szCs w:val="21"/>
              </w:rPr>
            </w:pPr>
            <w:r>
              <w:rPr>
                <w:szCs w:val="21"/>
              </w:rPr>
              <w:t>响应函签字盖章</w:t>
            </w:r>
          </w:p>
          <w:p w14:paraId="2DA901D6">
            <w:pPr>
              <w:jc w:val="center"/>
              <w:rPr>
                <w:szCs w:val="21"/>
              </w:rPr>
            </w:pPr>
            <w:r>
              <w:rPr>
                <w:szCs w:val="21"/>
              </w:rPr>
              <w:t>Signature et cachet de la lettre de réponse</w:t>
            </w:r>
          </w:p>
        </w:tc>
        <w:tc>
          <w:tcPr>
            <w:tcW w:w="5491" w:type="dxa"/>
            <w:vAlign w:val="center"/>
          </w:tcPr>
          <w:p w14:paraId="47B835D9">
            <w:pPr>
              <w:rPr>
                <w:szCs w:val="21"/>
              </w:rPr>
            </w:pPr>
            <w:r>
              <w:rPr>
                <w:szCs w:val="21"/>
              </w:rPr>
              <w:t>有法定代表人或其委托代理人签字或加盖单位章</w:t>
            </w:r>
          </w:p>
          <w:p w14:paraId="00F6AE23">
            <w:pPr>
              <w:rPr>
                <w:szCs w:val="21"/>
                <w:lang w:val="fr-FR"/>
              </w:rPr>
            </w:pPr>
            <w:r>
              <w:rPr>
                <w:szCs w:val="21"/>
                <w:lang w:val="fr-FR"/>
              </w:rPr>
              <w:t>Doit être signé par le représentant légal ou son agent autorisé et comporter le cachet de l'entité.</w:t>
            </w:r>
          </w:p>
        </w:tc>
      </w:tr>
      <w:tr w14:paraId="415518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935" w:type="dxa"/>
            <w:vMerge w:val="continue"/>
            <w:vAlign w:val="center"/>
          </w:tcPr>
          <w:p w14:paraId="4BC3BBD2">
            <w:pPr>
              <w:rPr>
                <w:szCs w:val="21"/>
                <w:lang w:val="fr-FR"/>
              </w:rPr>
            </w:pPr>
          </w:p>
        </w:tc>
        <w:tc>
          <w:tcPr>
            <w:tcW w:w="1340" w:type="dxa"/>
            <w:vMerge w:val="continue"/>
            <w:vAlign w:val="center"/>
          </w:tcPr>
          <w:p w14:paraId="2F093C99">
            <w:pPr>
              <w:rPr>
                <w:szCs w:val="21"/>
                <w:lang w:val="fr-FR"/>
              </w:rPr>
            </w:pPr>
          </w:p>
        </w:tc>
        <w:tc>
          <w:tcPr>
            <w:tcW w:w="1734" w:type="dxa"/>
            <w:vAlign w:val="center"/>
          </w:tcPr>
          <w:p w14:paraId="10667886">
            <w:pPr>
              <w:jc w:val="center"/>
              <w:rPr>
                <w:szCs w:val="21"/>
              </w:rPr>
            </w:pPr>
            <w:r>
              <w:rPr>
                <w:szCs w:val="21"/>
              </w:rPr>
              <w:t>响应文件格式</w:t>
            </w:r>
          </w:p>
          <w:p w14:paraId="462A7656">
            <w:pPr>
              <w:jc w:val="center"/>
              <w:rPr>
                <w:szCs w:val="21"/>
              </w:rPr>
            </w:pPr>
            <w:r>
              <w:rPr>
                <w:szCs w:val="21"/>
              </w:rPr>
              <w:t>Format du document de réponse</w:t>
            </w:r>
          </w:p>
        </w:tc>
        <w:tc>
          <w:tcPr>
            <w:tcW w:w="5491" w:type="dxa"/>
            <w:vAlign w:val="center"/>
          </w:tcPr>
          <w:p w14:paraId="660A89EC">
            <w:pPr>
              <w:rPr>
                <w:szCs w:val="21"/>
              </w:rPr>
            </w:pPr>
            <w:r>
              <w:rPr>
                <w:szCs w:val="21"/>
              </w:rPr>
              <w:t>符合第四章“响应文件格式”的规定</w:t>
            </w:r>
          </w:p>
          <w:p w14:paraId="3D5A03EB">
            <w:pPr>
              <w:rPr>
                <w:szCs w:val="21"/>
                <w:lang w:val="fr-FR"/>
              </w:rPr>
            </w:pPr>
            <w:r>
              <w:rPr>
                <w:szCs w:val="21"/>
                <w:lang w:val="fr-FR"/>
              </w:rPr>
              <w:t>Doit être conforme aux exigences du chapitre IV pour les exigences détaillées concernant le format des documents de réponse.</w:t>
            </w:r>
          </w:p>
        </w:tc>
      </w:tr>
      <w:tr w14:paraId="3E5C15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35" w:type="dxa"/>
            <w:vMerge w:val="continue"/>
            <w:vAlign w:val="center"/>
          </w:tcPr>
          <w:p w14:paraId="7895EC93">
            <w:pPr>
              <w:rPr>
                <w:szCs w:val="21"/>
                <w:lang w:val="fr-FR"/>
              </w:rPr>
            </w:pPr>
          </w:p>
        </w:tc>
        <w:tc>
          <w:tcPr>
            <w:tcW w:w="1340" w:type="dxa"/>
            <w:vMerge w:val="continue"/>
            <w:vAlign w:val="center"/>
          </w:tcPr>
          <w:p w14:paraId="2AA1B658">
            <w:pPr>
              <w:rPr>
                <w:szCs w:val="21"/>
                <w:lang w:val="fr-FR"/>
              </w:rPr>
            </w:pPr>
          </w:p>
        </w:tc>
        <w:tc>
          <w:tcPr>
            <w:tcW w:w="1734" w:type="dxa"/>
            <w:vAlign w:val="center"/>
          </w:tcPr>
          <w:p w14:paraId="18DD1A06">
            <w:pPr>
              <w:spacing w:line="240" w:lineRule="exact"/>
              <w:jc w:val="center"/>
              <w:rPr>
                <w:szCs w:val="21"/>
              </w:rPr>
            </w:pPr>
            <w:r>
              <w:rPr>
                <w:szCs w:val="21"/>
              </w:rPr>
              <w:t>报价唯一</w:t>
            </w:r>
          </w:p>
          <w:p w14:paraId="753C19AA">
            <w:pPr>
              <w:spacing w:line="240" w:lineRule="exact"/>
              <w:jc w:val="center"/>
              <w:rPr>
                <w:szCs w:val="21"/>
              </w:rPr>
            </w:pPr>
            <w:r>
              <w:rPr>
                <w:szCs w:val="21"/>
              </w:rPr>
              <w:t>Offre unique</w:t>
            </w:r>
          </w:p>
        </w:tc>
        <w:tc>
          <w:tcPr>
            <w:tcW w:w="5491" w:type="dxa"/>
            <w:vAlign w:val="center"/>
          </w:tcPr>
          <w:p w14:paraId="1DB18586">
            <w:pPr>
              <w:spacing w:line="240" w:lineRule="exact"/>
              <w:rPr>
                <w:szCs w:val="21"/>
              </w:rPr>
            </w:pPr>
            <w:r>
              <w:rPr>
                <w:szCs w:val="21"/>
              </w:rPr>
              <w:t>只能有一个有效报价</w:t>
            </w:r>
            <w:r>
              <w:rPr>
                <w:rFonts w:eastAsia="Segoe UI"/>
                <w:color w:val="24292F"/>
                <w:kern w:val="0"/>
                <w:szCs w:val="21"/>
              </w:rPr>
              <w:t>Une seule offre valide doit être soumise.</w:t>
            </w:r>
          </w:p>
        </w:tc>
      </w:tr>
      <w:tr w14:paraId="195F7A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935" w:type="dxa"/>
            <w:vMerge w:val="restart"/>
            <w:vAlign w:val="center"/>
          </w:tcPr>
          <w:p w14:paraId="6DAE2BAB">
            <w:pPr>
              <w:jc w:val="center"/>
              <w:rPr>
                <w:szCs w:val="21"/>
              </w:rPr>
            </w:pPr>
            <w:r>
              <w:rPr>
                <w:szCs w:val="21"/>
              </w:rPr>
              <w:t>1.1.2</w:t>
            </w:r>
          </w:p>
        </w:tc>
        <w:tc>
          <w:tcPr>
            <w:tcW w:w="1340" w:type="dxa"/>
            <w:vMerge w:val="restart"/>
            <w:vAlign w:val="center"/>
          </w:tcPr>
          <w:p w14:paraId="4DCE26BF">
            <w:pPr>
              <w:rPr>
                <w:szCs w:val="21"/>
              </w:rPr>
            </w:pPr>
            <w:r>
              <w:rPr>
                <w:szCs w:val="21"/>
              </w:rPr>
              <w:t>串标审查Examen de la Coordination des Soumissions</w:t>
            </w:r>
          </w:p>
        </w:tc>
        <w:tc>
          <w:tcPr>
            <w:tcW w:w="1734" w:type="dxa"/>
            <w:vAlign w:val="center"/>
          </w:tcPr>
          <w:p w14:paraId="78B14F51">
            <w:pPr>
              <w:jc w:val="center"/>
              <w:rPr>
                <w:szCs w:val="21"/>
              </w:rPr>
            </w:pPr>
            <w:r>
              <w:rPr>
                <w:szCs w:val="21"/>
              </w:rPr>
              <w:t>不同响应人的响应文件是否由同一单位或者个人编制</w:t>
            </w:r>
          </w:p>
          <w:p w14:paraId="453CBFC6">
            <w:pPr>
              <w:jc w:val="center"/>
              <w:rPr>
                <w:szCs w:val="21"/>
                <w:lang w:val="fr-FR"/>
              </w:rPr>
            </w:pPr>
            <w:r>
              <w:rPr>
                <w:szCs w:val="21"/>
                <w:lang w:val="fr-FR"/>
              </w:rPr>
              <w:t>Les soumissions des différents soumissionnaires ont-elles été préparées par la même entité ou la même personne</w:t>
            </w:r>
          </w:p>
        </w:tc>
        <w:tc>
          <w:tcPr>
            <w:tcW w:w="5491" w:type="dxa"/>
          </w:tcPr>
          <w:p w14:paraId="4695F7C1">
            <w:pPr>
              <w:rPr>
                <w:szCs w:val="21"/>
              </w:rPr>
            </w:pPr>
            <w:r>
              <w:rPr>
                <w:szCs w:val="21"/>
              </w:rPr>
              <w:t>评审组审核电子版响应文件的编辑作者是否为特定的同一个人，机器自动赋予的通用名称除外。</w:t>
            </w:r>
          </w:p>
          <w:p w14:paraId="024E8561">
            <w:pPr>
              <w:rPr>
                <w:szCs w:val="21"/>
                <w:lang w:val="fr-FR"/>
              </w:rPr>
            </w:pPr>
            <w:r>
              <w:rPr>
                <w:szCs w:val="21"/>
                <w:lang w:val="fr-FR"/>
              </w:rPr>
              <w:t>L'examen des fichiers électroniques doit déterminer si la même personne a rédigé les documents des soumissionnaires, à l'exception des noms génériques attribués par des machines.</w:t>
            </w:r>
          </w:p>
        </w:tc>
      </w:tr>
      <w:tr w14:paraId="7C589E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935" w:type="dxa"/>
            <w:vMerge w:val="continue"/>
            <w:vAlign w:val="center"/>
          </w:tcPr>
          <w:p w14:paraId="7EF25800">
            <w:pPr>
              <w:rPr>
                <w:szCs w:val="21"/>
                <w:lang w:val="fr-FR"/>
              </w:rPr>
            </w:pPr>
          </w:p>
        </w:tc>
        <w:tc>
          <w:tcPr>
            <w:tcW w:w="1340" w:type="dxa"/>
            <w:vMerge w:val="continue"/>
            <w:vAlign w:val="center"/>
          </w:tcPr>
          <w:p w14:paraId="3226F355">
            <w:pPr>
              <w:rPr>
                <w:szCs w:val="21"/>
                <w:lang w:val="fr-FR"/>
              </w:rPr>
            </w:pPr>
          </w:p>
        </w:tc>
        <w:tc>
          <w:tcPr>
            <w:tcW w:w="1734" w:type="dxa"/>
            <w:vAlign w:val="center"/>
          </w:tcPr>
          <w:p w14:paraId="1B51DD1F">
            <w:pPr>
              <w:jc w:val="center"/>
              <w:rPr>
                <w:szCs w:val="21"/>
              </w:rPr>
            </w:pPr>
            <w:r>
              <w:rPr>
                <w:szCs w:val="21"/>
              </w:rPr>
              <w:t>不同响应人委托同一单位或者个人办理响应事宜</w:t>
            </w:r>
          </w:p>
          <w:p w14:paraId="2E9CAE8D">
            <w:pPr>
              <w:jc w:val="center"/>
              <w:rPr>
                <w:szCs w:val="21"/>
                <w:lang w:val="fr-FR"/>
              </w:rPr>
            </w:pPr>
            <w:r>
              <w:rPr>
                <w:szCs w:val="21"/>
                <w:lang w:val="fr-FR"/>
              </w:rPr>
              <w:t>Différents soumissionnaires ont-ils mandaté la même société ou personne pour soumettre leurs documents</w:t>
            </w:r>
          </w:p>
        </w:tc>
        <w:tc>
          <w:tcPr>
            <w:tcW w:w="5491" w:type="dxa"/>
            <w:vAlign w:val="center"/>
          </w:tcPr>
          <w:p w14:paraId="4BE12B38">
            <w:pPr>
              <w:rPr>
                <w:szCs w:val="21"/>
              </w:rPr>
            </w:pPr>
            <w:r>
              <w:rPr>
                <w:szCs w:val="21"/>
              </w:rPr>
              <w:t>由采购项目经理在网上查询不同响应人购买响应文件的联系人是否相同、联系电话是否为相同，邮箱是否相同。与其它响应人响应文件上传IP地址是否相同</w:t>
            </w:r>
          </w:p>
          <w:p w14:paraId="1843CE93">
            <w:pPr>
              <w:rPr>
                <w:szCs w:val="21"/>
                <w:lang w:val="fr-FR"/>
              </w:rPr>
            </w:pPr>
            <w:r>
              <w:rPr>
                <w:szCs w:val="21"/>
                <w:lang w:val="fr-FR"/>
              </w:rPr>
              <w:t>Le gestionnaire de projet doit vérifier, via une recherche en ligne, si les soumissionnaires ont les mêmes contacts, numéros de téléphone ou adresses e-mail. Vérification de l'IP utilisée pour télécharger les documents.</w:t>
            </w:r>
          </w:p>
        </w:tc>
      </w:tr>
      <w:tr w14:paraId="1259D9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935" w:type="dxa"/>
            <w:vMerge w:val="continue"/>
            <w:vAlign w:val="center"/>
          </w:tcPr>
          <w:p w14:paraId="6ED74118">
            <w:pPr>
              <w:rPr>
                <w:szCs w:val="21"/>
                <w:lang w:val="fr-FR"/>
              </w:rPr>
            </w:pPr>
          </w:p>
        </w:tc>
        <w:tc>
          <w:tcPr>
            <w:tcW w:w="1340" w:type="dxa"/>
            <w:vMerge w:val="continue"/>
            <w:vAlign w:val="center"/>
          </w:tcPr>
          <w:p w14:paraId="52E92E21">
            <w:pPr>
              <w:rPr>
                <w:szCs w:val="21"/>
                <w:lang w:val="fr-FR"/>
              </w:rPr>
            </w:pPr>
          </w:p>
        </w:tc>
        <w:tc>
          <w:tcPr>
            <w:tcW w:w="1734" w:type="dxa"/>
            <w:vAlign w:val="center"/>
          </w:tcPr>
          <w:p w14:paraId="569B7DEE">
            <w:pPr>
              <w:jc w:val="center"/>
              <w:rPr>
                <w:szCs w:val="21"/>
              </w:rPr>
            </w:pPr>
            <w:r>
              <w:rPr>
                <w:szCs w:val="21"/>
              </w:rPr>
              <w:t>不同响应人的响应文件载明的项目管理成员为同一人</w:t>
            </w:r>
          </w:p>
          <w:p w14:paraId="263AFA6A">
            <w:pPr>
              <w:jc w:val="center"/>
              <w:rPr>
                <w:szCs w:val="21"/>
                <w:lang w:val="fr-FR"/>
              </w:rPr>
            </w:pPr>
            <w:r>
              <w:rPr>
                <w:szCs w:val="21"/>
                <w:lang w:val="fr-FR"/>
              </w:rPr>
              <w:t>Les membres de l'équipe de gestion de projet sont-ils identiques dans les soumissions de différents soumissionnaires</w:t>
            </w:r>
          </w:p>
        </w:tc>
        <w:tc>
          <w:tcPr>
            <w:tcW w:w="5491" w:type="dxa"/>
            <w:vAlign w:val="center"/>
          </w:tcPr>
          <w:p w14:paraId="3FA57E03">
            <w:pPr>
              <w:rPr>
                <w:szCs w:val="21"/>
              </w:rPr>
            </w:pPr>
            <w:r>
              <w:rPr>
                <w:szCs w:val="21"/>
              </w:rPr>
              <w:t>审查项目组织机构管理人员是否有成员为同一人。</w:t>
            </w:r>
          </w:p>
          <w:p w14:paraId="4AE01A32">
            <w:pPr>
              <w:rPr>
                <w:szCs w:val="21"/>
                <w:lang w:val="fr-FR"/>
              </w:rPr>
            </w:pPr>
            <w:r>
              <w:rPr>
                <w:szCs w:val="21"/>
                <w:lang w:val="fr-FR"/>
              </w:rPr>
              <w:t>Vérification si les membres du personnel de l'équipe de gestion sont identiques entre les soumissions.</w:t>
            </w:r>
          </w:p>
        </w:tc>
      </w:tr>
      <w:tr w14:paraId="36E64E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935" w:type="dxa"/>
            <w:vMerge w:val="continue"/>
            <w:vAlign w:val="center"/>
          </w:tcPr>
          <w:p w14:paraId="1BFD3F23">
            <w:pPr>
              <w:rPr>
                <w:szCs w:val="21"/>
                <w:lang w:val="fr-FR"/>
              </w:rPr>
            </w:pPr>
          </w:p>
        </w:tc>
        <w:tc>
          <w:tcPr>
            <w:tcW w:w="1340" w:type="dxa"/>
            <w:vMerge w:val="continue"/>
            <w:vAlign w:val="center"/>
          </w:tcPr>
          <w:p w14:paraId="5D6BEDEA">
            <w:pPr>
              <w:rPr>
                <w:szCs w:val="21"/>
                <w:lang w:val="fr-FR"/>
              </w:rPr>
            </w:pPr>
          </w:p>
        </w:tc>
        <w:tc>
          <w:tcPr>
            <w:tcW w:w="1734" w:type="dxa"/>
            <w:vAlign w:val="center"/>
          </w:tcPr>
          <w:p w14:paraId="10931FCC">
            <w:pPr>
              <w:jc w:val="center"/>
              <w:rPr>
                <w:szCs w:val="21"/>
              </w:rPr>
            </w:pPr>
            <w:r>
              <w:rPr>
                <w:szCs w:val="21"/>
              </w:rPr>
              <w:t>不同响应人的响应文件异常一致或者响应报价呈规律性差异</w:t>
            </w:r>
          </w:p>
          <w:p w14:paraId="77379D43">
            <w:pPr>
              <w:jc w:val="center"/>
              <w:rPr>
                <w:szCs w:val="21"/>
                <w:lang w:val="fr-FR"/>
              </w:rPr>
            </w:pPr>
            <w:r>
              <w:rPr>
                <w:szCs w:val="21"/>
                <w:lang w:val="fr-FR"/>
              </w:rPr>
              <w:t>Les soumissions des différents soumissionnaires sont-elles anormalement similaires ou les offres présentent-elles des variations régulières</w:t>
            </w:r>
          </w:p>
        </w:tc>
        <w:tc>
          <w:tcPr>
            <w:tcW w:w="5491" w:type="dxa"/>
            <w:vAlign w:val="center"/>
          </w:tcPr>
          <w:p w14:paraId="2B991079">
            <w:pPr>
              <w:rPr>
                <w:szCs w:val="21"/>
              </w:rPr>
            </w:pPr>
            <w:r>
              <w:rPr>
                <w:szCs w:val="21"/>
              </w:rPr>
              <w:t>对各响应人的技术、商务、报价文件的一致性进行审查，文字、标点符号、页码等是否呈规律性一致，错误是否呈规律性一致。</w:t>
            </w:r>
          </w:p>
          <w:p w14:paraId="2A19B29F">
            <w:pPr>
              <w:rPr>
                <w:szCs w:val="21"/>
                <w:lang w:val="fr-FR"/>
              </w:rPr>
            </w:pPr>
            <w:r>
              <w:rPr>
                <w:szCs w:val="21"/>
                <w:lang w:val="fr-FR"/>
              </w:rPr>
              <w:t>L'examen des documents techniques, commerciaux et financiers doit vérifier s'il y a une correspondance ou des erreurs régulières dans les soumissions.</w:t>
            </w:r>
          </w:p>
        </w:tc>
      </w:tr>
      <w:tr w14:paraId="403673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35" w:type="dxa"/>
            <w:vMerge w:val="continue"/>
            <w:vAlign w:val="center"/>
          </w:tcPr>
          <w:p w14:paraId="3C5430C9">
            <w:pPr>
              <w:rPr>
                <w:szCs w:val="21"/>
                <w:lang w:val="fr-FR"/>
              </w:rPr>
            </w:pPr>
          </w:p>
        </w:tc>
        <w:tc>
          <w:tcPr>
            <w:tcW w:w="1340" w:type="dxa"/>
            <w:vMerge w:val="continue"/>
            <w:vAlign w:val="center"/>
          </w:tcPr>
          <w:p w14:paraId="04E05275">
            <w:pPr>
              <w:rPr>
                <w:szCs w:val="21"/>
                <w:lang w:val="fr-FR"/>
              </w:rPr>
            </w:pPr>
          </w:p>
        </w:tc>
        <w:tc>
          <w:tcPr>
            <w:tcW w:w="1734" w:type="dxa"/>
            <w:vAlign w:val="center"/>
          </w:tcPr>
          <w:p w14:paraId="2CC81843">
            <w:pPr>
              <w:jc w:val="center"/>
              <w:rPr>
                <w:szCs w:val="21"/>
              </w:rPr>
            </w:pPr>
            <w:r>
              <w:rPr>
                <w:szCs w:val="21"/>
              </w:rPr>
              <w:t>不同响应人的响应文件相互混装</w:t>
            </w:r>
          </w:p>
          <w:p w14:paraId="1357A04E">
            <w:pPr>
              <w:jc w:val="center"/>
              <w:rPr>
                <w:szCs w:val="21"/>
                <w:lang w:val="fr-FR"/>
              </w:rPr>
            </w:pPr>
            <w:r>
              <w:rPr>
                <w:szCs w:val="21"/>
                <w:lang w:val="fr-FR"/>
              </w:rPr>
              <w:t>Mélange des documents de réponse des différents soumissionnaires</w:t>
            </w:r>
          </w:p>
        </w:tc>
        <w:tc>
          <w:tcPr>
            <w:tcW w:w="5491" w:type="dxa"/>
            <w:vAlign w:val="center"/>
          </w:tcPr>
          <w:p w14:paraId="23AD7B46">
            <w:pPr>
              <w:rPr>
                <w:szCs w:val="21"/>
              </w:rPr>
            </w:pPr>
            <w:r>
              <w:rPr>
                <w:szCs w:val="21"/>
              </w:rPr>
              <w:t>查询上传的响应文件电子版是否混装</w:t>
            </w:r>
          </w:p>
          <w:p w14:paraId="515EE2FA">
            <w:pPr>
              <w:rPr>
                <w:szCs w:val="21"/>
                <w:lang w:val="fr-FR"/>
              </w:rPr>
            </w:pPr>
            <w:r>
              <w:rPr>
                <w:szCs w:val="21"/>
                <w:lang w:val="fr-FR"/>
              </w:rPr>
              <w:t>Vérification de la présence d'un mélange des documents électroniques de réponse téléchargés.</w:t>
            </w:r>
          </w:p>
        </w:tc>
      </w:tr>
      <w:tr w14:paraId="5E9DD1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935" w:type="dxa"/>
            <w:vMerge w:val="continue"/>
            <w:vAlign w:val="center"/>
          </w:tcPr>
          <w:p w14:paraId="03FF978D">
            <w:pPr>
              <w:rPr>
                <w:szCs w:val="21"/>
                <w:lang w:val="fr-FR"/>
              </w:rPr>
            </w:pPr>
          </w:p>
        </w:tc>
        <w:tc>
          <w:tcPr>
            <w:tcW w:w="1340" w:type="dxa"/>
            <w:vMerge w:val="continue"/>
            <w:vAlign w:val="center"/>
          </w:tcPr>
          <w:p w14:paraId="7F65B371">
            <w:pPr>
              <w:rPr>
                <w:szCs w:val="21"/>
                <w:lang w:val="fr-FR"/>
              </w:rPr>
            </w:pPr>
          </w:p>
        </w:tc>
        <w:tc>
          <w:tcPr>
            <w:tcW w:w="1734" w:type="dxa"/>
            <w:vAlign w:val="center"/>
          </w:tcPr>
          <w:p w14:paraId="7BA1F13B">
            <w:pPr>
              <w:jc w:val="center"/>
              <w:rPr>
                <w:szCs w:val="21"/>
              </w:rPr>
            </w:pPr>
            <w:r>
              <w:rPr>
                <w:szCs w:val="21"/>
              </w:rPr>
              <w:t>串通响应等违法行为评审条件</w:t>
            </w:r>
          </w:p>
          <w:p w14:paraId="0EB055F4">
            <w:pPr>
              <w:jc w:val="center"/>
              <w:rPr>
                <w:szCs w:val="21"/>
                <w:lang w:val="fr-FR"/>
              </w:rPr>
            </w:pPr>
            <w:r>
              <w:rPr>
                <w:szCs w:val="21"/>
                <w:lang w:val="fr-FR"/>
              </w:rPr>
              <w:t>Critères d'évaluation pour les comportements illégaux tels que la collusion entre les soumissionnaires</w:t>
            </w:r>
          </w:p>
        </w:tc>
        <w:tc>
          <w:tcPr>
            <w:tcW w:w="5491" w:type="dxa"/>
            <w:vAlign w:val="center"/>
          </w:tcPr>
          <w:p w14:paraId="1DDE2C50">
            <w:pPr>
              <w:rPr>
                <w:szCs w:val="21"/>
              </w:rPr>
            </w:pPr>
            <w:r>
              <w:rPr>
                <w:szCs w:val="21"/>
              </w:rPr>
              <w:t>除国家招标投标法、招标投标法实施条例等规定外，不同响应人的响应文件出现以下情形的，视为响应人串通投标：</w:t>
            </w:r>
          </w:p>
          <w:p w14:paraId="6F56B527">
            <w:pPr>
              <w:rPr>
                <w:szCs w:val="21"/>
              </w:rPr>
            </w:pPr>
            <w:r>
              <w:rPr>
                <w:szCs w:val="21"/>
              </w:rPr>
              <w:t>1.不同响应人使用相同IP地址上传响应文件；</w:t>
            </w:r>
          </w:p>
          <w:p w14:paraId="6C708CEE">
            <w:pPr>
              <w:rPr>
                <w:szCs w:val="21"/>
              </w:rPr>
            </w:pPr>
            <w:r>
              <w:rPr>
                <w:szCs w:val="21"/>
              </w:rPr>
              <w:t>2.不同响应人购买响应文件人员姓名或联系方式相同。</w:t>
            </w:r>
          </w:p>
          <w:p w14:paraId="34DB78BA">
            <w:pPr>
              <w:rPr>
                <w:szCs w:val="21"/>
                <w:lang w:val="fr-FR"/>
              </w:rPr>
            </w:pPr>
            <w:r>
              <w:rPr>
                <w:szCs w:val="21"/>
                <w:lang w:val="fr-FR"/>
              </w:rPr>
              <w:t>Conformément aux lois et règlements nationaux sur les marchés publics, tels que la Loi sur les marchés publics et son règlement d'application, les situations suivantes sont considérées comme des cas de collusion entre soumissionnaires :</w:t>
            </w:r>
          </w:p>
          <w:p w14:paraId="62B3518F">
            <w:pPr>
              <w:rPr>
                <w:szCs w:val="21"/>
                <w:lang w:val="fr-FR"/>
              </w:rPr>
            </w:pPr>
            <w:r>
              <w:rPr>
                <w:szCs w:val="21"/>
                <w:lang w:val="fr-FR"/>
              </w:rPr>
              <w:t>1.Les soumissionnaires utilisent la même adresse IP pour télécharger leurs documents de réponse ;</w:t>
            </w:r>
          </w:p>
          <w:p w14:paraId="144CBA90">
            <w:pPr>
              <w:rPr>
                <w:szCs w:val="21"/>
                <w:lang w:val="fr-FR"/>
              </w:rPr>
            </w:pPr>
            <w:r>
              <w:rPr>
                <w:szCs w:val="21"/>
                <w:lang w:val="fr-FR"/>
              </w:rPr>
              <w:t>2.Les soumissionnaires ont des noms ou des coordonnées de contact identiques pour l'achat des documents de réponse.</w:t>
            </w:r>
          </w:p>
        </w:tc>
      </w:tr>
      <w:tr w14:paraId="120433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935" w:type="dxa"/>
            <w:vMerge w:val="continue"/>
            <w:vAlign w:val="center"/>
          </w:tcPr>
          <w:p w14:paraId="676B7B0E">
            <w:pPr>
              <w:rPr>
                <w:szCs w:val="21"/>
                <w:lang w:val="fr-FR"/>
              </w:rPr>
            </w:pPr>
          </w:p>
        </w:tc>
        <w:tc>
          <w:tcPr>
            <w:tcW w:w="1340" w:type="dxa"/>
            <w:vMerge w:val="continue"/>
            <w:vAlign w:val="center"/>
          </w:tcPr>
          <w:p w14:paraId="215CB329">
            <w:pPr>
              <w:rPr>
                <w:szCs w:val="21"/>
                <w:lang w:val="fr-FR"/>
              </w:rPr>
            </w:pPr>
          </w:p>
        </w:tc>
        <w:tc>
          <w:tcPr>
            <w:tcW w:w="1734" w:type="dxa"/>
            <w:vAlign w:val="center"/>
          </w:tcPr>
          <w:p w14:paraId="7C51F505">
            <w:pPr>
              <w:jc w:val="center"/>
              <w:rPr>
                <w:szCs w:val="21"/>
              </w:rPr>
            </w:pPr>
            <w:r>
              <w:rPr>
                <w:szCs w:val="21"/>
              </w:rPr>
              <w:t>无效响应条件</w:t>
            </w:r>
          </w:p>
          <w:p w14:paraId="6F31CBCE">
            <w:pPr>
              <w:jc w:val="center"/>
              <w:rPr>
                <w:szCs w:val="21"/>
              </w:rPr>
            </w:pPr>
            <w:r>
              <w:rPr>
                <w:szCs w:val="21"/>
              </w:rPr>
              <w:t>Conditions d'invalidité des soumissions</w:t>
            </w:r>
          </w:p>
        </w:tc>
        <w:tc>
          <w:tcPr>
            <w:tcW w:w="5491" w:type="dxa"/>
            <w:vAlign w:val="center"/>
          </w:tcPr>
          <w:p w14:paraId="64649BF0">
            <w:pPr>
              <w:rPr>
                <w:szCs w:val="21"/>
              </w:rPr>
            </w:pPr>
            <w:r>
              <w:rPr>
                <w:szCs w:val="21"/>
              </w:rPr>
              <w:t>除国家招标投标法、招标投标法实施条例等规定外，不同响应人的响应文件出现以下情形的，视为无效投标：</w:t>
            </w:r>
          </w:p>
          <w:p w14:paraId="02BF3B01">
            <w:pPr>
              <w:jc w:val="left"/>
              <w:rPr>
                <w:szCs w:val="21"/>
              </w:rPr>
            </w:pPr>
            <w:r>
              <w:rPr>
                <w:szCs w:val="21"/>
              </w:rPr>
              <w:t>单位负责人为同一人或者存在控股、管理关系的不同单位，不得参加同一项目响应或者未划分标段的同一采购项目响应。单位负责人是指法定代表人。</w:t>
            </w:r>
          </w:p>
          <w:p w14:paraId="7D474FA7">
            <w:pPr>
              <w:widowControl/>
              <w:jc w:val="left"/>
              <w:rPr>
                <w:rFonts w:eastAsia="Segoe UI"/>
                <w:color w:val="24292F"/>
                <w:kern w:val="0"/>
                <w:szCs w:val="21"/>
                <w:lang w:val="fr-FR"/>
              </w:rPr>
            </w:pPr>
            <w:r>
              <w:rPr>
                <w:rFonts w:eastAsia="Segoe UI"/>
                <w:color w:val="24292F"/>
                <w:kern w:val="0"/>
                <w:szCs w:val="21"/>
                <w:lang w:val="fr-FR"/>
              </w:rPr>
              <w:t>Conformément aux lois et règlements nationaux sur les marchés publics, tels que la Loi sur les marchés publics et son règlement d'application, les situations suivantes sont considérées comme des soumissions invalides :</w:t>
            </w:r>
          </w:p>
          <w:p w14:paraId="33C7C603">
            <w:pPr>
              <w:jc w:val="left"/>
              <w:rPr>
                <w:szCs w:val="21"/>
                <w:lang w:val="fr-FR"/>
              </w:rPr>
            </w:pPr>
            <w:r>
              <w:rPr>
                <w:rFonts w:eastAsia="Segoe UI"/>
                <w:color w:val="24292F"/>
                <w:kern w:val="0"/>
                <w:szCs w:val="21"/>
                <w:lang w:val="fr-FR"/>
              </w:rPr>
              <w:t xml:space="preserve">Si le responsable d'une </w:t>
            </w:r>
            <w:r>
              <w:rPr>
                <w:lang w:val="fr-FR"/>
              </w:rPr>
              <w:t>société</w:t>
            </w:r>
            <w:r>
              <w:rPr>
                <w:rFonts w:eastAsia="Segoe UI"/>
                <w:color w:val="24292F"/>
                <w:kern w:val="0"/>
                <w:szCs w:val="21"/>
                <w:lang w:val="fr-FR"/>
              </w:rPr>
              <w:t xml:space="preserve"> est la même personne, ou si plusieurs </w:t>
            </w:r>
            <w:r>
              <w:rPr>
                <w:color w:val="24292F"/>
                <w:kern w:val="0"/>
                <w:szCs w:val="21"/>
                <w:lang w:val="fr-FR"/>
              </w:rPr>
              <w:t>société</w:t>
            </w:r>
            <w:r>
              <w:rPr>
                <w:rFonts w:eastAsia="Segoe UI"/>
                <w:color w:val="24292F"/>
                <w:kern w:val="0"/>
                <w:szCs w:val="21"/>
                <w:lang w:val="fr-FR"/>
              </w:rPr>
              <w:t xml:space="preserve">s liées par une relation de contrôle ou de gestion participent à la réponse au même projet ou à un projet de même nature sans division en lots. Le responsable de </w:t>
            </w:r>
            <w:r>
              <w:rPr>
                <w:color w:val="24292F"/>
                <w:kern w:val="0"/>
                <w:szCs w:val="21"/>
                <w:lang w:val="fr-FR"/>
              </w:rPr>
              <w:t>la société</w:t>
            </w:r>
            <w:r>
              <w:rPr>
                <w:rFonts w:eastAsia="Segoe UI"/>
                <w:color w:val="24292F"/>
                <w:kern w:val="0"/>
                <w:szCs w:val="21"/>
                <w:lang w:val="fr-FR"/>
              </w:rPr>
              <w:t xml:space="preserve"> fait référence au représentant légal.</w:t>
            </w:r>
          </w:p>
        </w:tc>
      </w:tr>
      <w:tr w14:paraId="03A687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35" w:type="dxa"/>
            <w:vMerge w:val="restart"/>
            <w:vAlign w:val="center"/>
          </w:tcPr>
          <w:p w14:paraId="46419A8C">
            <w:pPr>
              <w:jc w:val="center"/>
              <w:rPr>
                <w:szCs w:val="21"/>
              </w:rPr>
            </w:pPr>
            <w:r>
              <w:rPr>
                <w:szCs w:val="21"/>
              </w:rPr>
              <w:t>1.1.3</w:t>
            </w:r>
          </w:p>
        </w:tc>
        <w:tc>
          <w:tcPr>
            <w:tcW w:w="1340" w:type="dxa"/>
            <w:vMerge w:val="restart"/>
            <w:vAlign w:val="center"/>
          </w:tcPr>
          <w:p w14:paraId="5DD2D23C">
            <w:pPr>
              <w:jc w:val="center"/>
              <w:rPr>
                <w:szCs w:val="21"/>
              </w:rPr>
            </w:pPr>
            <w:r>
              <w:rPr>
                <w:szCs w:val="21"/>
              </w:rPr>
              <w:t>资格评审标准</w:t>
            </w:r>
          </w:p>
          <w:p w14:paraId="7BD83EC8">
            <w:pPr>
              <w:jc w:val="center"/>
              <w:rPr>
                <w:szCs w:val="21"/>
              </w:rPr>
            </w:pPr>
            <w:r>
              <w:rPr>
                <w:szCs w:val="21"/>
              </w:rPr>
              <w:t>Normes d'Évaluation de la Qualification</w:t>
            </w:r>
          </w:p>
        </w:tc>
        <w:tc>
          <w:tcPr>
            <w:tcW w:w="1734" w:type="dxa"/>
            <w:vAlign w:val="center"/>
          </w:tcPr>
          <w:p w14:paraId="31ED6995">
            <w:pPr>
              <w:jc w:val="center"/>
              <w:rPr>
                <w:szCs w:val="21"/>
              </w:rPr>
            </w:pPr>
            <w:r>
              <w:rPr>
                <w:szCs w:val="21"/>
              </w:rPr>
              <w:t>营业执照</w:t>
            </w:r>
          </w:p>
          <w:p w14:paraId="7BF83465">
            <w:pPr>
              <w:jc w:val="center"/>
              <w:rPr>
                <w:szCs w:val="21"/>
              </w:rPr>
            </w:pPr>
            <w:r>
              <w:rPr>
                <w:szCs w:val="21"/>
              </w:rPr>
              <w:t>Licence d'exploitation</w:t>
            </w:r>
          </w:p>
        </w:tc>
        <w:tc>
          <w:tcPr>
            <w:tcW w:w="5491" w:type="dxa"/>
            <w:vAlign w:val="center"/>
          </w:tcPr>
          <w:p w14:paraId="7BFEFA87">
            <w:pPr>
              <w:rPr>
                <w:szCs w:val="21"/>
              </w:rPr>
            </w:pPr>
            <w:r>
              <w:rPr>
                <w:szCs w:val="21"/>
              </w:rPr>
              <w:t>具备有效的营业执照</w:t>
            </w:r>
          </w:p>
          <w:p w14:paraId="7FDE0659">
            <w:pPr>
              <w:rPr>
                <w:szCs w:val="21"/>
              </w:rPr>
            </w:pPr>
            <w:r>
              <w:rPr>
                <w:szCs w:val="21"/>
              </w:rPr>
              <w:t>la société doit être en possession d'une licence d'exploitation valide.</w:t>
            </w:r>
          </w:p>
        </w:tc>
      </w:tr>
      <w:tr w14:paraId="77D368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35" w:type="dxa"/>
            <w:vMerge w:val="continue"/>
            <w:vAlign w:val="center"/>
          </w:tcPr>
          <w:p w14:paraId="26AA4858">
            <w:pPr>
              <w:rPr>
                <w:szCs w:val="21"/>
              </w:rPr>
            </w:pPr>
          </w:p>
        </w:tc>
        <w:tc>
          <w:tcPr>
            <w:tcW w:w="1340" w:type="dxa"/>
            <w:vMerge w:val="continue"/>
            <w:vAlign w:val="center"/>
          </w:tcPr>
          <w:p w14:paraId="6DA62CEF">
            <w:pPr>
              <w:rPr>
                <w:szCs w:val="21"/>
              </w:rPr>
            </w:pPr>
          </w:p>
        </w:tc>
        <w:tc>
          <w:tcPr>
            <w:tcW w:w="1734" w:type="dxa"/>
            <w:vAlign w:val="center"/>
          </w:tcPr>
          <w:p w14:paraId="1B16CC48">
            <w:pPr>
              <w:jc w:val="center"/>
              <w:rPr>
                <w:szCs w:val="21"/>
              </w:rPr>
            </w:pPr>
            <w:r>
              <w:rPr>
                <w:szCs w:val="21"/>
              </w:rPr>
              <w:t>资质要求</w:t>
            </w:r>
          </w:p>
          <w:p w14:paraId="54A79895">
            <w:pPr>
              <w:jc w:val="center"/>
              <w:rPr>
                <w:szCs w:val="21"/>
              </w:rPr>
            </w:pPr>
            <w:r>
              <w:rPr>
                <w:szCs w:val="21"/>
              </w:rPr>
              <w:t>Exigences de qualification</w:t>
            </w:r>
          </w:p>
        </w:tc>
        <w:tc>
          <w:tcPr>
            <w:tcW w:w="5491" w:type="dxa"/>
            <w:vAlign w:val="center"/>
          </w:tcPr>
          <w:p w14:paraId="3C956F56">
            <w:pPr>
              <w:rPr>
                <w:szCs w:val="21"/>
              </w:rPr>
            </w:pPr>
            <w:r>
              <w:rPr>
                <w:szCs w:val="21"/>
              </w:rPr>
              <w:t>符合第一章“响应人须知”第1.8项规定</w:t>
            </w:r>
          </w:p>
          <w:p w14:paraId="4BDCFC99">
            <w:pPr>
              <w:rPr>
                <w:szCs w:val="21"/>
                <w:lang w:val="fr-FR"/>
              </w:rPr>
            </w:pPr>
            <w:r>
              <w:rPr>
                <w:szCs w:val="21"/>
                <w:lang w:val="fr-FR"/>
              </w:rPr>
              <w:t>Doit répondre aux critères définis dans la section 1.8 du chapitre I , Instructions pour les soumissionnaires.</w:t>
            </w:r>
          </w:p>
        </w:tc>
      </w:tr>
      <w:tr w14:paraId="55FD79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35" w:type="dxa"/>
            <w:vMerge w:val="continue"/>
            <w:vAlign w:val="center"/>
          </w:tcPr>
          <w:p w14:paraId="046D22CB">
            <w:pPr>
              <w:rPr>
                <w:szCs w:val="21"/>
                <w:lang w:val="fr-FR"/>
              </w:rPr>
            </w:pPr>
          </w:p>
        </w:tc>
        <w:tc>
          <w:tcPr>
            <w:tcW w:w="1340" w:type="dxa"/>
            <w:vMerge w:val="continue"/>
            <w:vAlign w:val="center"/>
          </w:tcPr>
          <w:p w14:paraId="69DC7F5D">
            <w:pPr>
              <w:rPr>
                <w:szCs w:val="21"/>
                <w:lang w:val="fr-FR"/>
              </w:rPr>
            </w:pPr>
          </w:p>
        </w:tc>
        <w:tc>
          <w:tcPr>
            <w:tcW w:w="1734" w:type="dxa"/>
            <w:vAlign w:val="center"/>
          </w:tcPr>
          <w:p w14:paraId="4B0F06C6">
            <w:pPr>
              <w:jc w:val="center"/>
              <w:rPr>
                <w:szCs w:val="21"/>
              </w:rPr>
            </w:pPr>
            <w:r>
              <w:rPr>
                <w:szCs w:val="21"/>
              </w:rPr>
              <w:t>总负责人</w:t>
            </w:r>
          </w:p>
          <w:p w14:paraId="1A83BAAA">
            <w:pPr>
              <w:jc w:val="center"/>
              <w:rPr>
                <w:szCs w:val="21"/>
              </w:rPr>
            </w:pPr>
            <w:r>
              <w:rPr>
                <w:szCs w:val="21"/>
              </w:rPr>
              <w:t>Exigences du directeur général</w:t>
            </w:r>
          </w:p>
        </w:tc>
        <w:tc>
          <w:tcPr>
            <w:tcW w:w="5491" w:type="dxa"/>
            <w:vAlign w:val="center"/>
          </w:tcPr>
          <w:p w14:paraId="4A9CD257">
            <w:pPr>
              <w:rPr>
                <w:szCs w:val="21"/>
              </w:rPr>
            </w:pPr>
            <w:r>
              <w:rPr>
                <w:szCs w:val="21"/>
              </w:rPr>
              <w:t>符合第一章“响应人须知”第1.8项规定</w:t>
            </w:r>
          </w:p>
          <w:p w14:paraId="7D3E317D">
            <w:pPr>
              <w:rPr>
                <w:szCs w:val="21"/>
                <w:lang w:val="fr-FR"/>
              </w:rPr>
            </w:pPr>
            <w:r>
              <w:rPr>
                <w:szCs w:val="21"/>
                <w:lang w:val="fr-FR"/>
              </w:rPr>
              <w:t>Doit répondre aux critères définis dans la section 1.8 du chapitre I , Instructions pour les soumissionnaires.</w:t>
            </w:r>
          </w:p>
        </w:tc>
      </w:tr>
      <w:tr w14:paraId="73F9B0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35" w:type="dxa"/>
            <w:vMerge w:val="continue"/>
            <w:vAlign w:val="center"/>
          </w:tcPr>
          <w:p w14:paraId="781BBB79">
            <w:pPr>
              <w:rPr>
                <w:szCs w:val="21"/>
                <w:lang w:val="fr-FR"/>
              </w:rPr>
            </w:pPr>
          </w:p>
        </w:tc>
        <w:tc>
          <w:tcPr>
            <w:tcW w:w="1340" w:type="dxa"/>
            <w:vMerge w:val="continue"/>
            <w:vAlign w:val="center"/>
          </w:tcPr>
          <w:p w14:paraId="5AF419C6">
            <w:pPr>
              <w:rPr>
                <w:szCs w:val="21"/>
                <w:lang w:val="fr-FR"/>
              </w:rPr>
            </w:pPr>
          </w:p>
        </w:tc>
        <w:tc>
          <w:tcPr>
            <w:tcW w:w="1734" w:type="dxa"/>
            <w:vAlign w:val="center"/>
          </w:tcPr>
          <w:p w14:paraId="618DB4D8">
            <w:pPr>
              <w:jc w:val="center"/>
              <w:rPr>
                <w:szCs w:val="21"/>
              </w:rPr>
            </w:pPr>
            <w:r>
              <w:rPr>
                <w:szCs w:val="21"/>
              </w:rPr>
              <w:t>财务要求</w:t>
            </w:r>
          </w:p>
          <w:p w14:paraId="145F9C3C">
            <w:pPr>
              <w:jc w:val="center"/>
              <w:rPr>
                <w:szCs w:val="21"/>
              </w:rPr>
            </w:pPr>
            <w:r>
              <w:rPr>
                <w:szCs w:val="21"/>
              </w:rPr>
              <w:t>Exigences financières</w:t>
            </w:r>
          </w:p>
        </w:tc>
        <w:tc>
          <w:tcPr>
            <w:tcW w:w="5491" w:type="dxa"/>
            <w:vAlign w:val="center"/>
          </w:tcPr>
          <w:p w14:paraId="32F97480">
            <w:pPr>
              <w:rPr>
                <w:szCs w:val="21"/>
              </w:rPr>
            </w:pPr>
            <w:r>
              <w:rPr>
                <w:szCs w:val="21"/>
              </w:rPr>
              <w:t>符合第一章“响应人须知”第1.8项规定</w:t>
            </w:r>
          </w:p>
          <w:p w14:paraId="26F73003">
            <w:pPr>
              <w:rPr>
                <w:szCs w:val="21"/>
                <w:lang w:val="fr-FR"/>
              </w:rPr>
            </w:pPr>
            <w:r>
              <w:rPr>
                <w:szCs w:val="21"/>
                <w:lang w:val="fr-FR"/>
              </w:rPr>
              <w:t>Doit répondre aux critères définis dans la section 1.8 du chapitre I , Instructions pour les soumissionnaires.</w:t>
            </w:r>
          </w:p>
        </w:tc>
      </w:tr>
      <w:tr w14:paraId="315331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35" w:type="dxa"/>
            <w:vMerge w:val="continue"/>
            <w:vAlign w:val="center"/>
          </w:tcPr>
          <w:p w14:paraId="4D05DCD3">
            <w:pPr>
              <w:rPr>
                <w:szCs w:val="21"/>
                <w:lang w:val="fr-FR"/>
              </w:rPr>
            </w:pPr>
          </w:p>
        </w:tc>
        <w:tc>
          <w:tcPr>
            <w:tcW w:w="1340" w:type="dxa"/>
            <w:vMerge w:val="continue"/>
            <w:vAlign w:val="center"/>
          </w:tcPr>
          <w:p w14:paraId="74F56B62">
            <w:pPr>
              <w:rPr>
                <w:szCs w:val="21"/>
                <w:lang w:val="fr-FR"/>
              </w:rPr>
            </w:pPr>
          </w:p>
        </w:tc>
        <w:tc>
          <w:tcPr>
            <w:tcW w:w="1734" w:type="dxa"/>
            <w:vAlign w:val="center"/>
          </w:tcPr>
          <w:p w14:paraId="06257B8D">
            <w:pPr>
              <w:jc w:val="center"/>
              <w:rPr>
                <w:szCs w:val="21"/>
              </w:rPr>
            </w:pPr>
            <w:r>
              <w:rPr>
                <w:szCs w:val="21"/>
              </w:rPr>
              <w:t>业绩要求</w:t>
            </w:r>
          </w:p>
          <w:p w14:paraId="670187E4">
            <w:pPr>
              <w:jc w:val="center"/>
              <w:rPr>
                <w:szCs w:val="21"/>
              </w:rPr>
            </w:pPr>
            <w:r>
              <w:rPr>
                <w:szCs w:val="21"/>
              </w:rPr>
              <w:t>Exigences de performance</w:t>
            </w:r>
          </w:p>
        </w:tc>
        <w:tc>
          <w:tcPr>
            <w:tcW w:w="5491" w:type="dxa"/>
            <w:vAlign w:val="center"/>
          </w:tcPr>
          <w:p w14:paraId="40C73475">
            <w:pPr>
              <w:rPr>
                <w:szCs w:val="21"/>
              </w:rPr>
            </w:pPr>
            <w:r>
              <w:rPr>
                <w:szCs w:val="21"/>
              </w:rPr>
              <w:t>符合第一章“响应人须知”第1.8项规定</w:t>
            </w:r>
          </w:p>
          <w:p w14:paraId="3534454B">
            <w:pPr>
              <w:rPr>
                <w:szCs w:val="21"/>
                <w:lang w:val="fr-FR"/>
              </w:rPr>
            </w:pPr>
            <w:r>
              <w:rPr>
                <w:szCs w:val="21"/>
                <w:lang w:val="fr-FR"/>
              </w:rPr>
              <w:t>Doit répondre aux critères définis dans la section 1.8 du chapitre I , Instructions pour les soumissionnaires.</w:t>
            </w:r>
          </w:p>
        </w:tc>
      </w:tr>
      <w:tr w14:paraId="46C8B0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35" w:type="dxa"/>
            <w:vMerge w:val="continue"/>
            <w:vAlign w:val="center"/>
          </w:tcPr>
          <w:p w14:paraId="5F9CF57F">
            <w:pPr>
              <w:rPr>
                <w:szCs w:val="21"/>
                <w:lang w:val="fr-FR"/>
              </w:rPr>
            </w:pPr>
          </w:p>
        </w:tc>
        <w:tc>
          <w:tcPr>
            <w:tcW w:w="1340" w:type="dxa"/>
            <w:vMerge w:val="continue"/>
            <w:vAlign w:val="center"/>
          </w:tcPr>
          <w:p w14:paraId="2382F87B">
            <w:pPr>
              <w:rPr>
                <w:szCs w:val="21"/>
                <w:lang w:val="fr-FR"/>
              </w:rPr>
            </w:pPr>
          </w:p>
        </w:tc>
        <w:tc>
          <w:tcPr>
            <w:tcW w:w="1734" w:type="dxa"/>
            <w:vAlign w:val="center"/>
          </w:tcPr>
          <w:p w14:paraId="72835D5F">
            <w:pPr>
              <w:jc w:val="center"/>
              <w:rPr>
                <w:szCs w:val="21"/>
              </w:rPr>
            </w:pPr>
            <w:r>
              <w:rPr>
                <w:szCs w:val="21"/>
              </w:rPr>
              <w:t>信誉要求</w:t>
            </w:r>
          </w:p>
          <w:p w14:paraId="34A20BC9">
            <w:pPr>
              <w:jc w:val="center"/>
              <w:rPr>
                <w:szCs w:val="21"/>
              </w:rPr>
            </w:pPr>
            <w:r>
              <w:rPr>
                <w:szCs w:val="21"/>
              </w:rPr>
              <w:t>Exigences en matière de réputation</w:t>
            </w:r>
          </w:p>
        </w:tc>
        <w:tc>
          <w:tcPr>
            <w:tcW w:w="5491" w:type="dxa"/>
            <w:vAlign w:val="center"/>
          </w:tcPr>
          <w:p w14:paraId="47AAE4AD">
            <w:pPr>
              <w:rPr>
                <w:szCs w:val="21"/>
              </w:rPr>
            </w:pPr>
            <w:r>
              <w:rPr>
                <w:szCs w:val="21"/>
              </w:rPr>
              <w:t>符合第一章“响应人须知”第1.8项规定</w:t>
            </w:r>
          </w:p>
          <w:p w14:paraId="0213A5B5">
            <w:pPr>
              <w:rPr>
                <w:szCs w:val="21"/>
                <w:lang w:val="fr-FR"/>
              </w:rPr>
            </w:pPr>
            <w:r>
              <w:rPr>
                <w:szCs w:val="21"/>
                <w:lang w:val="fr-FR"/>
              </w:rPr>
              <w:t>Doit répondre aux critères définis dans la section 1.8 du chapitre I , Instructions pour les soumissionnaires.</w:t>
            </w:r>
          </w:p>
        </w:tc>
      </w:tr>
      <w:tr w14:paraId="2E0DBD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35" w:type="dxa"/>
            <w:vMerge w:val="continue"/>
            <w:vAlign w:val="center"/>
          </w:tcPr>
          <w:p w14:paraId="1C2BBEFE">
            <w:pPr>
              <w:rPr>
                <w:szCs w:val="21"/>
                <w:lang w:val="fr-FR"/>
              </w:rPr>
            </w:pPr>
          </w:p>
        </w:tc>
        <w:tc>
          <w:tcPr>
            <w:tcW w:w="1340" w:type="dxa"/>
            <w:vMerge w:val="continue"/>
            <w:vAlign w:val="center"/>
          </w:tcPr>
          <w:p w14:paraId="554AE5D9">
            <w:pPr>
              <w:rPr>
                <w:szCs w:val="21"/>
                <w:lang w:val="fr-FR"/>
              </w:rPr>
            </w:pPr>
          </w:p>
        </w:tc>
        <w:tc>
          <w:tcPr>
            <w:tcW w:w="1734" w:type="dxa"/>
            <w:vAlign w:val="center"/>
          </w:tcPr>
          <w:p w14:paraId="35608BED">
            <w:pPr>
              <w:jc w:val="center"/>
              <w:rPr>
                <w:szCs w:val="21"/>
              </w:rPr>
            </w:pPr>
            <w:r>
              <w:rPr>
                <w:szCs w:val="21"/>
              </w:rPr>
              <w:t>其他要求</w:t>
            </w:r>
          </w:p>
          <w:p w14:paraId="53E4D19F">
            <w:pPr>
              <w:jc w:val="center"/>
              <w:rPr>
                <w:szCs w:val="21"/>
              </w:rPr>
            </w:pPr>
            <w:r>
              <w:rPr>
                <w:szCs w:val="21"/>
              </w:rPr>
              <w:t>Autres exigences</w:t>
            </w:r>
          </w:p>
        </w:tc>
        <w:tc>
          <w:tcPr>
            <w:tcW w:w="5491" w:type="dxa"/>
            <w:vAlign w:val="center"/>
          </w:tcPr>
          <w:p w14:paraId="0C4AA864">
            <w:pPr>
              <w:rPr>
                <w:szCs w:val="21"/>
              </w:rPr>
            </w:pPr>
            <w:r>
              <w:rPr>
                <w:szCs w:val="21"/>
              </w:rPr>
              <w:t>符合第一章“响应人须知”第1.8项规定</w:t>
            </w:r>
          </w:p>
          <w:p w14:paraId="272ABFD3">
            <w:pPr>
              <w:rPr>
                <w:szCs w:val="21"/>
                <w:lang w:val="fr-FR"/>
              </w:rPr>
            </w:pPr>
            <w:r>
              <w:rPr>
                <w:szCs w:val="21"/>
                <w:lang w:val="fr-FR"/>
              </w:rPr>
              <w:t>Doit répondre aux critères définis dans la section 1.8 du chapitre I , Instructions pour les soumissionnaires.</w:t>
            </w:r>
          </w:p>
        </w:tc>
      </w:tr>
      <w:tr w14:paraId="0A8862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35" w:type="dxa"/>
            <w:vMerge w:val="continue"/>
            <w:vAlign w:val="center"/>
          </w:tcPr>
          <w:p w14:paraId="603235EA">
            <w:pPr>
              <w:rPr>
                <w:szCs w:val="21"/>
                <w:lang w:val="fr-FR"/>
              </w:rPr>
            </w:pPr>
          </w:p>
        </w:tc>
        <w:tc>
          <w:tcPr>
            <w:tcW w:w="1340" w:type="dxa"/>
            <w:vMerge w:val="continue"/>
            <w:vAlign w:val="center"/>
          </w:tcPr>
          <w:p w14:paraId="014B4853">
            <w:pPr>
              <w:rPr>
                <w:szCs w:val="21"/>
                <w:lang w:val="fr-FR"/>
              </w:rPr>
            </w:pPr>
          </w:p>
        </w:tc>
        <w:tc>
          <w:tcPr>
            <w:tcW w:w="1734" w:type="dxa"/>
            <w:vAlign w:val="center"/>
          </w:tcPr>
          <w:p w14:paraId="4022445C">
            <w:pPr>
              <w:jc w:val="center"/>
              <w:rPr>
                <w:szCs w:val="21"/>
              </w:rPr>
            </w:pPr>
            <w:r>
              <w:rPr>
                <w:szCs w:val="21"/>
              </w:rPr>
              <w:t>联合体响应人</w:t>
            </w:r>
          </w:p>
          <w:p w14:paraId="7DA55DB4">
            <w:pPr>
              <w:jc w:val="center"/>
              <w:rPr>
                <w:szCs w:val="21"/>
              </w:rPr>
            </w:pPr>
            <w:r>
              <w:rPr>
                <w:szCs w:val="21"/>
              </w:rPr>
              <w:t>Soumissionnaire en consortium</w:t>
            </w:r>
          </w:p>
        </w:tc>
        <w:tc>
          <w:tcPr>
            <w:tcW w:w="5491" w:type="dxa"/>
            <w:vAlign w:val="center"/>
          </w:tcPr>
          <w:p w14:paraId="4C08B75A">
            <w:pPr>
              <w:rPr>
                <w:szCs w:val="21"/>
              </w:rPr>
            </w:pPr>
            <w:r>
              <w:rPr>
                <w:szCs w:val="21"/>
              </w:rPr>
              <w:t>符合第一章“响应人须知”第1.9项规定</w:t>
            </w:r>
          </w:p>
          <w:p w14:paraId="056EE65E">
            <w:pPr>
              <w:rPr>
                <w:szCs w:val="21"/>
                <w:lang w:val="fr-FR"/>
              </w:rPr>
            </w:pPr>
            <w:r>
              <w:rPr>
                <w:szCs w:val="21"/>
                <w:lang w:val="fr-FR"/>
              </w:rPr>
              <w:t>Doit répondre aux critères définis dans la section 1.9 du chapitre I , Instructions pour les soumissionnaires.</w:t>
            </w:r>
          </w:p>
        </w:tc>
      </w:tr>
      <w:tr w14:paraId="3E0AAF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35" w:type="dxa"/>
            <w:vMerge w:val="continue"/>
            <w:vAlign w:val="center"/>
          </w:tcPr>
          <w:p w14:paraId="2D37340C">
            <w:pPr>
              <w:rPr>
                <w:szCs w:val="21"/>
                <w:lang w:val="fr-FR"/>
              </w:rPr>
            </w:pPr>
          </w:p>
        </w:tc>
        <w:tc>
          <w:tcPr>
            <w:tcW w:w="1340" w:type="dxa"/>
            <w:vMerge w:val="continue"/>
            <w:vAlign w:val="center"/>
          </w:tcPr>
          <w:p w14:paraId="39D473A5">
            <w:pPr>
              <w:rPr>
                <w:szCs w:val="21"/>
                <w:lang w:val="fr-FR"/>
              </w:rPr>
            </w:pPr>
          </w:p>
        </w:tc>
        <w:tc>
          <w:tcPr>
            <w:tcW w:w="1734" w:type="dxa"/>
            <w:vAlign w:val="center"/>
          </w:tcPr>
          <w:p w14:paraId="26655F21">
            <w:pPr>
              <w:spacing w:line="240" w:lineRule="exact"/>
              <w:jc w:val="center"/>
              <w:rPr>
                <w:szCs w:val="21"/>
              </w:rPr>
            </w:pPr>
            <w:r>
              <w:rPr>
                <w:szCs w:val="21"/>
              </w:rPr>
              <w:t>响应人不得存在的情形</w:t>
            </w:r>
          </w:p>
          <w:p w14:paraId="19FF34D4">
            <w:pPr>
              <w:spacing w:line="240" w:lineRule="exact"/>
              <w:jc w:val="center"/>
              <w:rPr>
                <w:szCs w:val="21"/>
              </w:rPr>
            </w:pPr>
            <w:r>
              <w:rPr>
                <w:szCs w:val="21"/>
              </w:rPr>
              <w:t>Situations dans lesquelles le soumissionnaire ne doit pas se trouver</w:t>
            </w:r>
          </w:p>
        </w:tc>
        <w:tc>
          <w:tcPr>
            <w:tcW w:w="5491" w:type="dxa"/>
            <w:vAlign w:val="center"/>
          </w:tcPr>
          <w:p w14:paraId="6E9A7990">
            <w:pPr>
              <w:spacing w:line="240" w:lineRule="exact"/>
              <w:rPr>
                <w:szCs w:val="21"/>
              </w:rPr>
            </w:pPr>
            <w:r>
              <w:rPr>
                <w:szCs w:val="21"/>
              </w:rPr>
              <w:t>符合竞争性谈判文件规定</w:t>
            </w:r>
          </w:p>
          <w:p w14:paraId="37366D45">
            <w:pPr>
              <w:spacing w:line="240" w:lineRule="exact"/>
              <w:rPr>
                <w:szCs w:val="21"/>
                <w:lang w:val="fr-FR"/>
              </w:rPr>
            </w:pPr>
            <w:r>
              <w:rPr>
                <w:szCs w:val="21"/>
                <w:lang w:val="fr-FR"/>
              </w:rPr>
              <w:t>Conformément aux dispositions du document de négociation concurrentielle</w:t>
            </w:r>
          </w:p>
        </w:tc>
      </w:tr>
      <w:tr w14:paraId="33A85A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35" w:type="dxa"/>
            <w:vMerge w:val="restart"/>
            <w:vAlign w:val="center"/>
          </w:tcPr>
          <w:p w14:paraId="3AFCC87A">
            <w:pPr>
              <w:jc w:val="center"/>
              <w:rPr>
                <w:szCs w:val="21"/>
              </w:rPr>
            </w:pPr>
            <w:r>
              <w:rPr>
                <w:szCs w:val="21"/>
              </w:rPr>
              <w:t>1.1.4</w:t>
            </w:r>
          </w:p>
        </w:tc>
        <w:tc>
          <w:tcPr>
            <w:tcW w:w="1340" w:type="dxa"/>
            <w:vMerge w:val="restart"/>
            <w:vAlign w:val="center"/>
          </w:tcPr>
          <w:p w14:paraId="0EA3C285">
            <w:pPr>
              <w:jc w:val="center"/>
              <w:rPr>
                <w:szCs w:val="21"/>
              </w:rPr>
            </w:pPr>
            <w:r>
              <w:rPr>
                <w:szCs w:val="21"/>
              </w:rPr>
              <w:t>响应性评审标准</w:t>
            </w:r>
          </w:p>
          <w:p w14:paraId="3B6A25C2">
            <w:pPr>
              <w:jc w:val="center"/>
              <w:rPr>
                <w:szCs w:val="21"/>
                <w:lang w:val="fr-FR"/>
              </w:rPr>
            </w:pPr>
            <w:r>
              <w:rPr>
                <w:szCs w:val="21"/>
                <w:lang w:val="fr-FR"/>
              </w:rPr>
              <w:t>Normes d'Évaluation de la Réponse</w:t>
            </w:r>
          </w:p>
        </w:tc>
        <w:tc>
          <w:tcPr>
            <w:tcW w:w="1734" w:type="dxa"/>
            <w:vAlign w:val="center"/>
          </w:tcPr>
          <w:p w14:paraId="72375B37">
            <w:pPr>
              <w:jc w:val="center"/>
              <w:rPr>
                <w:szCs w:val="21"/>
              </w:rPr>
            </w:pPr>
            <w:r>
              <w:rPr>
                <w:szCs w:val="21"/>
              </w:rPr>
              <w:t>响应报价</w:t>
            </w:r>
          </w:p>
          <w:p w14:paraId="50B341B8">
            <w:pPr>
              <w:jc w:val="center"/>
              <w:rPr>
                <w:szCs w:val="21"/>
              </w:rPr>
            </w:pPr>
            <w:r>
              <w:rPr>
                <w:szCs w:val="21"/>
              </w:rPr>
              <w:t>Offre de soumission</w:t>
            </w:r>
          </w:p>
        </w:tc>
        <w:tc>
          <w:tcPr>
            <w:tcW w:w="5491" w:type="dxa"/>
            <w:vAlign w:val="center"/>
          </w:tcPr>
          <w:p w14:paraId="07ED09B0">
            <w:pPr>
              <w:rPr>
                <w:szCs w:val="21"/>
              </w:rPr>
            </w:pPr>
            <w:r>
              <w:rPr>
                <w:szCs w:val="21"/>
              </w:rPr>
              <w:t>符合竞争性谈判文件规定</w:t>
            </w:r>
          </w:p>
          <w:p w14:paraId="2B99503F">
            <w:pPr>
              <w:rPr>
                <w:szCs w:val="21"/>
                <w:lang w:val="fr-FR"/>
              </w:rPr>
            </w:pPr>
            <w:r>
              <w:rPr>
                <w:szCs w:val="21"/>
                <w:lang w:val="fr-FR"/>
              </w:rPr>
              <w:t>Conformément aux dispositions du document de négociation concurrentielle</w:t>
            </w:r>
          </w:p>
        </w:tc>
      </w:tr>
      <w:tr w14:paraId="75F997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35" w:type="dxa"/>
            <w:vMerge w:val="continue"/>
            <w:vAlign w:val="center"/>
          </w:tcPr>
          <w:p w14:paraId="5C9C2404">
            <w:pPr>
              <w:jc w:val="center"/>
              <w:rPr>
                <w:szCs w:val="21"/>
                <w:lang w:val="fr-FR"/>
              </w:rPr>
            </w:pPr>
          </w:p>
        </w:tc>
        <w:tc>
          <w:tcPr>
            <w:tcW w:w="1340" w:type="dxa"/>
            <w:vMerge w:val="continue"/>
            <w:vAlign w:val="center"/>
          </w:tcPr>
          <w:p w14:paraId="6D1E9F91">
            <w:pPr>
              <w:jc w:val="center"/>
              <w:rPr>
                <w:szCs w:val="21"/>
                <w:lang w:val="fr-FR"/>
              </w:rPr>
            </w:pPr>
          </w:p>
        </w:tc>
        <w:tc>
          <w:tcPr>
            <w:tcW w:w="1734" w:type="dxa"/>
            <w:vAlign w:val="center"/>
          </w:tcPr>
          <w:p w14:paraId="4ADC7004">
            <w:pPr>
              <w:jc w:val="center"/>
              <w:rPr>
                <w:szCs w:val="21"/>
              </w:rPr>
            </w:pPr>
            <w:r>
              <w:rPr>
                <w:szCs w:val="21"/>
              </w:rPr>
              <w:t>响应内容</w:t>
            </w:r>
          </w:p>
          <w:p w14:paraId="05C22A7D">
            <w:pPr>
              <w:jc w:val="center"/>
              <w:rPr>
                <w:szCs w:val="21"/>
              </w:rPr>
            </w:pPr>
            <w:r>
              <w:rPr>
                <w:szCs w:val="21"/>
              </w:rPr>
              <w:t>Contenu de la réponse</w:t>
            </w:r>
          </w:p>
        </w:tc>
        <w:tc>
          <w:tcPr>
            <w:tcW w:w="5491" w:type="dxa"/>
            <w:vAlign w:val="center"/>
          </w:tcPr>
          <w:p w14:paraId="04E4B982">
            <w:pPr>
              <w:jc w:val="left"/>
              <w:rPr>
                <w:szCs w:val="21"/>
              </w:rPr>
            </w:pPr>
            <w:r>
              <w:rPr>
                <w:szCs w:val="21"/>
              </w:rPr>
              <w:t>符合第一章“响应人须知”第1.3项规定</w:t>
            </w:r>
          </w:p>
          <w:p w14:paraId="55AD5743">
            <w:pPr>
              <w:jc w:val="left"/>
              <w:rPr>
                <w:szCs w:val="21"/>
                <w:lang w:val="fr-FR"/>
              </w:rPr>
            </w:pPr>
            <w:r>
              <w:rPr>
                <w:szCs w:val="21"/>
                <w:lang w:val="fr-FR"/>
              </w:rPr>
              <w:t>Doit répondre aux critères définis dans la section 1.3 du chapitre I , Instructions pour les soumissionnaires.</w:t>
            </w:r>
          </w:p>
        </w:tc>
      </w:tr>
      <w:tr w14:paraId="05C417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35" w:type="dxa"/>
            <w:vMerge w:val="continue"/>
            <w:vAlign w:val="center"/>
          </w:tcPr>
          <w:p w14:paraId="03370F5B">
            <w:pPr>
              <w:jc w:val="center"/>
              <w:rPr>
                <w:szCs w:val="21"/>
                <w:lang w:val="fr-FR"/>
              </w:rPr>
            </w:pPr>
          </w:p>
        </w:tc>
        <w:tc>
          <w:tcPr>
            <w:tcW w:w="1340" w:type="dxa"/>
            <w:vMerge w:val="continue"/>
            <w:vAlign w:val="center"/>
          </w:tcPr>
          <w:p w14:paraId="7254CC87">
            <w:pPr>
              <w:jc w:val="center"/>
              <w:rPr>
                <w:szCs w:val="21"/>
                <w:lang w:val="fr-FR"/>
              </w:rPr>
            </w:pPr>
          </w:p>
        </w:tc>
        <w:tc>
          <w:tcPr>
            <w:tcW w:w="1734" w:type="dxa"/>
            <w:vAlign w:val="center"/>
          </w:tcPr>
          <w:p w14:paraId="3A375945">
            <w:pPr>
              <w:adjustRightInd w:val="0"/>
              <w:snapToGrid w:val="0"/>
              <w:jc w:val="center"/>
              <w:rPr>
                <w:szCs w:val="21"/>
              </w:rPr>
            </w:pPr>
            <w:r>
              <w:rPr>
                <w:szCs w:val="21"/>
              </w:rPr>
              <w:t>服务期限</w:t>
            </w:r>
          </w:p>
          <w:p w14:paraId="78689124">
            <w:pPr>
              <w:adjustRightInd w:val="0"/>
              <w:snapToGrid w:val="0"/>
              <w:jc w:val="center"/>
              <w:rPr>
                <w:szCs w:val="21"/>
              </w:rPr>
            </w:pPr>
            <w:r>
              <w:rPr>
                <w:szCs w:val="21"/>
              </w:rPr>
              <w:t>Durée du service</w:t>
            </w:r>
          </w:p>
        </w:tc>
        <w:tc>
          <w:tcPr>
            <w:tcW w:w="5491" w:type="dxa"/>
            <w:vAlign w:val="center"/>
          </w:tcPr>
          <w:p w14:paraId="5E95138D">
            <w:pPr>
              <w:jc w:val="left"/>
              <w:rPr>
                <w:szCs w:val="21"/>
              </w:rPr>
            </w:pPr>
            <w:r>
              <w:rPr>
                <w:szCs w:val="21"/>
              </w:rPr>
              <w:t>符合第一章“响应人须知”第1.4项规定</w:t>
            </w:r>
          </w:p>
          <w:p w14:paraId="181C03A2">
            <w:pPr>
              <w:jc w:val="left"/>
              <w:rPr>
                <w:szCs w:val="21"/>
                <w:lang w:val="fr-FR"/>
              </w:rPr>
            </w:pPr>
            <w:r>
              <w:rPr>
                <w:szCs w:val="21"/>
                <w:lang w:val="fr-FR"/>
              </w:rPr>
              <w:t>Doit répondre aux critères définis dans la section 1.4 du chapitre I , Instructions pour les soumissionnaires.</w:t>
            </w:r>
          </w:p>
        </w:tc>
      </w:tr>
      <w:tr w14:paraId="4BBFE6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35" w:type="dxa"/>
            <w:vMerge w:val="continue"/>
            <w:vAlign w:val="center"/>
          </w:tcPr>
          <w:p w14:paraId="4EC82A74">
            <w:pPr>
              <w:jc w:val="center"/>
              <w:rPr>
                <w:szCs w:val="21"/>
                <w:lang w:val="fr-FR"/>
              </w:rPr>
            </w:pPr>
          </w:p>
        </w:tc>
        <w:tc>
          <w:tcPr>
            <w:tcW w:w="1340" w:type="dxa"/>
            <w:vMerge w:val="continue"/>
            <w:vAlign w:val="center"/>
          </w:tcPr>
          <w:p w14:paraId="701180C0">
            <w:pPr>
              <w:jc w:val="center"/>
              <w:rPr>
                <w:szCs w:val="21"/>
                <w:lang w:val="fr-FR"/>
              </w:rPr>
            </w:pPr>
          </w:p>
        </w:tc>
        <w:tc>
          <w:tcPr>
            <w:tcW w:w="1734" w:type="dxa"/>
            <w:vAlign w:val="center"/>
          </w:tcPr>
          <w:p w14:paraId="6A853311">
            <w:pPr>
              <w:adjustRightInd w:val="0"/>
              <w:snapToGrid w:val="0"/>
              <w:jc w:val="center"/>
              <w:rPr>
                <w:szCs w:val="21"/>
              </w:rPr>
            </w:pPr>
            <w:r>
              <w:rPr>
                <w:szCs w:val="21"/>
              </w:rPr>
              <w:t>质量标准</w:t>
            </w:r>
          </w:p>
          <w:p w14:paraId="130513FB">
            <w:pPr>
              <w:adjustRightInd w:val="0"/>
              <w:snapToGrid w:val="0"/>
              <w:jc w:val="center"/>
              <w:rPr>
                <w:szCs w:val="21"/>
              </w:rPr>
            </w:pPr>
            <w:r>
              <w:rPr>
                <w:szCs w:val="21"/>
              </w:rPr>
              <w:t>Normes de qualité</w:t>
            </w:r>
          </w:p>
        </w:tc>
        <w:tc>
          <w:tcPr>
            <w:tcW w:w="5491" w:type="dxa"/>
            <w:vAlign w:val="center"/>
          </w:tcPr>
          <w:p w14:paraId="44DC40E0">
            <w:pPr>
              <w:jc w:val="left"/>
              <w:rPr>
                <w:szCs w:val="21"/>
              </w:rPr>
            </w:pPr>
            <w:r>
              <w:rPr>
                <w:szCs w:val="21"/>
              </w:rPr>
              <w:t>符合第一章“响应人须知”第1.5项规定</w:t>
            </w:r>
          </w:p>
          <w:p w14:paraId="50B1B029">
            <w:pPr>
              <w:ind w:left="210" w:hanging="210" w:hangingChars="100"/>
              <w:jc w:val="left"/>
              <w:rPr>
                <w:szCs w:val="21"/>
                <w:lang w:val="fr-FR"/>
              </w:rPr>
            </w:pPr>
            <w:r>
              <w:rPr>
                <w:szCs w:val="21"/>
                <w:lang w:val="fr-FR"/>
              </w:rPr>
              <w:t>Doit répondre aux critères définis dans la section 1.5 du chapitre I , Instructions pour les soumissionnaires.</w:t>
            </w:r>
          </w:p>
        </w:tc>
      </w:tr>
      <w:tr w14:paraId="0D5018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35" w:type="dxa"/>
            <w:vMerge w:val="continue"/>
            <w:vAlign w:val="center"/>
          </w:tcPr>
          <w:p w14:paraId="1BEBE2D8">
            <w:pPr>
              <w:rPr>
                <w:szCs w:val="21"/>
                <w:lang w:val="fr-FR"/>
              </w:rPr>
            </w:pPr>
          </w:p>
        </w:tc>
        <w:tc>
          <w:tcPr>
            <w:tcW w:w="1340" w:type="dxa"/>
            <w:vMerge w:val="continue"/>
            <w:vAlign w:val="center"/>
          </w:tcPr>
          <w:p w14:paraId="436A390F">
            <w:pPr>
              <w:rPr>
                <w:szCs w:val="21"/>
                <w:lang w:val="fr-FR"/>
              </w:rPr>
            </w:pPr>
          </w:p>
        </w:tc>
        <w:tc>
          <w:tcPr>
            <w:tcW w:w="1734" w:type="dxa"/>
            <w:vAlign w:val="center"/>
          </w:tcPr>
          <w:p w14:paraId="5D1BBDF4">
            <w:pPr>
              <w:jc w:val="center"/>
              <w:rPr>
                <w:szCs w:val="21"/>
              </w:rPr>
            </w:pPr>
            <w:r>
              <w:rPr>
                <w:szCs w:val="21"/>
              </w:rPr>
              <w:t>报价有效期</w:t>
            </w:r>
          </w:p>
          <w:p w14:paraId="0C531AC0">
            <w:pPr>
              <w:jc w:val="center"/>
              <w:rPr>
                <w:szCs w:val="21"/>
              </w:rPr>
            </w:pPr>
            <w:r>
              <w:rPr>
                <w:szCs w:val="21"/>
              </w:rPr>
              <w:t>Durée de validité de l'offre</w:t>
            </w:r>
          </w:p>
        </w:tc>
        <w:tc>
          <w:tcPr>
            <w:tcW w:w="5491" w:type="dxa"/>
            <w:vAlign w:val="center"/>
          </w:tcPr>
          <w:p w14:paraId="6B35FACF">
            <w:pPr>
              <w:rPr>
                <w:szCs w:val="21"/>
              </w:rPr>
            </w:pPr>
            <w:r>
              <w:rPr>
                <w:szCs w:val="21"/>
              </w:rPr>
              <w:t>符合第一章“响应人须知”规定</w:t>
            </w:r>
          </w:p>
          <w:p w14:paraId="10E3C6D8">
            <w:pPr>
              <w:rPr>
                <w:szCs w:val="21"/>
                <w:lang w:val="fr-FR"/>
              </w:rPr>
            </w:pPr>
            <w:r>
              <w:rPr>
                <w:szCs w:val="21"/>
                <w:lang w:val="fr-FR"/>
              </w:rPr>
              <w:t>Doit répondre aux critères définis dans le chapitre I , Instructions pour les soumissionnaires.</w:t>
            </w:r>
          </w:p>
        </w:tc>
      </w:tr>
      <w:tr w14:paraId="34D5DC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35" w:type="dxa"/>
            <w:vMerge w:val="continue"/>
            <w:vAlign w:val="center"/>
          </w:tcPr>
          <w:p w14:paraId="54D50DA6">
            <w:pPr>
              <w:rPr>
                <w:szCs w:val="21"/>
                <w:lang w:val="fr-FR"/>
              </w:rPr>
            </w:pPr>
          </w:p>
        </w:tc>
        <w:tc>
          <w:tcPr>
            <w:tcW w:w="1340" w:type="dxa"/>
            <w:vMerge w:val="continue"/>
            <w:vAlign w:val="center"/>
          </w:tcPr>
          <w:p w14:paraId="0C797F96">
            <w:pPr>
              <w:rPr>
                <w:szCs w:val="21"/>
                <w:lang w:val="fr-FR"/>
              </w:rPr>
            </w:pPr>
          </w:p>
        </w:tc>
        <w:tc>
          <w:tcPr>
            <w:tcW w:w="1734" w:type="dxa"/>
            <w:vAlign w:val="center"/>
          </w:tcPr>
          <w:p w14:paraId="2C204EA6">
            <w:pPr>
              <w:adjustRightInd w:val="0"/>
              <w:snapToGrid w:val="0"/>
              <w:jc w:val="center"/>
              <w:rPr>
                <w:szCs w:val="21"/>
              </w:rPr>
            </w:pPr>
            <w:r>
              <w:rPr>
                <w:szCs w:val="21"/>
              </w:rPr>
              <w:t>人员要求</w:t>
            </w:r>
          </w:p>
          <w:p w14:paraId="6E75EFC6">
            <w:pPr>
              <w:adjustRightInd w:val="0"/>
              <w:snapToGrid w:val="0"/>
              <w:jc w:val="center"/>
              <w:rPr>
                <w:szCs w:val="21"/>
              </w:rPr>
            </w:pPr>
            <w:r>
              <w:rPr>
                <w:szCs w:val="21"/>
              </w:rPr>
              <w:t>Exigences en matière de personnel</w:t>
            </w:r>
          </w:p>
        </w:tc>
        <w:tc>
          <w:tcPr>
            <w:tcW w:w="5491" w:type="dxa"/>
            <w:vAlign w:val="center"/>
          </w:tcPr>
          <w:p w14:paraId="3D7C64FC">
            <w:pPr>
              <w:rPr>
                <w:szCs w:val="21"/>
              </w:rPr>
            </w:pPr>
            <w:r>
              <w:rPr>
                <w:szCs w:val="21"/>
              </w:rPr>
              <w:t>符合第二章“委托人要求”规定</w:t>
            </w:r>
          </w:p>
          <w:p w14:paraId="683ADA4E">
            <w:pPr>
              <w:rPr>
                <w:szCs w:val="21"/>
                <w:lang w:val="fr-FR"/>
              </w:rPr>
            </w:pPr>
            <w:r>
              <w:rPr>
                <w:szCs w:val="21"/>
                <w:lang w:val="fr-FR"/>
              </w:rPr>
              <w:t>Doit répondre aux critères définis dans le Chapitre II, Exigences du mandant pour plus de détails.</w:t>
            </w:r>
          </w:p>
        </w:tc>
      </w:tr>
      <w:tr w14:paraId="4F6EA1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935" w:type="dxa"/>
            <w:vMerge w:val="continue"/>
            <w:vAlign w:val="center"/>
          </w:tcPr>
          <w:p w14:paraId="0B77C449">
            <w:pPr>
              <w:rPr>
                <w:szCs w:val="21"/>
                <w:lang w:val="fr-FR"/>
              </w:rPr>
            </w:pPr>
          </w:p>
        </w:tc>
        <w:tc>
          <w:tcPr>
            <w:tcW w:w="1340" w:type="dxa"/>
            <w:vMerge w:val="continue"/>
            <w:vAlign w:val="center"/>
          </w:tcPr>
          <w:p w14:paraId="0CB1CC16">
            <w:pPr>
              <w:rPr>
                <w:szCs w:val="21"/>
                <w:lang w:val="fr-FR"/>
              </w:rPr>
            </w:pPr>
          </w:p>
        </w:tc>
        <w:tc>
          <w:tcPr>
            <w:tcW w:w="1734" w:type="dxa"/>
            <w:vAlign w:val="center"/>
          </w:tcPr>
          <w:p w14:paraId="1BEF17E0">
            <w:pPr>
              <w:jc w:val="center"/>
              <w:rPr>
                <w:color w:val="000000"/>
                <w:szCs w:val="21"/>
              </w:rPr>
            </w:pPr>
            <w:r>
              <w:rPr>
                <w:color w:val="000000"/>
                <w:szCs w:val="21"/>
              </w:rPr>
              <w:t>服务所需设备、材料或所需检测仪器设备</w:t>
            </w:r>
          </w:p>
          <w:p w14:paraId="3E73A279">
            <w:pPr>
              <w:jc w:val="center"/>
              <w:rPr>
                <w:color w:val="000000"/>
                <w:szCs w:val="21"/>
                <w:lang w:val="fr-FR"/>
              </w:rPr>
            </w:pPr>
            <w:r>
              <w:rPr>
                <w:color w:val="000000"/>
                <w:szCs w:val="21"/>
                <w:lang w:val="fr-FR"/>
              </w:rPr>
              <w:t>Équipements, matériaux ou instruments de test nécessaires pour le service</w:t>
            </w:r>
          </w:p>
        </w:tc>
        <w:tc>
          <w:tcPr>
            <w:tcW w:w="5491" w:type="dxa"/>
            <w:vAlign w:val="center"/>
          </w:tcPr>
          <w:p w14:paraId="752CDB56">
            <w:pPr>
              <w:rPr>
                <w:szCs w:val="21"/>
              </w:rPr>
            </w:pPr>
            <w:r>
              <w:rPr>
                <w:szCs w:val="21"/>
              </w:rPr>
              <w:t>符合第二章“委托人要求”规定</w:t>
            </w:r>
          </w:p>
          <w:p w14:paraId="54E77B36">
            <w:pPr>
              <w:rPr>
                <w:szCs w:val="21"/>
                <w:lang w:val="fr-FR"/>
              </w:rPr>
            </w:pPr>
            <w:r>
              <w:rPr>
                <w:szCs w:val="21"/>
                <w:lang w:val="fr-FR"/>
              </w:rPr>
              <w:t>Doit répondre aux critères définis dans le Chapitre II, Exigences du mandant pour plus de détails.</w:t>
            </w:r>
          </w:p>
        </w:tc>
      </w:tr>
      <w:tr w14:paraId="5640F4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35" w:type="dxa"/>
            <w:vMerge w:val="continue"/>
            <w:vAlign w:val="center"/>
          </w:tcPr>
          <w:p w14:paraId="6247F796">
            <w:pPr>
              <w:rPr>
                <w:szCs w:val="21"/>
                <w:lang w:val="fr-FR"/>
              </w:rPr>
            </w:pPr>
          </w:p>
        </w:tc>
        <w:tc>
          <w:tcPr>
            <w:tcW w:w="1340" w:type="dxa"/>
            <w:vMerge w:val="continue"/>
            <w:vAlign w:val="center"/>
          </w:tcPr>
          <w:p w14:paraId="7DF22F8C">
            <w:pPr>
              <w:rPr>
                <w:szCs w:val="21"/>
                <w:lang w:val="fr-FR"/>
              </w:rPr>
            </w:pPr>
          </w:p>
        </w:tc>
        <w:tc>
          <w:tcPr>
            <w:tcW w:w="1734" w:type="dxa"/>
            <w:vAlign w:val="center"/>
          </w:tcPr>
          <w:p w14:paraId="4F1709F1">
            <w:pPr>
              <w:jc w:val="center"/>
              <w:rPr>
                <w:szCs w:val="21"/>
              </w:rPr>
            </w:pPr>
            <w:r>
              <w:rPr>
                <w:szCs w:val="21"/>
              </w:rPr>
              <w:t>权利义务</w:t>
            </w:r>
          </w:p>
          <w:p w14:paraId="41E53499">
            <w:pPr>
              <w:jc w:val="center"/>
              <w:rPr>
                <w:szCs w:val="21"/>
              </w:rPr>
            </w:pPr>
            <w:r>
              <w:rPr>
                <w:szCs w:val="21"/>
              </w:rPr>
              <w:t>Droits et obligations</w:t>
            </w:r>
          </w:p>
        </w:tc>
        <w:tc>
          <w:tcPr>
            <w:tcW w:w="5491" w:type="dxa"/>
            <w:vAlign w:val="center"/>
          </w:tcPr>
          <w:p w14:paraId="111FA774">
            <w:pPr>
              <w:adjustRightInd w:val="0"/>
              <w:snapToGrid w:val="0"/>
              <w:rPr>
                <w:szCs w:val="21"/>
              </w:rPr>
            </w:pPr>
            <w:r>
              <w:rPr>
                <w:szCs w:val="21"/>
              </w:rPr>
              <w:t>符合第三章“合同条款”规定</w:t>
            </w:r>
          </w:p>
          <w:p w14:paraId="0667C6C4">
            <w:pPr>
              <w:adjustRightInd w:val="0"/>
              <w:snapToGrid w:val="0"/>
              <w:rPr>
                <w:szCs w:val="21"/>
                <w:lang w:val="fr-FR"/>
              </w:rPr>
            </w:pPr>
            <w:r>
              <w:rPr>
                <w:szCs w:val="21"/>
                <w:lang w:val="fr-FR"/>
              </w:rPr>
              <w:t>Doit répondre aux critères définis dans le Chapitre III,clauses du contrat</w:t>
            </w:r>
          </w:p>
        </w:tc>
      </w:tr>
      <w:tr w14:paraId="667FD3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35" w:type="dxa"/>
            <w:vMerge w:val="continue"/>
            <w:vAlign w:val="center"/>
          </w:tcPr>
          <w:p w14:paraId="14EF59F7">
            <w:pPr>
              <w:rPr>
                <w:szCs w:val="21"/>
                <w:lang w:val="fr-FR"/>
              </w:rPr>
            </w:pPr>
          </w:p>
        </w:tc>
        <w:tc>
          <w:tcPr>
            <w:tcW w:w="1340" w:type="dxa"/>
            <w:vMerge w:val="continue"/>
            <w:vAlign w:val="center"/>
          </w:tcPr>
          <w:p w14:paraId="3D5B1F50">
            <w:pPr>
              <w:rPr>
                <w:szCs w:val="21"/>
                <w:lang w:val="fr-FR"/>
              </w:rPr>
            </w:pPr>
          </w:p>
        </w:tc>
        <w:tc>
          <w:tcPr>
            <w:tcW w:w="1734" w:type="dxa"/>
            <w:vAlign w:val="center"/>
          </w:tcPr>
          <w:p w14:paraId="6BCD1DF2">
            <w:pPr>
              <w:jc w:val="center"/>
              <w:rPr>
                <w:szCs w:val="21"/>
              </w:rPr>
            </w:pPr>
            <w:r>
              <w:rPr>
                <w:szCs w:val="21"/>
              </w:rPr>
              <w:t>服务大纲</w:t>
            </w:r>
          </w:p>
          <w:p w14:paraId="3702BD9B">
            <w:pPr>
              <w:jc w:val="center"/>
              <w:rPr>
                <w:szCs w:val="21"/>
              </w:rPr>
            </w:pPr>
            <w:r>
              <w:rPr>
                <w:szCs w:val="21"/>
              </w:rPr>
              <w:t>Plan de service</w:t>
            </w:r>
          </w:p>
        </w:tc>
        <w:tc>
          <w:tcPr>
            <w:tcW w:w="5491" w:type="dxa"/>
            <w:vAlign w:val="center"/>
          </w:tcPr>
          <w:p w14:paraId="7F30C456">
            <w:pPr>
              <w:adjustRightInd w:val="0"/>
              <w:snapToGrid w:val="0"/>
              <w:rPr>
                <w:szCs w:val="21"/>
              </w:rPr>
            </w:pPr>
            <w:r>
              <w:rPr>
                <w:szCs w:val="21"/>
              </w:rPr>
              <w:t>符合第二章“委托人要求”中的实质性要求和条件</w:t>
            </w:r>
          </w:p>
          <w:p w14:paraId="0CE92011">
            <w:pPr>
              <w:adjustRightInd w:val="0"/>
              <w:snapToGrid w:val="0"/>
              <w:rPr>
                <w:szCs w:val="21"/>
                <w:lang w:val="fr-FR"/>
              </w:rPr>
            </w:pPr>
            <w:r>
              <w:rPr>
                <w:szCs w:val="21"/>
                <w:lang w:val="fr-FR"/>
              </w:rPr>
              <w:t>Doit répondre aux exigences et conditions de base du Chapitre II, Exigences du mandant pour plus de détails.</w:t>
            </w:r>
          </w:p>
        </w:tc>
      </w:tr>
      <w:tr w14:paraId="32FBC9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35" w:type="dxa"/>
            <w:vMerge w:val="continue"/>
            <w:vAlign w:val="center"/>
          </w:tcPr>
          <w:p w14:paraId="50DC708C">
            <w:pPr>
              <w:rPr>
                <w:szCs w:val="21"/>
                <w:lang w:val="fr-FR"/>
              </w:rPr>
            </w:pPr>
          </w:p>
        </w:tc>
        <w:tc>
          <w:tcPr>
            <w:tcW w:w="1340" w:type="dxa"/>
            <w:vMerge w:val="continue"/>
            <w:vAlign w:val="center"/>
          </w:tcPr>
          <w:p w14:paraId="33D69BED">
            <w:pPr>
              <w:rPr>
                <w:szCs w:val="21"/>
                <w:lang w:val="fr-FR"/>
              </w:rPr>
            </w:pPr>
          </w:p>
        </w:tc>
        <w:tc>
          <w:tcPr>
            <w:tcW w:w="1734" w:type="dxa"/>
            <w:vAlign w:val="center"/>
          </w:tcPr>
          <w:p w14:paraId="4B28B09C">
            <w:pPr>
              <w:jc w:val="center"/>
              <w:rPr>
                <w:szCs w:val="21"/>
              </w:rPr>
            </w:pPr>
            <w:r>
              <w:rPr>
                <w:szCs w:val="21"/>
              </w:rPr>
              <w:t>……</w:t>
            </w:r>
          </w:p>
        </w:tc>
        <w:tc>
          <w:tcPr>
            <w:tcW w:w="5491" w:type="dxa"/>
            <w:vAlign w:val="center"/>
          </w:tcPr>
          <w:p w14:paraId="730C1E85">
            <w:pPr>
              <w:jc w:val="center"/>
              <w:rPr>
                <w:szCs w:val="21"/>
              </w:rPr>
            </w:pPr>
            <w:r>
              <w:rPr>
                <w:szCs w:val="21"/>
              </w:rPr>
              <w:t>……</w:t>
            </w:r>
          </w:p>
        </w:tc>
      </w:tr>
    </w:tbl>
    <w:p w14:paraId="007F7661">
      <w:pPr>
        <w:sectPr>
          <w:footerReference r:id="rId7" w:type="default"/>
          <w:pgSz w:w="11906" w:h="16838"/>
          <w:pgMar w:top="1417" w:right="1134" w:bottom="1134" w:left="1417" w:header="851" w:footer="850" w:gutter="0"/>
          <w:cols w:space="720" w:num="1"/>
          <w:titlePg/>
          <w:docGrid w:linePitch="312" w:charSpace="0"/>
        </w:sectPr>
      </w:pPr>
      <w:bookmarkStart w:id="52" w:name="_Toc5963"/>
      <w:bookmarkStart w:id="53" w:name="_Toc26309"/>
    </w:p>
    <w:bookmarkEnd w:id="52"/>
    <w:bookmarkEnd w:id="53"/>
    <w:p w14:paraId="34ED0775">
      <w:pPr>
        <w:pStyle w:val="2"/>
        <w:numPr>
          <w:ilvl w:val="0"/>
          <w:numId w:val="5"/>
        </w:numPr>
        <w:adjustRightInd w:val="0"/>
        <w:snapToGrid w:val="0"/>
        <w:spacing w:before="0" w:after="0" w:line="360" w:lineRule="auto"/>
        <w:jc w:val="center"/>
        <w:rPr>
          <w:sz w:val="28"/>
          <w:szCs w:val="28"/>
        </w:rPr>
      </w:pPr>
      <w:bookmarkStart w:id="54" w:name="_Toc22692"/>
      <w:bookmarkStart w:id="55" w:name="_Toc24556"/>
      <w:r>
        <w:rPr>
          <w:sz w:val="28"/>
          <w:szCs w:val="28"/>
        </w:rPr>
        <w:t>委托人要求</w:t>
      </w:r>
      <w:bookmarkEnd w:id="54"/>
      <w:bookmarkEnd w:id="55"/>
    </w:p>
    <w:p w14:paraId="0443F165">
      <w:pPr>
        <w:pStyle w:val="2"/>
        <w:adjustRightInd w:val="0"/>
        <w:snapToGrid w:val="0"/>
        <w:spacing w:before="0" w:after="0" w:line="360" w:lineRule="auto"/>
        <w:ind w:firstLine="3514" w:firstLineChars="1250"/>
        <w:rPr>
          <w:sz w:val="28"/>
          <w:szCs w:val="28"/>
        </w:rPr>
      </w:pPr>
      <w:r>
        <w:rPr>
          <w:sz w:val="28"/>
          <w:szCs w:val="28"/>
        </w:rPr>
        <w:t>Exigences du mandant</w:t>
      </w:r>
    </w:p>
    <w:p w14:paraId="3D905F29">
      <w:pPr>
        <w:spacing w:line="360" w:lineRule="auto"/>
        <w:rPr>
          <w:szCs w:val="22"/>
          <w:lang w:val="fr-FR"/>
        </w:rPr>
      </w:pPr>
      <w:bookmarkStart w:id="56" w:name="_Toc482188637"/>
      <w:bookmarkStart w:id="57" w:name="_Toc6584790"/>
      <w:bookmarkStart w:id="58" w:name="_Toc5738295"/>
      <w:bookmarkStart w:id="59" w:name="_Toc107567059"/>
      <w:r>
        <w:rPr>
          <w:bCs/>
          <w:szCs w:val="21"/>
        </w:rPr>
        <w:t>一、服务要求</w:t>
      </w:r>
      <w:bookmarkEnd w:id="56"/>
      <w:bookmarkEnd w:id="57"/>
      <w:bookmarkEnd w:id="58"/>
      <w:bookmarkEnd w:id="59"/>
      <w:r>
        <w:rPr>
          <w:bCs/>
          <w:szCs w:val="21"/>
        </w:rPr>
        <w:t xml:space="preserve"> </w:t>
      </w:r>
      <w:r>
        <w:rPr>
          <w:szCs w:val="22"/>
          <w:lang w:val="fr-FR"/>
        </w:rPr>
        <w:t>Exigences du service</w:t>
      </w:r>
    </w:p>
    <w:p w14:paraId="669F7136">
      <w:pPr>
        <w:adjustRightInd w:val="0"/>
        <w:snapToGrid w:val="0"/>
        <w:spacing w:line="360" w:lineRule="auto"/>
        <w:rPr>
          <w:szCs w:val="22"/>
          <w:lang w:val="fr-FR"/>
        </w:rPr>
      </w:pPr>
      <w:r>
        <w:t>1. 项目概况</w:t>
      </w:r>
      <w:r>
        <w:rPr>
          <w:szCs w:val="22"/>
          <w:lang w:val="fr-FR"/>
        </w:rPr>
        <w:t>Aperçu du projet</w:t>
      </w:r>
    </w:p>
    <w:p w14:paraId="0DC70787">
      <w:pPr>
        <w:adjustRightInd w:val="0"/>
        <w:snapToGrid w:val="0"/>
        <w:spacing w:line="360" w:lineRule="auto"/>
        <w:ind w:firstLine="420" w:firstLineChars="200"/>
        <w:rPr>
          <w:lang w:val="fr-FR"/>
        </w:rPr>
      </w:pPr>
      <w:r>
        <w:rPr>
          <w:szCs w:val="21"/>
        </w:rPr>
        <w:t>56#矿体位于泰利梅莱，56#矿体至维嘉港口运输距离约150公里</w:t>
      </w:r>
      <w:r>
        <w:rPr>
          <w:rFonts w:hint="eastAsia"/>
          <w:szCs w:val="21"/>
          <w:lang w:eastAsia="zh-CN"/>
        </w:rPr>
        <w:t>，</w:t>
      </w:r>
      <w:r>
        <w:rPr>
          <w:rFonts w:hint="eastAsia"/>
          <w:szCs w:val="21"/>
          <w:lang w:val="en-US" w:eastAsia="zh-CN"/>
        </w:rPr>
        <w:t>南矿区位于拉拉法耶，南矿区至维嘉港口运输距离约80公里</w:t>
      </w:r>
      <w:r>
        <w:rPr>
          <w:szCs w:val="21"/>
        </w:rPr>
        <w:t>。</w:t>
      </w:r>
    </w:p>
    <w:p w14:paraId="27787087">
      <w:pPr>
        <w:pStyle w:val="20"/>
        <w:spacing w:line="360" w:lineRule="auto"/>
        <w:ind w:firstLine="420" w:firstLineChars="200"/>
        <w:jc w:val="both"/>
        <w:rPr>
          <w:rFonts w:hint="default" w:eastAsia="宋体"/>
          <w:sz w:val="21"/>
          <w:szCs w:val="22"/>
          <w:lang w:val="en-US" w:eastAsia="zh-CN"/>
        </w:rPr>
      </w:pPr>
      <w:r>
        <w:rPr>
          <w:sz w:val="21"/>
          <w:szCs w:val="22"/>
          <w:lang w:val="fr-FR"/>
        </w:rPr>
        <w:t>Le gisement 56# se trouve à Télimélé. La distance de transport entre le gisement du segment 56# et le port Verga est d'environ 150 kilomètres.</w:t>
      </w:r>
      <w:r>
        <w:rPr>
          <w:rFonts w:hint="eastAsia"/>
          <w:sz w:val="21"/>
          <w:szCs w:val="22"/>
          <w:lang w:val="en-US" w:eastAsia="zh-CN"/>
        </w:rPr>
        <w:t xml:space="preserve"> La section minière sud </w:t>
      </w:r>
      <w:r>
        <w:rPr>
          <w:sz w:val="21"/>
          <w:szCs w:val="22"/>
          <w:lang w:val="fr-FR"/>
        </w:rPr>
        <w:t>à</w:t>
      </w:r>
      <w:r>
        <w:rPr>
          <w:rFonts w:hint="eastAsia"/>
          <w:sz w:val="21"/>
          <w:szCs w:val="22"/>
          <w:lang w:val="en-US" w:eastAsia="zh-CN"/>
        </w:rPr>
        <w:t xml:space="preserve"> Lalafanye. </w:t>
      </w:r>
      <w:r>
        <w:rPr>
          <w:sz w:val="21"/>
          <w:szCs w:val="22"/>
          <w:lang w:val="fr-FR"/>
        </w:rPr>
        <w:t>La distance de transport entre l</w:t>
      </w:r>
      <w:r>
        <w:rPr>
          <w:rFonts w:hint="eastAsia"/>
          <w:sz w:val="21"/>
          <w:szCs w:val="22"/>
          <w:lang w:val="en-US" w:eastAsia="zh-CN"/>
        </w:rPr>
        <w:t>a section minière sud</w:t>
      </w:r>
      <w:r>
        <w:rPr>
          <w:sz w:val="21"/>
          <w:szCs w:val="22"/>
          <w:lang w:val="fr-FR"/>
        </w:rPr>
        <w:t xml:space="preserve"> et le port Verga est d'environ </w:t>
      </w:r>
      <w:r>
        <w:rPr>
          <w:rFonts w:hint="eastAsia"/>
          <w:sz w:val="21"/>
          <w:szCs w:val="22"/>
          <w:lang w:val="en-US" w:eastAsia="zh-CN"/>
        </w:rPr>
        <w:t>8</w:t>
      </w:r>
      <w:r>
        <w:rPr>
          <w:sz w:val="21"/>
          <w:szCs w:val="22"/>
          <w:lang w:val="fr-FR"/>
        </w:rPr>
        <w:t>0 kilomètres.</w:t>
      </w:r>
    </w:p>
    <w:p w14:paraId="5281C482">
      <w:pPr>
        <w:numPr>
          <w:ilvl w:val="0"/>
          <w:numId w:val="6"/>
        </w:numPr>
        <w:adjustRightInd w:val="0"/>
        <w:snapToGrid w:val="0"/>
        <w:spacing w:line="360" w:lineRule="auto"/>
      </w:pPr>
      <w:r>
        <w:t>服务范围及内容</w:t>
      </w:r>
      <w:r>
        <w:rPr>
          <w:szCs w:val="22"/>
          <w:lang w:val="fr-FR"/>
        </w:rPr>
        <w:t>Portée et contenu du service</w:t>
      </w:r>
    </w:p>
    <w:p w14:paraId="575C846B">
      <w:pPr>
        <w:adjustRightInd w:val="0"/>
        <w:snapToGrid w:val="0"/>
        <w:spacing w:line="360" w:lineRule="auto"/>
        <w:ind w:firstLine="420" w:firstLineChars="200"/>
        <w:rPr>
          <w:szCs w:val="21"/>
        </w:rPr>
      </w:pPr>
      <w:r>
        <w:t>2.1运输承包商将铝土矿</w:t>
      </w:r>
      <w:r>
        <w:rPr>
          <w:rFonts w:hint="eastAsia"/>
        </w:rPr>
        <w:t>自56#矿体运输至维嘉港口或自南矿段运输至维嘉港口，其中，56#矿体至维嘉港口距离约150公里，南矿段至维嘉港口距离约80公里。</w:t>
      </w:r>
      <w:r>
        <w:rPr>
          <w:szCs w:val="21"/>
        </w:rPr>
        <w:t>；</w:t>
      </w:r>
    </w:p>
    <w:p w14:paraId="1350EADE">
      <w:pPr>
        <w:pStyle w:val="20"/>
        <w:spacing w:line="360" w:lineRule="auto"/>
        <w:ind w:firstLine="420" w:firstLineChars="200"/>
        <w:jc w:val="both"/>
        <w:rPr>
          <w:sz w:val="21"/>
          <w:szCs w:val="22"/>
          <w:lang w:val="fr-FR"/>
        </w:rPr>
      </w:pPr>
      <w:r>
        <w:rPr>
          <w:sz w:val="21"/>
          <w:lang w:val="fr-FR"/>
        </w:rPr>
        <w:t xml:space="preserve">2.1 </w:t>
      </w:r>
      <w:r>
        <w:rPr>
          <w:sz w:val="21"/>
          <w:szCs w:val="22"/>
          <w:lang w:val="fr-FR"/>
        </w:rPr>
        <w:t xml:space="preserve">Le transporteur transportera la bauxite </w:t>
      </w:r>
      <w:r>
        <w:rPr>
          <w:rFonts w:hint="eastAsia"/>
          <w:sz w:val="21"/>
          <w:szCs w:val="22"/>
          <w:lang w:val="fr-FR"/>
        </w:rPr>
        <w:t>du gisement n°56 au Port de Verga ou de la section minière sud au Port de Verga. Parmi ces trajets, la distance entre le gisement n°56 et le Port de Verga est d'environ 150 kilomètres, tandis que celle entre la section minière sud et le Port de Verga s'établit à environ 80 kilomètres</w:t>
      </w:r>
      <w:r>
        <w:rPr>
          <w:sz w:val="21"/>
          <w:szCs w:val="22"/>
          <w:lang w:val="fr-FR"/>
        </w:rPr>
        <w:t>.</w:t>
      </w:r>
    </w:p>
    <w:p w14:paraId="55B1E3B3">
      <w:pPr>
        <w:numPr>
          <w:ilvl w:val="0"/>
          <w:numId w:val="0"/>
        </w:numPr>
        <w:adjustRightInd w:val="0"/>
        <w:snapToGrid w:val="0"/>
        <w:spacing w:line="360" w:lineRule="auto"/>
      </w:pPr>
      <w:r>
        <w:rPr>
          <w:rFonts w:hint="eastAsia" w:cs="Times New Roman"/>
          <w:kern w:val="2"/>
          <w:sz w:val="21"/>
          <w:lang w:val="en-US" w:eastAsia="zh-CN" w:bidi="ar-SA"/>
        </w:rPr>
        <w:t>3</w:t>
      </w:r>
      <w:r>
        <w:rPr>
          <w:rFonts w:ascii="Times New Roman" w:hAnsi="Times New Roman" w:eastAsia="宋体" w:cs="Times New Roman"/>
          <w:kern w:val="2"/>
          <w:sz w:val="21"/>
          <w:lang w:val="en-US" w:eastAsia="zh-CN" w:bidi="ar-SA"/>
        </w:rPr>
        <w:t>.</w:t>
      </w:r>
      <w:r>
        <w:t>服务要求</w:t>
      </w:r>
      <w:r>
        <w:rPr>
          <w:szCs w:val="22"/>
          <w:lang w:val="fr-FR"/>
        </w:rPr>
        <w:t>E</w:t>
      </w:r>
      <w:r>
        <w:rPr>
          <w:szCs w:val="22"/>
        </w:rPr>
        <w:t>xigences de service</w:t>
      </w:r>
    </w:p>
    <w:p w14:paraId="3A1F92B8">
      <w:pPr>
        <w:adjustRightInd w:val="0"/>
        <w:snapToGrid w:val="0"/>
        <w:spacing w:line="360" w:lineRule="auto"/>
        <w:ind w:firstLine="420" w:firstLineChars="200"/>
        <w:rPr>
          <w:rFonts w:hint="eastAsia"/>
          <w:lang w:eastAsia="zh-CN"/>
        </w:rPr>
      </w:pPr>
      <w:r>
        <w:t>总负责人：项目服务机构设总负责人1人</w:t>
      </w:r>
      <w:r>
        <w:rPr>
          <w:rFonts w:hint="eastAsia"/>
          <w:lang w:eastAsia="zh-CN"/>
        </w:rPr>
        <w:t>。</w:t>
      </w:r>
    </w:p>
    <w:p w14:paraId="5608B154">
      <w:pPr>
        <w:pStyle w:val="20"/>
        <w:spacing w:line="360" w:lineRule="auto"/>
        <w:ind w:firstLine="420" w:firstLineChars="200"/>
        <w:jc w:val="both"/>
        <w:rPr>
          <w:sz w:val="21"/>
          <w:szCs w:val="22"/>
          <w:lang w:val="fr-FR"/>
        </w:rPr>
      </w:pPr>
      <w:r>
        <w:rPr>
          <w:sz w:val="21"/>
          <w:szCs w:val="22"/>
          <w:lang w:val="fr-FR"/>
        </w:rPr>
        <w:t>Le responsable principal : l'organisation de services de projet doit avoir un responsable principal .</w:t>
      </w:r>
    </w:p>
    <w:p w14:paraId="7B3AF5AC">
      <w:pPr>
        <w:spacing w:line="360" w:lineRule="auto"/>
        <w:ind w:firstLine="420" w:firstLineChars="200"/>
        <w:rPr>
          <w:color w:val="auto"/>
          <w:highlight w:val="none"/>
        </w:rPr>
      </w:pPr>
      <w:r>
        <w:rPr>
          <w:color w:val="auto"/>
          <w:highlight w:val="none"/>
        </w:rPr>
        <w:t>项目服务机构</w:t>
      </w:r>
      <w:r>
        <w:rPr>
          <w:rFonts w:hint="eastAsia"/>
          <w:color w:val="auto"/>
          <w:szCs w:val="21"/>
          <w:highlight w:val="none"/>
          <w:lang w:val="en-US" w:eastAsia="zh-CN"/>
        </w:rPr>
        <w:t>必须取得地矿部及交通部要求的道路运输经营许可、带有增值税号的税务登记证、商业登记证、国家社会保障基金证明、经营许可证（证明公司被授权实际从事运输活动的法律文件）等合规证书，经采购人确认后方可予以运输</w:t>
      </w:r>
      <w:r>
        <w:rPr>
          <w:color w:val="auto"/>
          <w:highlight w:val="none"/>
        </w:rPr>
        <w:t>。</w:t>
      </w:r>
    </w:p>
    <w:p w14:paraId="2BF487DD">
      <w:pPr>
        <w:spacing w:line="360" w:lineRule="auto"/>
        <w:ind w:firstLine="420" w:firstLineChars="200"/>
        <w:rPr>
          <w:lang w:val="fr-FR"/>
        </w:rPr>
      </w:pPr>
      <w:r>
        <w:rPr>
          <w:rFonts w:hint="eastAsia"/>
          <w:lang w:val="fr-FR"/>
        </w:rPr>
        <w:t>Les prestataires de services du projet doivent obtenir la licence transport routier, le certificat d’enregistrement fiscal</w:t>
      </w:r>
      <w:r>
        <w:rPr>
          <w:rFonts w:hint="eastAsia"/>
          <w:lang w:val="en-US" w:eastAsia="zh-CN"/>
        </w:rPr>
        <w:t xml:space="preserve"> (NIF)</w:t>
      </w:r>
      <w:r>
        <w:rPr>
          <w:rFonts w:hint="eastAsia"/>
          <w:lang w:val="fr-FR"/>
        </w:rPr>
        <w:t xml:space="preserve"> avec numéro de TVA, le certificat d’immatriculation au registre du commerce</w:t>
      </w:r>
      <w:r>
        <w:rPr>
          <w:rFonts w:hint="eastAsia"/>
          <w:lang w:val="en-US" w:eastAsia="zh-CN"/>
        </w:rPr>
        <w:t xml:space="preserve"> (RCCM)</w:t>
      </w:r>
      <w:r>
        <w:rPr>
          <w:rFonts w:hint="eastAsia"/>
          <w:lang w:val="fr-FR"/>
        </w:rPr>
        <w:t>, l’attestation CNSS,</w:t>
      </w:r>
      <w:r>
        <w:rPr>
          <w:rFonts w:hint="eastAsia"/>
          <w:lang w:val="en-US" w:eastAsia="zh-CN"/>
        </w:rPr>
        <w:t xml:space="preserve"> la licence d’exploitation (document juridique que la société est autorisée à exercer réellement l’activité de transport)</w:t>
      </w:r>
      <w:r>
        <w:rPr>
          <w:rFonts w:hint="eastAsia"/>
          <w:lang w:val="fr-FR"/>
        </w:rPr>
        <w:t xml:space="preserve"> ainsi que d’autres certificats de conformité</w:t>
      </w:r>
      <w:r>
        <w:rPr>
          <w:rFonts w:hint="eastAsia"/>
          <w:lang w:val="en-US" w:eastAsia="zh-CN"/>
        </w:rPr>
        <w:t xml:space="preserve"> </w:t>
      </w:r>
      <w:r>
        <w:rPr>
          <w:rFonts w:hint="eastAsia"/>
          <w:lang w:val="fr-FR"/>
        </w:rPr>
        <w:t>exigée</w:t>
      </w:r>
      <w:r>
        <w:rPr>
          <w:rFonts w:hint="eastAsia"/>
          <w:lang w:val="en-US" w:eastAsia="zh-CN"/>
        </w:rPr>
        <w:t>s</w:t>
      </w:r>
      <w:r>
        <w:rPr>
          <w:rFonts w:hint="eastAsia"/>
          <w:lang w:val="fr-FR"/>
        </w:rPr>
        <w:t xml:space="preserve"> par le ministère des Mines et de la Géologie</w:t>
      </w:r>
      <w:r>
        <w:rPr>
          <w:rFonts w:hint="eastAsia"/>
          <w:lang w:val="en-US" w:eastAsia="zh-CN"/>
        </w:rPr>
        <w:t xml:space="preserve"> </w:t>
      </w:r>
      <w:r>
        <w:rPr>
          <w:rFonts w:hint="eastAsia"/>
          <w:lang w:val="fr-FR"/>
        </w:rPr>
        <w:t>ainsi que par le ministère des Transports. Ce n’est qu’après validation par l’acheteur que le transport pourra être effectué.</w:t>
      </w:r>
    </w:p>
    <w:p w14:paraId="2687C992">
      <w:pPr>
        <w:adjustRightInd w:val="0"/>
        <w:snapToGrid w:val="0"/>
        <w:spacing w:line="360" w:lineRule="auto"/>
        <w:ind w:firstLine="420" w:firstLineChars="200"/>
      </w:pPr>
      <w:r>
        <w:t>其他主要人员要求：服务机构人员的配备应专业对口，并保证各专业均有足够的数量，且人员年龄结构合理，工作经验丰富，</w:t>
      </w:r>
      <w:r>
        <w:rPr>
          <w:rFonts w:hint="eastAsia"/>
          <w:highlight w:val="none"/>
        </w:rPr>
        <w:t>需提供员工劳动合同、员工体检证明</w:t>
      </w:r>
      <w:r>
        <w:rPr>
          <w:rFonts w:hint="eastAsia"/>
          <w:highlight w:val="none"/>
          <w:lang w:eastAsia="zh-CN"/>
        </w:rPr>
        <w:t>，</w:t>
      </w:r>
      <w:r>
        <w:t>驾驶人员必须持证上岗，有相似工作经历。</w:t>
      </w:r>
    </w:p>
    <w:p w14:paraId="424CA8A7">
      <w:pPr>
        <w:pStyle w:val="20"/>
        <w:spacing w:line="360" w:lineRule="auto"/>
        <w:ind w:firstLine="420" w:firstLineChars="200"/>
        <w:jc w:val="both"/>
        <w:rPr>
          <w:sz w:val="21"/>
          <w:szCs w:val="22"/>
          <w:lang w:val="fr-FR"/>
        </w:rPr>
      </w:pPr>
      <w:r>
        <w:rPr>
          <w:sz w:val="21"/>
          <w:szCs w:val="22"/>
          <w:lang w:val="fr-FR"/>
        </w:rPr>
        <w:t>Exigences relatives aux autres personnels principaux : Le personnel de l'organisme de service doit être spécialisé dans le domaine correspondant et garantir un nombre suffisant de professionnels dans chaque spécialité. De plus, la structure par âge du personnel doit être raisonnable, l'expérience professionnelle doit être riche</w:t>
      </w:r>
      <w:r>
        <w:rPr>
          <w:rFonts w:hint="eastAsia"/>
          <w:sz w:val="21"/>
          <w:szCs w:val="22"/>
          <w:lang w:val="en-US" w:eastAsia="zh-CN"/>
        </w:rPr>
        <w:t>. Les contrats de travail du personnel et les certificats médicaux doivent être fournis. L</w:t>
      </w:r>
      <w:r>
        <w:rPr>
          <w:sz w:val="21"/>
          <w:szCs w:val="22"/>
          <w:lang w:val="fr-FR"/>
        </w:rPr>
        <w:t>es chauffeurs doivent être titulaires d'une licence et avoir une expérience de travail similaire.</w:t>
      </w:r>
    </w:p>
    <w:p w14:paraId="11EED481">
      <w:pPr>
        <w:adjustRightInd w:val="0"/>
        <w:snapToGrid w:val="0"/>
        <w:spacing w:line="360" w:lineRule="auto"/>
        <w:ind w:firstLine="420" w:firstLineChars="200"/>
      </w:pPr>
      <w:r>
        <w:t>应配备至少一名安全专职管理人员。</w:t>
      </w:r>
    </w:p>
    <w:p w14:paraId="125B176E">
      <w:pPr>
        <w:pStyle w:val="20"/>
        <w:spacing w:line="360" w:lineRule="auto"/>
        <w:ind w:firstLine="420" w:firstLineChars="200"/>
        <w:jc w:val="both"/>
        <w:rPr>
          <w:sz w:val="21"/>
          <w:szCs w:val="22"/>
          <w:lang w:val="fr-FR"/>
        </w:rPr>
      </w:pPr>
      <w:r>
        <w:rPr>
          <w:sz w:val="21"/>
          <w:szCs w:val="22"/>
          <w:lang w:val="fr-FR"/>
        </w:rPr>
        <w:t>Il doit y avoir au moins un responsable de la sécurité à temps plein.</w:t>
      </w:r>
    </w:p>
    <w:p w14:paraId="4B9EA423">
      <w:pPr>
        <w:adjustRightInd w:val="0"/>
        <w:snapToGrid w:val="0"/>
        <w:spacing w:line="360" w:lineRule="auto"/>
        <w:rPr>
          <w:lang w:val="fr-FR"/>
        </w:rPr>
      </w:pPr>
      <w:r>
        <w:rPr>
          <w:rFonts w:hint="eastAsia"/>
          <w:lang w:val="en-US" w:eastAsia="zh-CN"/>
        </w:rPr>
        <w:t>4</w:t>
      </w:r>
      <w:r>
        <w:rPr>
          <w:lang w:val="fr-FR"/>
        </w:rPr>
        <w:t>.</w:t>
      </w:r>
      <w:r>
        <w:t>服务所需的设备材料和试验检测仪器设备要求</w:t>
      </w:r>
      <w:r>
        <w:rPr>
          <w:lang w:val="fr-FR"/>
        </w:rPr>
        <w:t>Exigences en matière d'équipements et de matériaux, ainsi que d'instruments et d'équipements d'essai et d'inspection requis pour le service</w:t>
      </w:r>
    </w:p>
    <w:p w14:paraId="200BB001">
      <w:pPr>
        <w:spacing w:line="360" w:lineRule="auto"/>
        <w:ind w:firstLine="420" w:firstLineChars="200"/>
        <w:rPr>
          <w:szCs w:val="21"/>
        </w:rPr>
      </w:pPr>
      <w:bookmarkStart w:id="60" w:name="_Toc107567060"/>
      <w:bookmarkStart w:id="61" w:name="_Toc5738296"/>
      <w:bookmarkStart w:id="62" w:name="_Toc482188638"/>
      <w:bookmarkStart w:id="63" w:name="_Toc6584791"/>
      <w:r>
        <w:rPr>
          <w:szCs w:val="21"/>
        </w:rPr>
        <w:t>运输车辆具有</w:t>
      </w:r>
      <w:r>
        <w:rPr>
          <w:rFonts w:hint="eastAsia"/>
          <w:szCs w:val="21"/>
          <w:highlight w:val="none"/>
          <w:lang w:val="en-US" w:eastAsia="zh-CN"/>
        </w:rPr>
        <w:t>运输许可证件、车辆营运证、车辆年检证明、车辆印花税、交强险等</w:t>
      </w:r>
      <w:r>
        <w:rPr>
          <w:szCs w:val="21"/>
        </w:rPr>
        <w:t>合法有效手续证照，</w:t>
      </w:r>
      <w:r>
        <w:rPr>
          <w:rFonts w:hint="eastAsia"/>
          <w:szCs w:val="21"/>
        </w:rPr>
        <w:t>严格遵守几内亚相关法律法规，全面符合几内亚政府关于道路运输的各项运营要求，确保车辆运营合法合规、安全有序</w:t>
      </w:r>
      <w:r>
        <w:rPr>
          <w:szCs w:val="21"/>
        </w:rPr>
        <w:t>。</w:t>
      </w:r>
    </w:p>
    <w:p w14:paraId="7B6BCF4E">
      <w:pPr>
        <w:spacing w:line="360" w:lineRule="auto"/>
        <w:ind w:firstLine="420" w:firstLineChars="200"/>
        <w:rPr>
          <w:szCs w:val="21"/>
          <w:lang w:val="fr-FR"/>
        </w:rPr>
      </w:pPr>
      <w:r>
        <w:rPr>
          <w:szCs w:val="21"/>
          <w:lang w:val="fr-FR"/>
        </w:rPr>
        <w:t xml:space="preserve">Les véhicules de transport disposent </w:t>
      </w:r>
      <w:r>
        <w:rPr>
          <w:rFonts w:hint="eastAsia"/>
          <w:szCs w:val="21"/>
          <w:lang w:val="fr-FR"/>
        </w:rPr>
        <w:t>disposer d</w:t>
      </w:r>
      <w:r>
        <w:rPr>
          <w:rFonts w:hint="default"/>
          <w:szCs w:val="21"/>
          <w:lang w:val="en-US" w:eastAsia="zh-CN"/>
        </w:rPr>
        <w:t>’</w:t>
      </w:r>
      <w:r>
        <w:rPr>
          <w:rFonts w:hint="eastAsia"/>
          <w:szCs w:val="21"/>
          <w:lang w:val="en-US" w:eastAsia="zh-CN"/>
        </w:rPr>
        <w:t>autorisation</w:t>
      </w:r>
      <w:r>
        <w:rPr>
          <w:rFonts w:hint="eastAsia"/>
          <w:szCs w:val="21"/>
          <w:lang w:val="fr-FR"/>
        </w:rPr>
        <w:t xml:space="preserve"> de transport, de </w:t>
      </w:r>
      <w:r>
        <w:rPr>
          <w:rFonts w:hint="eastAsia"/>
          <w:szCs w:val="21"/>
          <w:lang w:val="en-US" w:eastAsia="zh-CN"/>
        </w:rPr>
        <w:t>c</w:t>
      </w:r>
      <w:r>
        <w:rPr>
          <w:rFonts w:hint="eastAsia"/>
          <w:szCs w:val="21"/>
          <w:lang w:val="fr-FR"/>
        </w:rPr>
        <w:t xml:space="preserve">arte de </w:t>
      </w:r>
      <w:r>
        <w:rPr>
          <w:rFonts w:hint="eastAsia"/>
          <w:szCs w:val="21"/>
          <w:lang w:val="en-US" w:eastAsia="zh-CN"/>
        </w:rPr>
        <w:t>c</w:t>
      </w:r>
      <w:r>
        <w:rPr>
          <w:rFonts w:hint="eastAsia"/>
          <w:szCs w:val="21"/>
          <w:lang w:val="fr-FR"/>
        </w:rPr>
        <w:t xml:space="preserve">irculation </w:t>
      </w:r>
      <w:r>
        <w:rPr>
          <w:rFonts w:hint="eastAsia"/>
          <w:szCs w:val="21"/>
          <w:lang w:val="en-US" w:eastAsia="zh-CN"/>
        </w:rPr>
        <w:t>c</w:t>
      </w:r>
      <w:r>
        <w:rPr>
          <w:rFonts w:hint="eastAsia"/>
          <w:szCs w:val="21"/>
          <w:lang w:val="fr-FR"/>
        </w:rPr>
        <w:t xml:space="preserve">ommerciale, de </w:t>
      </w:r>
      <w:r>
        <w:rPr>
          <w:rFonts w:hint="eastAsia"/>
          <w:szCs w:val="21"/>
          <w:lang w:val="en-US" w:eastAsia="zh-CN"/>
        </w:rPr>
        <w:t>c</w:t>
      </w:r>
      <w:r>
        <w:rPr>
          <w:rFonts w:hint="eastAsia"/>
          <w:szCs w:val="21"/>
          <w:lang w:val="fr-FR"/>
        </w:rPr>
        <w:t xml:space="preserve">ontrôle </w:t>
      </w:r>
      <w:r>
        <w:rPr>
          <w:rFonts w:hint="eastAsia"/>
          <w:szCs w:val="21"/>
          <w:lang w:val="en-US" w:eastAsia="zh-CN"/>
        </w:rPr>
        <w:t>t</w:t>
      </w:r>
      <w:r>
        <w:rPr>
          <w:rFonts w:hint="eastAsia"/>
          <w:szCs w:val="21"/>
          <w:lang w:val="fr-FR"/>
        </w:rPr>
        <w:t xml:space="preserve">echnique / </w:t>
      </w:r>
      <w:r>
        <w:rPr>
          <w:rFonts w:hint="eastAsia"/>
          <w:szCs w:val="21"/>
          <w:lang w:val="en-US" w:eastAsia="zh-CN"/>
        </w:rPr>
        <w:t>v</w:t>
      </w:r>
      <w:r>
        <w:rPr>
          <w:rFonts w:hint="eastAsia"/>
          <w:szCs w:val="21"/>
          <w:lang w:val="fr-FR"/>
        </w:rPr>
        <w:t xml:space="preserve">isite </w:t>
      </w:r>
      <w:r>
        <w:rPr>
          <w:rFonts w:hint="eastAsia"/>
          <w:szCs w:val="21"/>
          <w:lang w:val="en-US" w:eastAsia="zh-CN"/>
        </w:rPr>
        <w:t>t</w:t>
      </w:r>
      <w:r>
        <w:rPr>
          <w:rFonts w:hint="eastAsia"/>
          <w:szCs w:val="21"/>
          <w:lang w:val="fr-FR"/>
        </w:rPr>
        <w:t xml:space="preserve">echnique, de </w:t>
      </w:r>
      <w:r>
        <w:rPr>
          <w:rFonts w:hint="eastAsia"/>
          <w:szCs w:val="21"/>
          <w:lang w:val="en-US" w:eastAsia="zh-CN"/>
        </w:rPr>
        <w:t>v</w:t>
      </w:r>
      <w:r>
        <w:rPr>
          <w:rFonts w:hint="eastAsia"/>
          <w:szCs w:val="21"/>
          <w:lang w:val="fr-FR"/>
        </w:rPr>
        <w:t>ignette ou taxe de circulation, d</w:t>
      </w:r>
      <w:r>
        <w:rPr>
          <w:rFonts w:hint="default"/>
          <w:szCs w:val="21"/>
          <w:lang w:val="en-US" w:eastAsia="zh-CN"/>
        </w:rPr>
        <w:t>’</w:t>
      </w:r>
      <w:r>
        <w:rPr>
          <w:rFonts w:hint="eastAsia"/>
          <w:szCs w:val="21"/>
          <w:lang w:val="fr-FR"/>
        </w:rPr>
        <w:t>assurance obligatoire, ainsi que de toutes autres pièces et certificats légaux et valides.</w:t>
      </w:r>
      <w:r>
        <w:rPr>
          <w:rFonts w:hint="eastAsia"/>
          <w:szCs w:val="21"/>
          <w:lang w:val="en-US" w:eastAsia="zh-CN"/>
        </w:rPr>
        <w:t>,</w:t>
      </w:r>
      <w:r>
        <w:rPr>
          <w:szCs w:val="21"/>
          <w:lang w:val="fr-FR"/>
        </w:rPr>
        <w:t xml:space="preserve"> </w:t>
      </w:r>
      <w:r>
        <w:rPr>
          <w:rFonts w:hint="eastAsia"/>
          <w:szCs w:val="21"/>
          <w:lang w:val="fr-FR"/>
        </w:rPr>
        <w:t>respecte</w:t>
      </w:r>
      <w:r>
        <w:rPr>
          <w:rFonts w:hint="eastAsia"/>
          <w:szCs w:val="21"/>
          <w:lang w:val="en-US" w:eastAsia="zh-CN"/>
        </w:rPr>
        <w:t>nt</w:t>
      </w:r>
      <w:r>
        <w:rPr>
          <w:rFonts w:hint="eastAsia"/>
          <w:szCs w:val="21"/>
          <w:lang w:val="fr-FR"/>
        </w:rPr>
        <w:t xml:space="preserve"> strictement les lois et règlements pertinents de la Guinée </w:t>
      </w:r>
      <w:r>
        <w:rPr>
          <w:rFonts w:hint="eastAsia"/>
          <w:szCs w:val="21"/>
          <w:lang w:val="en-US" w:eastAsia="zh-CN"/>
        </w:rPr>
        <w:t xml:space="preserve">et sont </w:t>
      </w:r>
      <w:r>
        <w:rPr>
          <w:rFonts w:hint="eastAsia"/>
          <w:szCs w:val="21"/>
          <w:lang w:val="fr-FR"/>
        </w:rPr>
        <w:t xml:space="preserve">pleinement conformes à toutes les exigences opérationnelles du gouvernement guinéen en matière de transport routier, garantissant une exploitation légale, conforme et en bon ordre des véhicules </w:t>
      </w:r>
      <w:r>
        <w:rPr>
          <w:szCs w:val="21"/>
          <w:lang w:val="fr-FR"/>
        </w:rPr>
        <w:t>.</w:t>
      </w:r>
    </w:p>
    <w:p w14:paraId="71FCE555">
      <w:pPr>
        <w:spacing w:line="360" w:lineRule="auto"/>
        <w:ind w:firstLine="420" w:firstLineChars="200"/>
        <w:rPr>
          <w:szCs w:val="21"/>
        </w:rPr>
      </w:pPr>
      <w:r>
        <w:rPr>
          <w:szCs w:val="21"/>
        </w:rPr>
        <w:t>使用自卸车，</w:t>
      </w:r>
      <w:r>
        <w:rPr>
          <w:rFonts w:hint="eastAsia"/>
          <w:szCs w:val="21"/>
        </w:rPr>
        <w:t>安装车载GPS装置</w:t>
      </w:r>
      <w:r>
        <w:rPr>
          <w:rFonts w:hint="eastAsia"/>
          <w:szCs w:val="21"/>
          <w:lang w:eastAsia="zh-CN"/>
        </w:rPr>
        <w:t>（</w:t>
      </w:r>
      <w:r>
        <w:rPr>
          <w:rFonts w:hint="eastAsia"/>
          <w:szCs w:val="21"/>
          <w:lang w:val="en-US" w:eastAsia="zh-CN"/>
        </w:rPr>
        <w:t>采购人</w:t>
      </w:r>
      <w:r>
        <w:rPr>
          <w:rFonts w:hint="eastAsia"/>
          <w:szCs w:val="21"/>
        </w:rPr>
        <w:t>购买设备）</w:t>
      </w:r>
      <w:r>
        <w:rPr>
          <w:szCs w:val="21"/>
        </w:rPr>
        <w:t>、声光报警器、随车灭火器等安全附件，保证车辆性能良好。</w:t>
      </w:r>
    </w:p>
    <w:p w14:paraId="0DF6F3C7">
      <w:pPr>
        <w:spacing w:line="360" w:lineRule="auto"/>
        <w:ind w:firstLine="420" w:firstLineChars="200"/>
        <w:rPr>
          <w:szCs w:val="21"/>
          <w:lang w:val="fr-FR"/>
        </w:rPr>
      </w:pPr>
      <w:r>
        <w:rPr>
          <w:szCs w:val="21"/>
          <w:lang w:val="fr-FR"/>
        </w:rPr>
        <w:t>L'utilisation les camions-benne,</w:t>
      </w:r>
      <w:r>
        <w:rPr>
          <w:rFonts w:hint="eastAsia"/>
          <w:szCs w:val="21"/>
          <w:lang w:val="en-US" w:eastAsia="zh-CN"/>
        </w:rPr>
        <w:t xml:space="preserve"> équipés de dispositifs GPS embarqués (les dispositifs sont achetés par l</w:t>
      </w:r>
      <w:r>
        <w:rPr>
          <w:rFonts w:hint="default"/>
          <w:szCs w:val="21"/>
          <w:lang w:val="en-US" w:eastAsia="zh-CN"/>
        </w:rPr>
        <w:t>’</w:t>
      </w:r>
      <w:r>
        <w:rPr>
          <w:rFonts w:hint="eastAsia"/>
          <w:szCs w:val="21"/>
          <w:lang w:val="en-US" w:eastAsia="zh-CN"/>
        </w:rPr>
        <w:t>acheteur)</w:t>
      </w:r>
      <w:r>
        <w:rPr>
          <w:szCs w:val="21"/>
          <w:lang w:val="fr-FR"/>
        </w:rPr>
        <w:t xml:space="preserve"> d'alarmes sonores et lumineuses, d'extincteurs et d'autres accessoires de sécurité, afin de garantir le bon fonctionnement du camion.</w:t>
      </w:r>
    </w:p>
    <w:p w14:paraId="16E142D1">
      <w:pPr>
        <w:spacing w:line="360" w:lineRule="auto"/>
        <w:ind w:firstLine="420" w:firstLineChars="200"/>
        <w:rPr>
          <w:rFonts w:hint="eastAsia"/>
          <w:szCs w:val="21"/>
          <w:lang w:val="fr-FR"/>
        </w:rPr>
      </w:pPr>
      <w:r>
        <w:rPr>
          <w:rFonts w:hint="eastAsia"/>
          <w:szCs w:val="21"/>
          <w:lang w:val="fr-FR"/>
        </w:rPr>
        <w:t>要保证车载GPS正常运行，因</w:t>
      </w:r>
      <w:r>
        <w:rPr>
          <w:rFonts w:hint="eastAsia"/>
          <w:szCs w:val="21"/>
          <w:lang w:val="en-US" w:eastAsia="zh-CN"/>
        </w:rPr>
        <w:t>响应人</w:t>
      </w:r>
      <w:r>
        <w:rPr>
          <w:rFonts w:hint="eastAsia"/>
          <w:szCs w:val="21"/>
          <w:lang w:val="fr-FR"/>
        </w:rPr>
        <w:t>原因（如欠费或者卡损坏等）导致不能正常使用的，考核50美元/次；故意损坏的，考核100美元/个。</w:t>
      </w:r>
    </w:p>
    <w:p w14:paraId="56EE9E9F">
      <w:pPr>
        <w:spacing w:line="360" w:lineRule="auto"/>
        <w:ind w:firstLine="420" w:firstLineChars="200"/>
        <w:rPr>
          <w:szCs w:val="21"/>
          <w:lang w:val="fr-FR"/>
        </w:rPr>
      </w:pPr>
      <w:r>
        <w:rPr>
          <w:rFonts w:hint="eastAsia"/>
          <w:szCs w:val="21"/>
          <w:lang w:val="en-US" w:eastAsia="zh-CN"/>
        </w:rPr>
        <w:t>G</w:t>
      </w:r>
      <w:r>
        <w:rPr>
          <w:rFonts w:hint="eastAsia"/>
          <w:szCs w:val="21"/>
          <w:lang w:val="fr-FR"/>
        </w:rPr>
        <w:t>aranti</w:t>
      </w:r>
      <w:r>
        <w:rPr>
          <w:rFonts w:hint="eastAsia"/>
          <w:szCs w:val="21"/>
          <w:lang w:val="en-US" w:eastAsia="zh-CN"/>
        </w:rPr>
        <w:t>e</w:t>
      </w:r>
      <w:r>
        <w:rPr>
          <w:rFonts w:hint="eastAsia"/>
          <w:szCs w:val="21"/>
          <w:lang w:val="fr-FR"/>
        </w:rPr>
        <w:t xml:space="preserve"> </w:t>
      </w:r>
      <w:r>
        <w:rPr>
          <w:rFonts w:hint="eastAsia"/>
          <w:szCs w:val="21"/>
          <w:lang w:val="en-US" w:eastAsia="zh-CN"/>
        </w:rPr>
        <w:t>du</w:t>
      </w:r>
      <w:r>
        <w:rPr>
          <w:rFonts w:hint="eastAsia"/>
          <w:szCs w:val="21"/>
          <w:lang w:val="fr-FR"/>
        </w:rPr>
        <w:t xml:space="preserve"> fonctionnement normal des équipements GPS embarqués. Si ceux-ci ne fonctionnent pas normalement du fait du </w:t>
      </w:r>
      <w:r>
        <w:rPr>
          <w:rFonts w:hint="eastAsia"/>
          <w:szCs w:val="21"/>
          <w:lang w:val="en-US" w:eastAsia="zh-CN"/>
        </w:rPr>
        <w:t>soumissionnaire</w:t>
      </w:r>
      <w:r>
        <w:rPr>
          <w:rFonts w:hint="eastAsia"/>
          <w:szCs w:val="21"/>
          <w:lang w:val="fr-FR"/>
        </w:rPr>
        <w:t xml:space="preserve"> (tels que non-paiement des frais, dommage de la carte, etc.), une sanction de 50 dollars par occurrence sera appliquée ; en cas de dommage volontaire, la sanction sera de 100 dollars par appareil.</w:t>
      </w:r>
    </w:p>
    <w:p w14:paraId="55F2E38C">
      <w:pPr>
        <w:pStyle w:val="20"/>
        <w:rPr>
          <w:lang w:val="fr-FR"/>
        </w:rPr>
      </w:pPr>
    </w:p>
    <w:p w14:paraId="62104BEC">
      <w:pPr>
        <w:spacing w:line="360" w:lineRule="auto"/>
        <w:jc w:val="left"/>
        <w:rPr>
          <w:szCs w:val="21"/>
          <w:lang w:val="fr-FR"/>
        </w:rPr>
      </w:pPr>
      <w:r>
        <w:rPr>
          <w:szCs w:val="21"/>
        </w:rPr>
        <w:t>二、服务技术标准</w:t>
      </w:r>
      <w:bookmarkEnd w:id="60"/>
      <w:bookmarkEnd w:id="61"/>
      <w:bookmarkEnd w:id="62"/>
      <w:bookmarkEnd w:id="63"/>
      <w:r>
        <w:rPr>
          <w:szCs w:val="21"/>
        </w:rPr>
        <w:t>和要求</w:t>
      </w:r>
      <w:r>
        <w:rPr>
          <w:szCs w:val="21"/>
          <w:lang w:val="fr-FR"/>
        </w:rPr>
        <w:t>Normes et exigences techniques du service</w:t>
      </w:r>
    </w:p>
    <w:p w14:paraId="34CC4235">
      <w:pPr>
        <w:spacing w:line="360" w:lineRule="auto"/>
        <w:ind w:firstLine="420" w:firstLineChars="200"/>
        <w:rPr>
          <w:rFonts w:hint="default" w:eastAsia="宋体"/>
          <w:szCs w:val="21"/>
          <w:highlight w:val="none"/>
          <w:lang w:val="en-US" w:eastAsia="zh-CN"/>
        </w:rPr>
      </w:pPr>
      <w:bookmarkStart w:id="64" w:name="_Toc482188639"/>
      <w:r>
        <w:rPr>
          <w:szCs w:val="21"/>
          <w:lang w:val="fr-FR"/>
        </w:rPr>
        <w:t>1.</w:t>
      </w:r>
      <w:r>
        <w:rPr>
          <w:szCs w:val="21"/>
        </w:rPr>
        <w:t>拥有铝土矿运输服务能力</w:t>
      </w:r>
      <w:r>
        <w:rPr>
          <w:szCs w:val="21"/>
          <w:lang w:val="fr-FR"/>
        </w:rPr>
        <w:t>，</w:t>
      </w:r>
      <w:r>
        <w:rPr>
          <w:szCs w:val="21"/>
        </w:rPr>
        <w:t>运输车辆数在</w:t>
      </w:r>
      <w:r>
        <w:rPr>
          <w:rFonts w:hint="eastAsia"/>
          <w:szCs w:val="21"/>
          <w:highlight w:val="none"/>
          <w:lang w:val="en-US" w:eastAsia="zh-CN"/>
        </w:rPr>
        <w:t>规定时间内</w:t>
      </w:r>
      <w:r>
        <w:rPr>
          <w:szCs w:val="21"/>
          <w:highlight w:val="none"/>
        </w:rPr>
        <w:t>保证</w:t>
      </w:r>
      <w:r>
        <w:rPr>
          <w:rFonts w:hint="eastAsia"/>
          <w:szCs w:val="21"/>
          <w:highlight w:val="none"/>
          <w:lang w:val="en-US" w:eastAsia="zh-CN"/>
        </w:rPr>
        <w:t>在采购人投入</w:t>
      </w:r>
      <w:r>
        <w:rPr>
          <w:rFonts w:hint="eastAsia"/>
          <w:szCs w:val="21"/>
          <w:highlight w:val="none"/>
          <w:u w:val="single"/>
          <w:lang w:val="en-US" w:eastAsia="zh-CN"/>
        </w:rPr>
        <w:t>50</w:t>
      </w:r>
      <w:r>
        <w:rPr>
          <w:szCs w:val="21"/>
          <w:highlight w:val="none"/>
        </w:rPr>
        <w:t>辆以上</w:t>
      </w:r>
      <w:r>
        <w:rPr>
          <w:rFonts w:hint="eastAsia"/>
          <w:szCs w:val="21"/>
          <w:highlight w:val="none"/>
          <w:lang w:eastAsia="zh-CN"/>
        </w:rPr>
        <w:t>（</w:t>
      </w:r>
      <w:r>
        <w:rPr>
          <w:rFonts w:hint="eastAsia"/>
          <w:szCs w:val="21"/>
          <w:highlight w:val="none"/>
          <w:lang w:val="en-US" w:eastAsia="zh-CN"/>
        </w:rPr>
        <w:t>提供现有或订货证明</w:t>
      </w:r>
      <w:r>
        <w:rPr>
          <w:rFonts w:hint="eastAsia"/>
          <w:szCs w:val="21"/>
          <w:highlight w:val="none"/>
          <w:lang w:eastAsia="zh-CN"/>
        </w:rPr>
        <w:t>），</w:t>
      </w:r>
      <w:r>
        <w:rPr>
          <w:rFonts w:hint="eastAsia"/>
          <w:szCs w:val="21"/>
          <w:highlight w:val="none"/>
          <w:lang w:val="en-US" w:eastAsia="zh-CN"/>
        </w:rPr>
        <w:t>必须具备去56号矿体运输能力。</w:t>
      </w:r>
    </w:p>
    <w:p w14:paraId="20326FC6">
      <w:pPr>
        <w:pStyle w:val="20"/>
        <w:ind w:firstLine="525" w:firstLineChars="250"/>
        <w:rPr>
          <w:sz w:val="21"/>
          <w:szCs w:val="21"/>
          <w:lang w:val="fr-FR"/>
        </w:rPr>
      </w:pPr>
      <w:r>
        <w:rPr>
          <w:sz w:val="21"/>
          <w:szCs w:val="21"/>
          <w:lang w:val="fr-FR"/>
        </w:rPr>
        <w:t>C</w:t>
      </w:r>
      <w:r>
        <w:rPr>
          <w:rFonts w:hint="eastAsia"/>
          <w:sz w:val="21"/>
          <w:szCs w:val="21"/>
          <w:lang w:val="fr-FR"/>
        </w:rPr>
        <w:t>apacité de service de transport de bauxite, garantir que le nombre de véhicules de transport mis à la disposition de l’acheteur soit supérieur à 50 unités dans le délai imparti, et être impérativement en mesure d’assurer le transport pour le gisement n°56</w:t>
      </w:r>
      <w:r>
        <w:rPr>
          <w:sz w:val="21"/>
          <w:szCs w:val="21"/>
          <w:lang w:val="fr-FR"/>
        </w:rPr>
        <w:t xml:space="preserve"> .</w:t>
      </w:r>
    </w:p>
    <w:p w14:paraId="20E36117">
      <w:pPr>
        <w:pStyle w:val="20"/>
        <w:ind w:firstLine="450" w:firstLineChars="250"/>
        <w:rPr>
          <w:sz w:val="21"/>
          <w:szCs w:val="21"/>
          <w:lang w:val="fr-FR"/>
        </w:rPr>
      </w:pPr>
      <w:r>
        <w:rPr>
          <w:rFonts w:hint="eastAsia"/>
          <w:szCs w:val="21"/>
          <w:highlight w:val="none"/>
          <w:u w:val="single"/>
          <w:lang w:val="en-US" w:eastAsia="zh-CN"/>
        </w:rPr>
        <w:t xml:space="preserve"> </w:t>
      </w:r>
    </w:p>
    <w:p w14:paraId="4E107EB4">
      <w:pPr>
        <w:spacing w:line="360" w:lineRule="auto"/>
        <w:ind w:firstLine="420" w:firstLineChars="200"/>
        <w:rPr>
          <w:szCs w:val="21"/>
        </w:rPr>
      </w:pPr>
      <w:r>
        <w:rPr>
          <w:szCs w:val="21"/>
        </w:rPr>
        <w:t>2.应派专人负责在矿区及矿石堆场办理铝土矿提货、交货手续，在矿石堆场按</w:t>
      </w:r>
      <w:r>
        <w:rPr>
          <w:rFonts w:hint="eastAsia"/>
          <w:szCs w:val="21"/>
          <w:lang w:val="en-US" w:eastAsia="zh-CN"/>
        </w:rPr>
        <w:t>采购人</w:t>
      </w:r>
      <w:r>
        <w:rPr>
          <w:szCs w:val="21"/>
        </w:rPr>
        <w:t>指定位置卸车。</w:t>
      </w:r>
    </w:p>
    <w:p w14:paraId="69D9A6F0">
      <w:pPr>
        <w:spacing w:line="360" w:lineRule="auto"/>
        <w:ind w:firstLine="420" w:firstLineChars="200"/>
        <w:rPr>
          <w:szCs w:val="21"/>
          <w:lang w:val="fr-FR"/>
        </w:rPr>
      </w:pPr>
      <w:r>
        <w:rPr>
          <w:szCs w:val="21"/>
          <w:lang w:val="fr-FR"/>
        </w:rPr>
        <w:t xml:space="preserve"> Une personne est désignée comme un responsable chargé des procédures de chargement et de livraison de la bauxite dans les décharges de minerai de la mine et du parc industriel, et déchargement à l'endroit désigné par </w:t>
      </w:r>
      <w:r>
        <w:rPr>
          <w:rFonts w:hint="eastAsia"/>
          <w:szCs w:val="21"/>
          <w:lang w:val="fr-FR" w:eastAsia="zh-CN"/>
        </w:rPr>
        <w:t>l</w:t>
      </w:r>
      <w:r>
        <w:rPr>
          <w:rFonts w:hint="default"/>
          <w:szCs w:val="21"/>
          <w:lang w:val="en-US" w:eastAsia="zh-CN"/>
        </w:rPr>
        <w:t>’</w:t>
      </w:r>
      <w:r>
        <w:rPr>
          <w:rFonts w:hint="eastAsia"/>
          <w:szCs w:val="21"/>
          <w:lang w:val="en-US" w:eastAsia="zh-CN"/>
        </w:rPr>
        <w:t>acheteur</w:t>
      </w:r>
      <w:r>
        <w:rPr>
          <w:szCs w:val="21"/>
          <w:lang w:val="fr-FR"/>
        </w:rPr>
        <w:t>.</w:t>
      </w:r>
    </w:p>
    <w:p w14:paraId="5DE64670">
      <w:pPr>
        <w:pStyle w:val="161"/>
        <w:spacing w:line="360" w:lineRule="auto"/>
        <w:rPr>
          <w:rFonts w:ascii="Times New Roman" w:hAnsi="Times New Roman"/>
          <w:szCs w:val="21"/>
        </w:rPr>
      </w:pPr>
      <w:r>
        <w:rPr>
          <w:rFonts w:ascii="Times New Roman" w:hAnsi="Times New Roman"/>
          <w:szCs w:val="21"/>
        </w:rPr>
        <w:t>3.在运输途中铝土矿处于完好状态。车辆过磅按程序办理计量、卸车、验收等手续。</w:t>
      </w:r>
    </w:p>
    <w:p w14:paraId="66291D30">
      <w:pPr>
        <w:pStyle w:val="161"/>
        <w:spacing w:line="360" w:lineRule="auto"/>
        <w:rPr>
          <w:rFonts w:ascii="Times New Roman" w:hAnsi="Times New Roman"/>
          <w:szCs w:val="21"/>
          <w:lang w:val="fr-FR"/>
        </w:rPr>
      </w:pPr>
      <w:r>
        <w:rPr>
          <w:rFonts w:ascii="Times New Roman" w:hAnsi="Times New Roman"/>
          <w:szCs w:val="21"/>
          <w:lang w:val="fr-FR"/>
        </w:rPr>
        <w:t>La bauxite est en parfait état pendant le transport. Les véhicules sont pesés conformément aux procédures de mesure, de déchargement et d'acceptation.</w:t>
      </w:r>
    </w:p>
    <w:p w14:paraId="5251A6DC">
      <w:pPr>
        <w:pStyle w:val="161"/>
        <w:spacing w:line="360" w:lineRule="auto"/>
        <w:rPr>
          <w:rFonts w:ascii="Times New Roman" w:hAnsi="Times New Roman"/>
          <w:szCs w:val="21"/>
          <w:lang w:val="fr-FR"/>
        </w:rPr>
      </w:pPr>
      <w:r>
        <w:rPr>
          <w:rFonts w:ascii="Times New Roman" w:hAnsi="Times New Roman"/>
          <w:szCs w:val="21"/>
        </w:rPr>
        <w:t>4.遵守</w:t>
      </w:r>
      <w:r>
        <w:rPr>
          <w:rFonts w:hint="eastAsia" w:ascii="Times New Roman" w:hAnsi="Times New Roman"/>
          <w:szCs w:val="21"/>
          <w:lang w:val="en-US" w:eastAsia="zh-CN"/>
        </w:rPr>
        <w:t>采购人</w:t>
      </w:r>
      <w:r>
        <w:rPr>
          <w:rFonts w:ascii="Times New Roman" w:hAnsi="Times New Roman"/>
          <w:szCs w:val="21"/>
        </w:rPr>
        <w:t>有关管理制度，运输车辆在矿区及工业园区内行驶时，车速应控制在</w:t>
      </w:r>
      <w:r>
        <w:rPr>
          <w:rFonts w:hint="eastAsia" w:ascii="Times New Roman" w:hAnsi="Times New Roman"/>
          <w:szCs w:val="21"/>
          <w:lang w:val="en-US" w:eastAsia="zh-CN"/>
        </w:rPr>
        <w:t>采购人</w:t>
      </w:r>
      <w:r>
        <w:rPr>
          <w:rFonts w:ascii="Times New Roman" w:hAnsi="Times New Roman"/>
          <w:szCs w:val="21"/>
        </w:rPr>
        <w:t>规定范围内。</w:t>
      </w:r>
    </w:p>
    <w:p w14:paraId="217B1965">
      <w:pPr>
        <w:spacing w:line="360" w:lineRule="auto"/>
        <w:ind w:firstLine="420" w:firstLineChars="200"/>
        <w:rPr>
          <w:szCs w:val="21"/>
          <w:lang w:val="fr-FR"/>
        </w:rPr>
      </w:pPr>
      <w:r>
        <w:rPr>
          <w:szCs w:val="21"/>
          <w:lang w:val="fr-FR"/>
        </w:rPr>
        <w:t xml:space="preserve">Se conformer au système de gestion pertinent </w:t>
      </w:r>
      <w:r>
        <w:rPr>
          <w:rFonts w:hint="eastAsia"/>
          <w:szCs w:val="21"/>
          <w:lang w:val="fr-FR" w:eastAsia="zh-CN"/>
        </w:rPr>
        <w:t>d</w:t>
      </w:r>
      <w:r>
        <w:rPr>
          <w:rFonts w:hint="eastAsia"/>
          <w:szCs w:val="21"/>
          <w:lang w:val="en-US" w:eastAsia="zh-CN"/>
        </w:rPr>
        <w:t>e l</w:t>
      </w:r>
      <w:r>
        <w:rPr>
          <w:rFonts w:hint="default"/>
          <w:szCs w:val="21"/>
          <w:lang w:val="en-US" w:eastAsia="zh-CN"/>
        </w:rPr>
        <w:t>’</w:t>
      </w:r>
      <w:r>
        <w:rPr>
          <w:rFonts w:hint="eastAsia"/>
          <w:szCs w:val="21"/>
          <w:lang w:val="en-US" w:eastAsia="zh-CN"/>
        </w:rPr>
        <w:t>acheteur</w:t>
      </w:r>
      <w:r>
        <w:rPr>
          <w:szCs w:val="21"/>
          <w:lang w:val="fr-FR"/>
        </w:rPr>
        <w:t xml:space="preserve">, et la vitesse des véhicules de transport doit être contrôlée dans le cadre des règlements définis par </w:t>
      </w:r>
      <w:r>
        <w:rPr>
          <w:rFonts w:hint="eastAsia"/>
          <w:szCs w:val="21"/>
          <w:lang w:val="en-US" w:eastAsia="zh-CN"/>
        </w:rPr>
        <w:t>l</w:t>
      </w:r>
      <w:r>
        <w:rPr>
          <w:rFonts w:hint="default"/>
          <w:szCs w:val="21"/>
          <w:lang w:val="en-US" w:eastAsia="zh-CN"/>
        </w:rPr>
        <w:t>’</w:t>
      </w:r>
      <w:r>
        <w:rPr>
          <w:rFonts w:hint="eastAsia"/>
          <w:szCs w:val="21"/>
          <w:lang w:val="en-US" w:eastAsia="zh-CN"/>
        </w:rPr>
        <w:t>acheteur</w:t>
      </w:r>
      <w:r>
        <w:rPr>
          <w:szCs w:val="21"/>
          <w:lang w:val="fr-FR"/>
        </w:rPr>
        <w:t xml:space="preserve"> lors de la conduite dans la mine et dans le parc industriel.</w:t>
      </w:r>
    </w:p>
    <w:p w14:paraId="0A89F882">
      <w:pPr>
        <w:spacing w:line="360" w:lineRule="auto"/>
        <w:ind w:firstLine="420" w:firstLineChars="200"/>
        <w:rPr>
          <w:szCs w:val="21"/>
          <w:lang w:val="fr-FR"/>
        </w:rPr>
      </w:pPr>
      <w:r>
        <w:rPr>
          <w:szCs w:val="21"/>
        </w:rPr>
        <w:t>5.每半年</w:t>
      </w:r>
      <w:r>
        <w:rPr>
          <w:szCs w:val="21"/>
          <w:lang w:val="fr-FR"/>
        </w:rPr>
        <w:t>进行履约评价，若评价不合格，</w:t>
      </w:r>
      <w:r>
        <w:rPr>
          <w:rFonts w:hint="eastAsia" w:ascii="Times New Roman" w:hAnsi="Times New Roman"/>
          <w:szCs w:val="21"/>
          <w:lang w:val="en-US" w:eastAsia="zh-CN"/>
        </w:rPr>
        <w:t>采购人</w:t>
      </w:r>
      <w:r>
        <w:rPr>
          <w:szCs w:val="21"/>
          <w:lang w:val="fr-FR"/>
        </w:rPr>
        <w:t>有权解除合同，而不承担违约责任。</w:t>
      </w:r>
    </w:p>
    <w:p w14:paraId="6A0F4B45">
      <w:pPr>
        <w:spacing w:line="360" w:lineRule="auto"/>
        <w:ind w:firstLine="420" w:firstLineChars="200"/>
        <w:rPr>
          <w:szCs w:val="21"/>
          <w:lang w:val="fr-FR"/>
        </w:rPr>
      </w:pPr>
      <w:r>
        <w:rPr>
          <w:szCs w:val="21"/>
          <w:lang w:val="fr-FR"/>
        </w:rPr>
        <w:t xml:space="preserve">L'évaluation des performances sera effectuée chaque six mois, si l'évaluation n'est pas satisfaisante, </w:t>
      </w:r>
      <w:r>
        <w:rPr>
          <w:rFonts w:hint="eastAsia"/>
          <w:szCs w:val="21"/>
          <w:lang w:val="en-US" w:eastAsia="zh-CN"/>
        </w:rPr>
        <w:t>l</w:t>
      </w:r>
      <w:r>
        <w:rPr>
          <w:rFonts w:hint="default"/>
          <w:szCs w:val="21"/>
          <w:lang w:val="en-US" w:eastAsia="zh-CN"/>
        </w:rPr>
        <w:t>’</w:t>
      </w:r>
      <w:r>
        <w:rPr>
          <w:rFonts w:hint="eastAsia"/>
          <w:szCs w:val="21"/>
          <w:lang w:val="en-US" w:eastAsia="zh-CN"/>
        </w:rPr>
        <w:t>acheteur</w:t>
      </w:r>
      <w:r>
        <w:rPr>
          <w:szCs w:val="21"/>
          <w:lang w:val="fr-FR"/>
        </w:rPr>
        <w:t xml:space="preserve"> a le droit de résilier le contrat sans assumer la responsabilité d'une rupture de contrat.</w:t>
      </w:r>
    </w:p>
    <w:p w14:paraId="67C7912C">
      <w:pPr>
        <w:spacing w:line="360" w:lineRule="auto"/>
        <w:ind w:left="420" w:leftChars="200"/>
        <w:rPr>
          <w:szCs w:val="21"/>
          <w:lang w:val="fr-FR"/>
        </w:rPr>
      </w:pPr>
      <w:r>
        <w:rPr>
          <w:szCs w:val="21"/>
        </w:rPr>
        <w:t>6.</w:t>
      </w:r>
      <w:r>
        <w:rPr>
          <w:rFonts w:hint="eastAsia"/>
          <w:szCs w:val="21"/>
        </w:rPr>
        <w:t>响应人</w:t>
      </w:r>
      <w:r>
        <w:rPr>
          <w:szCs w:val="21"/>
        </w:rPr>
        <w:t>应做好运输前的各项准备工作，负责运输路线的实地勘察、制定运输计划。</w:t>
      </w:r>
    </w:p>
    <w:p w14:paraId="6E192F88">
      <w:pPr>
        <w:spacing w:line="360" w:lineRule="auto"/>
        <w:ind w:firstLine="420" w:firstLineChars="200"/>
        <w:rPr>
          <w:szCs w:val="21"/>
          <w:lang w:val="fr-FR"/>
        </w:rPr>
      </w:pPr>
      <w:r>
        <w:rPr>
          <w:rFonts w:hint="eastAsia"/>
          <w:szCs w:val="21"/>
          <w:lang w:val="fr-FR" w:eastAsia="zh-CN"/>
        </w:rPr>
        <w:t xml:space="preserve">le </w:t>
      </w:r>
      <w:r>
        <w:rPr>
          <w:rFonts w:hint="eastAsia"/>
          <w:szCs w:val="21"/>
          <w:lang w:val="en-US" w:eastAsia="zh-CN"/>
        </w:rPr>
        <w:t>soumissionnaire</w:t>
      </w:r>
      <w:r>
        <w:rPr>
          <w:szCs w:val="21"/>
          <w:lang w:val="fr-FR"/>
        </w:rPr>
        <w:t xml:space="preserve"> s'oblige d'effectuer tous les préparatifs avant le transport, est responsable de l'étude sur le terrain de l'itinéraire de transport et de l'élaboration des plans de transport.</w:t>
      </w:r>
    </w:p>
    <w:p w14:paraId="5741597C">
      <w:pPr>
        <w:spacing w:line="360" w:lineRule="auto"/>
        <w:ind w:left="420" w:leftChars="200"/>
        <w:rPr>
          <w:szCs w:val="21"/>
          <w:highlight w:val="none"/>
          <w:lang w:val="fr-CA"/>
        </w:rPr>
      </w:pPr>
      <w:r>
        <w:rPr>
          <w:szCs w:val="21"/>
        </w:rPr>
        <w:t>7.在本项目投入</w:t>
      </w:r>
      <w:r>
        <w:rPr>
          <w:rFonts w:hint="eastAsia"/>
          <w:szCs w:val="21"/>
          <w:highlight w:val="none"/>
          <w:u w:val="single"/>
          <w:lang w:val="en-US" w:eastAsia="zh-CN"/>
        </w:rPr>
        <w:t>50</w:t>
      </w:r>
      <w:r>
        <w:rPr>
          <w:szCs w:val="21"/>
          <w:highlight w:val="none"/>
        </w:rPr>
        <w:t>辆自卸车辆，在合同期内平均日出车率不低于</w:t>
      </w:r>
      <w:r>
        <w:rPr>
          <w:rFonts w:hint="eastAsia"/>
          <w:szCs w:val="21"/>
          <w:highlight w:val="none"/>
          <w:lang w:eastAsia="zh-CN"/>
        </w:rPr>
        <w:t>70%（</w:t>
      </w:r>
      <w:r>
        <w:rPr>
          <w:rFonts w:hint="eastAsia"/>
          <w:szCs w:val="21"/>
          <w:highlight w:val="none"/>
          <w:lang w:val="en-US" w:eastAsia="zh-CN"/>
        </w:rPr>
        <w:t>全部以去56号矿体运输数据为依据</w:t>
      </w:r>
      <w:r>
        <w:rPr>
          <w:rFonts w:hint="eastAsia"/>
          <w:szCs w:val="21"/>
          <w:highlight w:val="none"/>
          <w:lang w:eastAsia="zh-CN"/>
        </w:rPr>
        <w:t>）</w:t>
      </w:r>
      <w:r>
        <w:rPr>
          <w:szCs w:val="21"/>
          <w:highlight w:val="none"/>
        </w:rPr>
        <w:t>。</w:t>
      </w:r>
      <w:r>
        <w:rPr>
          <w:rFonts w:hint="eastAsia"/>
          <w:szCs w:val="21"/>
          <w:highlight w:val="none"/>
        </w:rPr>
        <w:t>响应人</w:t>
      </w:r>
      <w:r>
        <w:rPr>
          <w:szCs w:val="21"/>
          <w:highlight w:val="none"/>
        </w:rPr>
        <w:t>应及时向</w:t>
      </w:r>
      <w:r>
        <w:rPr>
          <w:rFonts w:hint="eastAsia" w:ascii="Times New Roman" w:hAnsi="Times New Roman"/>
          <w:szCs w:val="21"/>
          <w:highlight w:val="none"/>
          <w:lang w:val="en-US" w:eastAsia="zh-CN"/>
        </w:rPr>
        <w:t>采购人</w:t>
      </w:r>
      <w:r>
        <w:rPr>
          <w:szCs w:val="21"/>
          <w:highlight w:val="none"/>
        </w:rPr>
        <w:t>通报运输进展情况。</w:t>
      </w:r>
      <w:r>
        <w:rPr>
          <w:rFonts w:hint="eastAsia"/>
          <w:szCs w:val="21"/>
          <w:highlight w:val="none"/>
        </w:rPr>
        <w:t>响应人</w:t>
      </w:r>
      <w:r>
        <w:rPr>
          <w:szCs w:val="21"/>
          <w:highlight w:val="none"/>
        </w:rPr>
        <w:t>不得擅自增加或减少运输</w:t>
      </w:r>
      <w:r>
        <w:rPr>
          <w:szCs w:val="21"/>
        </w:rPr>
        <w:t>车辆，对车</w:t>
      </w:r>
      <w:r>
        <w:rPr>
          <w:szCs w:val="21"/>
          <w:highlight w:val="none"/>
        </w:rPr>
        <w:t>辆的调整，应经过</w:t>
      </w:r>
      <w:r>
        <w:rPr>
          <w:rFonts w:hint="eastAsia" w:ascii="Times New Roman" w:hAnsi="Times New Roman"/>
          <w:szCs w:val="21"/>
          <w:highlight w:val="none"/>
          <w:lang w:val="en-US" w:eastAsia="zh-CN"/>
        </w:rPr>
        <w:t>采购人</w:t>
      </w:r>
      <w:r>
        <w:rPr>
          <w:szCs w:val="21"/>
          <w:highlight w:val="none"/>
        </w:rPr>
        <w:t>允许。</w:t>
      </w:r>
    </w:p>
    <w:p w14:paraId="0112C53D">
      <w:pPr>
        <w:spacing w:line="360" w:lineRule="auto"/>
        <w:ind w:left="420" w:leftChars="200"/>
        <w:rPr>
          <w:szCs w:val="21"/>
          <w:highlight w:val="none"/>
          <w:lang w:val="fr-FR"/>
        </w:rPr>
      </w:pPr>
      <w:r>
        <w:rPr>
          <w:szCs w:val="21"/>
          <w:highlight w:val="none"/>
          <w:lang w:val="fr-FR"/>
        </w:rPr>
        <w:t>Mettre</w:t>
      </w:r>
      <w:r>
        <w:rPr>
          <w:szCs w:val="21"/>
          <w:highlight w:val="none"/>
          <w:u w:val="single"/>
          <w:lang w:val="fr-FR"/>
        </w:rPr>
        <w:t xml:space="preserve"> </w:t>
      </w:r>
      <w:r>
        <w:rPr>
          <w:rFonts w:hint="eastAsia"/>
          <w:szCs w:val="21"/>
          <w:highlight w:val="none"/>
          <w:u w:val="single"/>
          <w:lang w:val="en-US" w:eastAsia="zh-CN"/>
        </w:rPr>
        <w:t>50</w:t>
      </w:r>
      <w:r>
        <w:rPr>
          <w:szCs w:val="21"/>
          <w:highlight w:val="none"/>
          <w:u w:val="single"/>
          <w:lang w:val="fr-FR"/>
        </w:rPr>
        <w:t xml:space="preserve"> </w:t>
      </w:r>
      <w:r>
        <w:rPr>
          <w:szCs w:val="21"/>
          <w:highlight w:val="none"/>
          <w:lang w:val="fr-FR"/>
        </w:rPr>
        <w:t xml:space="preserve">véhicules à benne basculante sur le projet, avec un taux moyen journalier de déplacement des véhicules d'au moins </w:t>
      </w:r>
      <w:r>
        <w:rPr>
          <w:rFonts w:hint="eastAsia"/>
          <w:szCs w:val="21"/>
          <w:highlight w:val="none"/>
          <w:lang w:val="en-US" w:eastAsia="zh-CN"/>
        </w:rPr>
        <w:t>7</w:t>
      </w:r>
      <w:r>
        <w:rPr>
          <w:szCs w:val="21"/>
          <w:highlight w:val="none"/>
          <w:lang w:val="fr-FR"/>
        </w:rPr>
        <w:t>0 % pendant la durée du contrat</w:t>
      </w:r>
      <w:r>
        <w:rPr>
          <w:rFonts w:hint="eastAsia"/>
          <w:szCs w:val="21"/>
          <w:highlight w:val="none"/>
          <w:lang w:val="en-US" w:eastAsia="zh-CN"/>
        </w:rPr>
        <w:t xml:space="preserve"> (ces données étant exclusivement basées sur le transport vers le gisement n°56)</w:t>
      </w:r>
      <w:r>
        <w:rPr>
          <w:szCs w:val="21"/>
          <w:highlight w:val="none"/>
          <w:lang w:val="fr-FR"/>
        </w:rPr>
        <w:t xml:space="preserve">. </w:t>
      </w:r>
      <w:r>
        <w:rPr>
          <w:rFonts w:hint="eastAsia"/>
          <w:szCs w:val="21"/>
          <w:highlight w:val="none"/>
          <w:lang w:val="en-US" w:eastAsia="zh-CN"/>
        </w:rPr>
        <w:t>L</w:t>
      </w:r>
      <w:r>
        <w:rPr>
          <w:rFonts w:hint="eastAsia"/>
          <w:szCs w:val="21"/>
          <w:highlight w:val="none"/>
          <w:lang w:val="fr-FR" w:eastAsia="zh-CN"/>
        </w:rPr>
        <w:t xml:space="preserve">e </w:t>
      </w:r>
      <w:r>
        <w:rPr>
          <w:rFonts w:hint="eastAsia"/>
          <w:szCs w:val="21"/>
          <w:highlight w:val="none"/>
          <w:lang w:val="en-US" w:eastAsia="zh-CN"/>
        </w:rPr>
        <w:t xml:space="preserve">soumissionnaire </w:t>
      </w:r>
      <w:r>
        <w:rPr>
          <w:szCs w:val="21"/>
          <w:highlight w:val="none"/>
          <w:lang w:val="fr-FR"/>
        </w:rPr>
        <w:t xml:space="preserve">informe </w:t>
      </w:r>
      <w:r>
        <w:rPr>
          <w:rFonts w:hint="eastAsia"/>
          <w:szCs w:val="21"/>
          <w:highlight w:val="none"/>
          <w:lang w:val="en-US" w:eastAsia="zh-CN"/>
        </w:rPr>
        <w:t>l</w:t>
      </w:r>
      <w:r>
        <w:rPr>
          <w:rFonts w:hint="default"/>
          <w:szCs w:val="21"/>
          <w:highlight w:val="none"/>
          <w:lang w:val="en-US" w:eastAsia="zh-CN"/>
        </w:rPr>
        <w:t>’</w:t>
      </w:r>
      <w:r>
        <w:rPr>
          <w:rFonts w:hint="eastAsia"/>
          <w:szCs w:val="21"/>
          <w:highlight w:val="none"/>
          <w:lang w:val="en-US" w:eastAsia="zh-CN"/>
        </w:rPr>
        <w:t>acheteur</w:t>
      </w:r>
      <w:r>
        <w:rPr>
          <w:szCs w:val="21"/>
          <w:highlight w:val="none"/>
          <w:lang w:val="fr-FR"/>
        </w:rPr>
        <w:t xml:space="preserve"> de l'état d'avancement du transport en temps utile. </w:t>
      </w:r>
      <w:r>
        <w:rPr>
          <w:rFonts w:hint="eastAsia"/>
          <w:szCs w:val="21"/>
          <w:highlight w:val="none"/>
          <w:lang w:val="fr-FR" w:eastAsia="zh-CN"/>
        </w:rPr>
        <w:t>le soumissionnaire</w:t>
      </w:r>
      <w:r>
        <w:rPr>
          <w:rFonts w:hint="eastAsia"/>
          <w:szCs w:val="21"/>
          <w:highlight w:val="none"/>
          <w:lang w:val="en-US" w:eastAsia="zh-CN"/>
        </w:rPr>
        <w:t xml:space="preserve"> </w:t>
      </w:r>
      <w:r>
        <w:rPr>
          <w:szCs w:val="21"/>
          <w:highlight w:val="none"/>
          <w:lang w:val="fr-FR"/>
        </w:rPr>
        <w:t xml:space="preserve">n'augmentera ni ne diminuera le nombre de véhicules de transport sans autorisation, et tout ajustement des véhicules devra être autorisé par </w:t>
      </w:r>
      <w:r>
        <w:rPr>
          <w:rFonts w:hint="eastAsia"/>
          <w:szCs w:val="21"/>
          <w:highlight w:val="none"/>
          <w:lang w:val="en-US" w:eastAsia="zh-CN"/>
        </w:rPr>
        <w:t>l</w:t>
      </w:r>
      <w:r>
        <w:rPr>
          <w:rFonts w:hint="default"/>
          <w:szCs w:val="21"/>
          <w:highlight w:val="none"/>
          <w:lang w:val="en-US" w:eastAsia="zh-CN"/>
        </w:rPr>
        <w:t>’</w:t>
      </w:r>
      <w:r>
        <w:rPr>
          <w:rFonts w:hint="eastAsia"/>
          <w:szCs w:val="21"/>
          <w:highlight w:val="none"/>
          <w:lang w:val="en-US" w:eastAsia="zh-CN"/>
        </w:rPr>
        <w:t>acheteur</w:t>
      </w:r>
      <w:r>
        <w:rPr>
          <w:szCs w:val="21"/>
          <w:highlight w:val="none"/>
          <w:lang w:val="fr-FR"/>
        </w:rPr>
        <w:t>.</w:t>
      </w:r>
    </w:p>
    <w:p w14:paraId="5662D5B7">
      <w:pPr>
        <w:spacing w:line="360" w:lineRule="auto"/>
        <w:ind w:firstLine="420" w:firstLineChars="200"/>
        <w:rPr>
          <w:szCs w:val="21"/>
          <w:highlight w:val="none"/>
          <w:lang w:val="fr-FR"/>
        </w:rPr>
      </w:pPr>
      <w:r>
        <w:rPr>
          <w:rFonts w:hint="eastAsia"/>
          <w:szCs w:val="21"/>
          <w:highlight w:val="none"/>
          <w:lang w:val="en-US" w:eastAsia="zh-CN"/>
        </w:rPr>
        <w:t>若</w:t>
      </w:r>
      <w:r>
        <w:rPr>
          <w:rFonts w:hint="eastAsia"/>
          <w:szCs w:val="21"/>
          <w:highlight w:val="none"/>
          <w:lang w:val="fr-FR"/>
        </w:rPr>
        <w:t>月度平均出车率低于70%，每低于1个百分点，考核300美元；当连续2个月出车率低于50%时，有权解除合同。</w:t>
      </w:r>
    </w:p>
    <w:p w14:paraId="651E8ABA">
      <w:pPr>
        <w:spacing w:line="360" w:lineRule="auto"/>
        <w:ind w:left="420" w:leftChars="200"/>
        <w:rPr>
          <w:szCs w:val="21"/>
          <w:highlight w:val="none"/>
          <w:lang w:val="fr-FR"/>
        </w:rPr>
      </w:pPr>
      <w:r>
        <w:rPr>
          <w:rFonts w:hint="eastAsia"/>
          <w:szCs w:val="21"/>
          <w:highlight w:val="none"/>
          <w:lang w:val="fr-FR"/>
        </w:rPr>
        <w:t>Si le taux moyen mensuel de mise en service des véhicules est inférieur à 70 %, une sanction de 300 dollars sera appliquée pour chaque point de pourcentage en dessous de ce taux ; si le taux de mise en service est inférieur à 50 % pendant 2 mois consécutifs, le Client a le droit de résilier le contrat.</w:t>
      </w:r>
    </w:p>
    <w:p w14:paraId="48256ACF">
      <w:pPr>
        <w:spacing w:line="360" w:lineRule="auto"/>
        <w:ind w:left="420" w:leftChars="200"/>
        <w:rPr>
          <w:szCs w:val="21"/>
          <w:lang w:val="fr-FR"/>
        </w:rPr>
      </w:pPr>
      <w:r>
        <w:rPr>
          <w:szCs w:val="21"/>
        </w:rPr>
        <w:t>8.</w:t>
      </w:r>
      <w:r>
        <w:rPr>
          <w:rFonts w:hint="eastAsia"/>
          <w:szCs w:val="21"/>
        </w:rPr>
        <w:t>响应人</w:t>
      </w:r>
      <w:r>
        <w:rPr>
          <w:szCs w:val="21"/>
        </w:rPr>
        <w:t>对自身（人员、设备）安全负责，包括运输准备、运输过程、运输到场及返程，</w:t>
      </w:r>
      <w:r>
        <w:rPr>
          <w:rFonts w:hint="eastAsia"/>
          <w:szCs w:val="21"/>
        </w:rPr>
        <w:t>响应人</w:t>
      </w:r>
      <w:r>
        <w:rPr>
          <w:szCs w:val="21"/>
        </w:rPr>
        <w:t>在运输过程中发生的交通事故，由</w:t>
      </w:r>
      <w:r>
        <w:rPr>
          <w:rFonts w:hint="eastAsia"/>
          <w:szCs w:val="21"/>
        </w:rPr>
        <w:t>响应人</w:t>
      </w:r>
      <w:r>
        <w:rPr>
          <w:szCs w:val="21"/>
        </w:rPr>
        <w:t>负全部责任，并负责事故处置及善后工作。</w:t>
      </w:r>
      <w:r>
        <w:rPr>
          <w:rFonts w:hint="eastAsia"/>
          <w:szCs w:val="21"/>
        </w:rPr>
        <w:t>响应人</w:t>
      </w:r>
      <w:r>
        <w:rPr>
          <w:szCs w:val="21"/>
        </w:rPr>
        <w:t>应与</w:t>
      </w:r>
      <w:r>
        <w:rPr>
          <w:rFonts w:hint="eastAsia" w:ascii="Times New Roman" w:hAnsi="Times New Roman"/>
          <w:szCs w:val="21"/>
          <w:lang w:val="en-US" w:eastAsia="zh-CN"/>
        </w:rPr>
        <w:t>采购人</w:t>
      </w:r>
      <w:r>
        <w:rPr>
          <w:szCs w:val="21"/>
        </w:rPr>
        <w:t>及运输相关方另行签署安全环保协议，并严格执行。</w:t>
      </w:r>
    </w:p>
    <w:p w14:paraId="5E7F6323">
      <w:pPr>
        <w:spacing w:line="360" w:lineRule="auto"/>
        <w:ind w:firstLine="420" w:firstLineChars="200"/>
        <w:rPr>
          <w:bCs/>
          <w:szCs w:val="21"/>
          <w:lang w:val="fr-CA"/>
        </w:rPr>
      </w:pPr>
      <w:r>
        <w:rPr>
          <w:rFonts w:hint="eastAsia"/>
          <w:bCs/>
          <w:szCs w:val="21"/>
          <w:lang w:val="fr-FR" w:eastAsia="zh-CN"/>
        </w:rPr>
        <w:t xml:space="preserve">le </w:t>
      </w:r>
      <w:r>
        <w:rPr>
          <w:rFonts w:hint="eastAsia"/>
          <w:szCs w:val="21"/>
          <w:lang w:val="en-US" w:eastAsia="zh-CN"/>
        </w:rPr>
        <w:t xml:space="preserve">soumissionnaire </w:t>
      </w:r>
      <w:r>
        <w:rPr>
          <w:bCs/>
          <w:szCs w:val="21"/>
          <w:lang w:val="fr-FR"/>
        </w:rPr>
        <w:t xml:space="preserve">est responsable de sa propre sécurité (personnel et équipement), y compris la préparation du transport, le processus de transport, l'arrivée et le retour du transport. </w:t>
      </w:r>
      <w:r>
        <w:rPr>
          <w:rFonts w:hint="eastAsia"/>
          <w:bCs/>
          <w:szCs w:val="21"/>
          <w:lang w:val="fr-FR" w:eastAsia="zh-CN"/>
        </w:rPr>
        <w:t xml:space="preserve">le </w:t>
      </w:r>
      <w:r>
        <w:rPr>
          <w:rFonts w:hint="eastAsia"/>
          <w:szCs w:val="21"/>
          <w:lang w:val="en-US" w:eastAsia="zh-CN"/>
        </w:rPr>
        <w:t xml:space="preserve">soumissionnaire </w:t>
      </w:r>
      <w:r>
        <w:rPr>
          <w:bCs/>
          <w:szCs w:val="21"/>
          <w:lang w:val="fr-FR"/>
        </w:rPr>
        <w:t xml:space="preserve">est entièrement responsable de tout accident de la circulation survenant au cours du transport et est responsable de l'élimination des accidents et de leurs conséquences. </w:t>
      </w:r>
      <w:r>
        <w:rPr>
          <w:rFonts w:hint="eastAsia"/>
          <w:bCs/>
          <w:szCs w:val="21"/>
          <w:lang w:val="fr-FR" w:eastAsia="zh-CN"/>
        </w:rPr>
        <w:t xml:space="preserve">le </w:t>
      </w:r>
      <w:r>
        <w:rPr>
          <w:rFonts w:hint="eastAsia"/>
          <w:szCs w:val="21"/>
          <w:lang w:val="en-US" w:eastAsia="zh-CN"/>
        </w:rPr>
        <w:t xml:space="preserve">soumissionnaire </w:t>
      </w:r>
      <w:r>
        <w:rPr>
          <w:bCs/>
          <w:szCs w:val="21"/>
          <w:lang w:val="fr-FR"/>
        </w:rPr>
        <w:t xml:space="preserve">doit signer un accord distinct sur la sécurité et la protection de l'environnement avec </w:t>
      </w:r>
      <w:r>
        <w:rPr>
          <w:rFonts w:hint="eastAsia"/>
          <w:szCs w:val="21"/>
          <w:lang w:val="en-US" w:eastAsia="zh-CN"/>
        </w:rPr>
        <w:t>l</w:t>
      </w:r>
      <w:r>
        <w:rPr>
          <w:rFonts w:hint="default"/>
          <w:szCs w:val="21"/>
          <w:lang w:val="en-US" w:eastAsia="zh-CN"/>
        </w:rPr>
        <w:t>’</w:t>
      </w:r>
      <w:r>
        <w:rPr>
          <w:rFonts w:hint="eastAsia"/>
          <w:szCs w:val="21"/>
          <w:lang w:val="en-US" w:eastAsia="zh-CN"/>
        </w:rPr>
        <w:t>acheteur</w:t>
      </w:r>
      <w:r>
        <w:rPr>
          <w:bCs/>
          <w:szCs w:val="21"/>
          <w:lang w:val="fr-FR"/>
        </w:rPr>
        <w:t xml:space="preserve"> et les parties liées au transport.</w:t>
      </w:r>
    </w:p>
    <w:p w14:paraId="580B1625">
      <w:pPr>
        <w:spacing w:line="360" w:lineRule="auto"/>
        <w:ind w:left="420" w:leftChars="200"/>
        <w:rPr>
          <w:szCs w:val="21"/>
        </w:rPr>
      </w:pPr>
      <w:r>
        <w:rPr>
          <w:szCs w:val="21"/>
        </w:rPr>
        <w:t>9.</w:t>
      </w:r>
      <w:r>
        <w:rPr>
          <w:rFonts w:hint="eastAsia"/>
          <w:szCs w:val="21"/>
        </w:rPr>
        <w:t>响应人</w:t>
      </w:r>
      <w:r>
        <w:rPr>
          <w:szCs w:val="21"/>
        </w:rPr>
        <w:t>负责全部与运输有关的协调工作，保障矿石安全运输到目的地，相关费用自理。</w:t>
      </w:r>
    </w:p>
    <w:p w14:paraId="3C5D80E1">
      <w:pPr>
        <w:spacing w:line="360" w:lineRule="auto"/>
        <w:ind w:firstLine="420" w:firstLineChars="200"/>
        <w:rPr>
          <w:bCs/>
          <w:szCs w:val="21"/>
          <w:lang w:val="fr-FR"/>
        </w:rPr>
      </w:pPr>
      <w:r>
        <w:rPr>
          <w:rFonts w:hint="eastAsia"/>
          <w:bCs/>
          <w:szCs w:val="21"/>
          <w:lang w:val="fr-FR" w:eastAsia="zh-CN"/>
        </w:rPr>
        <w:t xml:space="preserve">le </w:t>
      </w:r>
      <w:r>
        <w:rPr>
          <w:rFonts w:hint="eastAsia"/>
          <w:szCs w:val="21"/>
          <w:lang w:val="en-US" w:eastAsia="zh-CN"/>
        </w:rPr>
        <w:t>soumissionnaire</w:t>
      </w:r>
      <w:r>
        <w:rPr>
          <w:bCs/>
          <w:szCs w:val="21"/>
          <w:lang w:val="fr-FR"/>
        </w:rPr>
        <w:t xml:space="preserve"> assume la responsabilité de tout le travail de coordination lié au transport, afin d'assurer la sécurité du transport du minerai vers la station de transfert, à ses propres frais.</w:t>
      </w:r>
    </w:p>
    <w:p w14:paraId="6A25FFBE">
      <w:pPr>
        <w:spacing w:line="360" w:lineRule="auto"/>
        <w:ind w:left="420" w:leftChars="200"/>
        <w:rPr>
          <w:szCs w:val="21"/>
        </w:rPr>
      </w:pPr>
      <w:r>
        <w:rPr>
          <w:szCs w:val="21"/>
        </w:rPr>
        <w:t>10.</w:t>
      </w:r>
      <w:r>
        <w:rPr>
          <w:rFonts w:hint="eastAsia"/>
          <w:szCs w:val="21"/>
        </w:rPr>
        <w:t>响应人</w:t>
      </w:r>
      <w:r>
        <w:rPr>
          <w:szCs w:val="21"/>
        </w:rPr>
        <w:t>应按照几内亚劳动法等相关法律法规聘用当地员工，优先聘用道路沿线村民等人员，</w:t>
      </w:r>
      <w:r>
        <w:rPr>
          <w:rFonts w:hint="eastAsia"/>
          <w:szCs w:val="21"/>
        </w:rPr>
        <w:t>响应人</w:t>
      </w:r>
      <w:r>
        <w:rPr>
          <w:szCs w:val="21"/>
        </w:rPr>
        <w:t>应保证人员管理顺畅，不造成阻工、罢工等事件，如因</w:t>
      </w:r>
      <w:r>
        <w:rPr>
          <w:rFonts w:hint="eastAsia"/>
          <w:szCs w:val="21"/>
        </w:rPr>
        <w:t>响应人</w:t>
      </w:r>
      <w:r>
        <w:rPr>
          <w:szCs w:val="21"/>
        </w:rPr>
        <w:t>原因，发生上述事件，相应的损失由</w:t>
      </w:r>
      <w:r>
        <w:rPr>
          <w:rFonts w:hint="eastAsia"/>
          <w:szCs w:val="21"/>
        </w:rPr>
        <w:t>响应人</w:t>
      </w:r>
      <w:r>
        <w:rPr>
          <w:szCs w:val="21"/>
        </w:rPr>
        <w:t>自行承担，并承担对</w:t>
      </w:r>
      <w:r>
        <w:rPr>
          <w:rFonts w:hint="eastAsia" w:ascii="Times New Roman" w:hAnsi="Times New Roman"/>
          <w:szCs w:val="21"/>
          <w:lang w:val="en-US" w:eastAsia="zh-CN"/>
        </w:rPr>
        <w:t>采购人</w:t>
      </w:r>
      <w:r>
        <w:rPr>
          <w:szCs w:val="21"/>
        </w:rPr>
        <w:t>及其他运输商的赔偿责任。</w:t>
      </w:r>
    </w:p>
    <w:p w14:paraId="4ED10B37">
      <w:pPr>
        <w:spacing w:line="360" w:lineRule="auto"/>
        <w:ind w:firstLine="420" w:firstLineChars="200"/>
        <w:rPr>
          <w:bCs/>
          <w:szCs w:val="21"/>
          <w:lang w:val="fr-FR"/>
        </w:rPr>
      </w:pPr>
      <w:r>
        <w:rPr>
          <w:rFonts w:hint="eastAsia"/>
          <w:bCs/>
          <w:szCs w:val="21"/>
          <w:lang w:val="fr-FR" w:eastAsia="zh-CN"/>
        </w:rPr>
        <w:t xml:space="preserve">le </w:t>
      </w:r>
      <w:r>
        <w:rPr>
          <w:rFonts w:hint="eastAsia"/>
          <w:szCs w:val="21"/>
          <w:lang w:val="en-US" w:eastAsia="zh-CN"/>
        </w:rPr>
        <w:t>soumissionnaire</w:t>
      </w:r>
      <w:r>
        <w:rPr>
          <w:bCs/>
          <w:szCs w:val="21"/>
          <w:lang w:val="fr-FR"/>
        </w:rPr>
        <w:t xml:space="preserve"> doit recruter du personnel local conformément au droit du travail guinéen et aux autres lois et règlements pertinents en vigueur, en donnant la priorité aux villageois situés le long de la route. </w:t>
      </w:r>
      <w:r>
        <w:rPr>
          <w:rFonts w:hint="eastAsia"/>
          <w:bCs/>
          <w:szCs w:val="21"/>
          <w:lang w:val="fr-FR" w:eastAsia="zh-CN"/>
        </w:rPr>
        <w:t xml:space="preserve">le </w:t>
      </w:r>
      <w:r>
        <w:rPr>
          <w:rFonts w:hint="eastAsia"/>
          <w:szCs w:val="21"/>
          <w:lang w:val="en-US" w:eastAsia="zh-CN"/>
        </w:rPr>
        <w:t>soumissionnaire</w:t>
      </w:r>
      <w:r>
        <w:rPr>
          <w:bCs/>
          <w:szCs w:val="21"/>
          <w:lang w:val="fr-FR"/>
        </w:rPr>
        <w:t xml:space="preserve"> veille à la bonne gestion du personnel, de manière à ne pas provoquer d'arrêts de travail et de grèves. Si l'événement ci-dessus se produit à cause </w:t>
      </w:r>
      <w:r>
        <w:rPr>
          <w:rFonts w:hint="eastAsia"/>
          <w:bCs/>
          <w:szCs w:val="21"/>
          <w:lang w:val="fr-FR" w:eastAsia="zh-CN"/>
        </w:rPr>
        <w:t xml:space="preserve">du </w:t>
      </w:r>
      <w:r>
        <w:rPr>
          <w:rFonts w:hint="eastAsia"/>
          <w:szCs w:val="21"/>
          <w:lang w:val="en-US" w:eastAsia="zh-CN"/>
        </w:rPr>
        <w:t>soumissionnaire</w:t>
      </w:r>
      <w:r>
        <w:rPr>
          <w:bCs/>
          <w:szCs w:val="21"/>
          <w:lang w:val="fr-FR"/>
        </w:rPr>
        <w:t xml:space="preserve">, </w:t>
      </w:r>
      <w:r>
        <w:rPr>
          <w:rFonts w:hint="eastAsia"/>
          <w:bCs/>
          <w:szCs w:val="21"/>
          <w:lang w:val="fr-FR" w:eastAsia="zh-CN"/>
        </w:rPr>
        <w:t xml:space="preserve">le </w:t>
      </w:r>
      <w:r>
        <w:rPr>
          <w:rFonts w:hint="eastAsia"/>
          <w:szCs w:val="21"/>
          <w:lang w:val="en-US" w:eastAsia="zh-CN"/>
        </w:rPr>
        <w:t>soumissionnaire</w:t>
      </w:r>
      <w:r>
        <w:rPr>
          <w:bCs/>
          <w:szCs w:val="21"/>
          <w:lang w:val="fr-FR"/>
        </w:rPr>
        <w:t xml:space="preserve"> supporte les pertes correspondantes, et assume la responsabilité de l'indemnisation </w:t>
      </w:r>
      <w:r>
        <w:rPr>
          <w:rFonts w:hint="eastAsia"/>
          <w:bCs/>
          <w:szCs w:val="21"/>
          <w:lang w:val="fr-FR" w:eastAsia="zh-CN"/>
        </w:rPr>
        <w:t>de</w:t>
      </w:r>
      <w:r>
        <w:rPr>
          <w:rFonts w:hint="eastAsia"/>
          <w:bCs/>
          <w:szCs w:val="21"/>
          <w:lang w:val="en-US" w:eastAsia="zh-CN"/>
        </w:rPr>
        <w:t xml:space="preserve"> </w:t>
      </w:r>
      <w:r>
        <w:rPr>
          <w:rFonts w:hint="eastAsia"/>
          <w:szCs w:val="21"/>
          <w:lang w:val="en-US" w:eastAsia="zh-CN"/>
        </w:rPr>
        <w:t>l</w:t>
      </w:r>
      <w:r>
        <w:rPr>
          <w:rFonts w:hint="default"/>
          <w:szCs w:val="21"/>
          <w:lang w:val="en-US" w:eastAsia="zh-CN"/>
        </w:rPr>
        <w:t>’</w:t>
      </w:r>
      <w:r>
        <w:rPr>
          <w:rFonts w:hint="eastAsia"/>
          <w:szCs w:val="21"/>
          <w:lang w:val="en-US" w:eastAsia="zh-CN"/>
        </w:rPr>
        <w:t>acheteur</w:t>
      </w:r>
      <w:r>
        <w:rPr>
          <w:bCs/>
          <w:szCs w:val="21"/>
          <w:lang w:val="fr-FR"/>
        </w:rPr>
        <w:t xml:space="preserve"> et des autres transporteurs.</w:t>
      </w:r>
    </w:p>
    <w:bookmarkEnd w:id="64"/>
    <w:p w14:paraId="44A82C19">
      <w:pPr>
        <w:spacing w:line="360" w:lineRule="auto"/>
        <w:jc w:val="left"/>
        <w:rPr>
          <w:szCs w:val="21"/>
          <w:lang w:val="fr-FR"/>
        </w:rPr>
      </w:pPr>
      <w:bookmarkStart w:id="65" w:name="_Toc107567062"/>
      <w:bookmarkStart w:id="66" w:name="_Toc6584793"/>
      <w:bookmarkStart w:id="67" w:name="_Toc482188640"/>
      <w:bookmarkStart w:id="68" w:name="_Toc5738298"/>
      <w:r>
        <w:rPr>
          <w:szCs w:val="21"/>
        </w:rPr>
        <w:t>三、委托人</w:t>
      </w:r>
      <w:bookmarkEnd w:id="65"/>
      <w:bookmarkEnd w:id="66"/>
      <w:bookmarkEnd w:id="67"/>
      <w:bookmarkEnd w:id="68"/>
      <w:r>
        <w:rPr>
          <w:szCs w:val="21"/>
        </w:rPr>
        <w:t>提供的设备、设施</w:t>
      </w:r>
      <w:r>
        <w:rPr>
          <w:szCs w:val="21"/>
          <w:lang w:val="fr-FR"/>
        </w:rPr>
        <w:t>Euipements et installations fournis par le mandant</w:t>
      </w:r>
    </w:p>
    <w:p w14:paraId="02B0A33D">
      <w:pPr>
        <w:adjustRightInd w:val="0"/>
        <w:snapToGrid w:val="0"/>
        <w:spacing w:line="360" w:lineRule="auto"/>
        <w:ind w:firstLine="420" w:firstLineChars="200"/>
        <w:rPr>
          <w:lang w:val="fr-FR"/>
        </w:rPr>
      </w:pPr>
      <w:bookmarkStart w:id="69" w:name="_Toc482188642"/>
      <w:r>
        <w:rPr>
          <w:lang w:val="zh-CN"/>
        </w:rPr>
        <w:t>委托人</w:t>
      </w:r>
      <w:r>
        <w:t>负责协调向服务人提供下列设备、设施</w:t>
      </w:r>
      <w:r>
        <w:rPr>
          <w:lang w:val="fr-FR"/>
        </w:rPr>
        <w:t>Le mandant est chargé de coordonner la mise à disposition des équipements et installations suivants au profit du prestataire de services ：</w:t>
      </w:r>
      <w:bookmarkEnd w:id="69"/>
    </w:p>
    <w:p w14:paraId="4D72FAB4">
      <w:pPr>
        <w:adjustRightInd w:val="0"/>
        <w:snapToGrid w:val="0"/>
        <w:spacing w:line="360" w:lineRule="auto"/>
        <w:ind w:firstLine="420" w:firstLineChars="200"/>
        <w:rPr>
          <w:lang w:val="fr-FR"/>
        </w:rPr>
      </w:pPr>
      <w:bookmarkStart w:id="70" w:name="_Toc482188644"/>
      <w:r>
        <w:t>无</w:t>
      </w:r>
      <w:r>
        <w:rPr>
          <w:lang w:val="fr-FR"/>
        </w:rPr>
        <w:t>Aucun</w:t>
      </w:r>
    </w:p>
    <w:p w14:paraId="4F08B74A">
      <w:pPr>
        <w:spacing w:line="360" w:lineRule="auto"/>
        <w:jc w:val="left"/>
        <w:rPr>
          <w:szCs w:val="21"/>
          <w:lang w:val="fr-FR"/>
        </w:rPr>
      </w:pPr>
      <w:bookmarkStart w:id="71" w:name="_Toc5738299"/>
      <w:bookmarkStart w:id="72" w:name="_Toc6584794"/>
      <w:bookmarkStart w:id="73" w:name="_Toc107567063"/>
      <w:r>
        <w:rPr>
          <w:szCs w:val="21"/>
        </w:rPr>
        <w:t>五、委托人提供的便利条件</w:t>
      </w:r>
      <w:bookmarkEnd w:id="70"/>
      <w:bookmarkEnd w:id="71"/>
      <w:bookmarkEnd w:id="72"/>
      <w:bookmarkEnd w:id="73"/>
      <w:r>
        <w:rPr>
          <w:szCs w:val="21"/>
          <w:lang w:val="fr-FR"/>
        </w:rPr>
        <w:t>Moyens mis à disposition par le mandant</w:t>
      </w:r>
    </w:p>
    <w:p w14:paraId="1C6C71F2">
      <w:pPr>
        <w:spacing w:line="360" w:lineRule="auto"/>
        <w:ind w:firstLine="420" w:firstLineChars="200"/>
        <w:jc w:val="left"/>
        <w:rPr>
          <w:lang w:val="fr-FR"/>
        </w:rPr>
      </w:pPr>
      <w:bookmarkStart w:id="74" w:name="_Toc5738300"/>
      <w:bookmarkStart w:id="75" w:name="_Toc482188645"/>
      <w:bookmarkStart w:id="76" w:name="_Toc107567064"/>
      <w:bookmarkStart w:id="77" w:name="_Toc6584795"/>
      <w:r>
        <w:t>无</w:t>
      </w:r>
      <w:r>
        <w:rPr>
          <w:lang w:val="fr-FR"/>
        </w:rPr>
        <w:t>Aucun</w:t>
      </w:r>
    </w:p>
    <w:p w14:paraId="075BFF26">
      <w:pPr>
        <w:spacing w:line="360" w:lineRule="auto"/>
        <w:jc w:val="left"/>
        <w:rPr>
          <w:szCs w:val="21"/>
          <w:lang w:val="fr-FR"/>
        </w:rPr>
      </w:pPr>
      <w:r>
        <w:rPr>
          <w:szCs w:val="21"/>
        </w:rPr>
        <w:t>六、服务人需要自备的工作条件</w:t>
      </w:r>
      <w:bookmarkEnd w:id="74"/>
      <w:bookmarkEnd w:id="75"/>
      <w:bookmarkEnd w:id="76"/>
      <w:bookmarkEnd w:id="77"/>
      <w:r>
        <w:rPr>
          <w:szCs w:val="21"/>
          <w:lang w:val="fr-FR"/>
        </w:rPr>
        <w:t>Le prestataire de services doit préparer ses propres conditions de travail</w:t>
      </w:r>
    </w:p>
    <w:p w14:paraId="6F580B0D">
      <w:pPr>
        <w:adjustRightInd w:val="0"/>
        <w:snapToGrid w:val="0"/>
        <w:spacing w:line="360" w:lineRule="auto"/>
        <w:ind w:firstLine="420" w:firstLineChars="200"/>
        <w:rPr>
          <w:lang w:val="fr-FR"/>
        </w:rPr>
      </w:pPr>
      <w:bookmarkStart w:id="78" w:name="_Toc482188646"/>
      <w:r>
        <w:t>根据竞谈文件工作需要</w:t>
      </w:r>
      <w:r>
        <w:rPr>
          <w:lang w:val="fr-FR"/>
        </w:rPr>
        <w:t>，</w:t>
      </w:r>
      <w:r>
        <w:t>自行准备</w:t>
      </w:r>
      <w:r>
        <w:rPr>
          <w:szCs w:val="21"/>
          <w:lang w:val="fr-FR"/>
        </w:rPr>
        <w:t>Préparées par le prestataire lui-même en fonction des besoins du document d'appel d'offres.</w:t>
      </w:r>
    </w:p>
    <w:p w14:paraId="1FACDF0C">
      <w:pPr>
        <w:adjustRightInd w:val="0"/>
        <w:snapToGrid w:val="0"/>
        <w:spacing w:line="360" w:lineRule="auto"/>
        <w:ind w:firstLine="420" w:firstLineChars="200"/>
        <w:rPr>
          <w:lang w:val="fr-FR"/>
        </w:rPr>
      </w:pPr>
      <w:r>
        <w:rPr>
          <w:lang w:val="fr-FR"/>
        </w:rPr>
        <w:t>……</w:t>
      </w:r>
    </w:p>
    <w:p w14:paraId="45F5836F">
      <w:pPr>
        <w:spacing w:line="360" w:lineRule="auto"/>
        <w:jc w:val="left"/>
        <w:rPr>
          <w:szCs w:val="21"/>
          <w:lang w:val="fr-FR"/>
        </w:rPr>
      </w:pPr>
      <w:bookmarkStart w:id="79" w:name="_Toc6584796"/>
      <w:bookmarkStart w:id="80" w:name="_Toc5738301"/>
      <w:bookmarkStart w:id="81" w:name="_Toc107567065"/>
      <w:r>
        <w:rPr>
          <w:szCs w:val="21"/>
        </w:rPr>
        <w:t>七、委托人的其他要求</w:t>
      </w:r>
      <w:bookmarkEnd w:id="78"/>
      <w:bookmarkEnd w:id="79"/>
      <w:bookmarkEnd w:id="80"/>
      <w:bookmarkEnd w:id="81"/>
      <w:r>
        <w:rPr>
          <w:szCs w:val="21"/>
          <w:lang w:val="fr-FR"/>
        </w:rPr>
        <w:t>Autres exigences du mandant</w:t>
      </w:r>
    </w:p>
    <w:p w14:paraId="76C01C60">
      <w:pPr>
        <w:spacing w:line="360" w:lineRule="auto"/>
        <w:ind w:firstLine="420" w:firstLineChars="200"/>
        <w:rPr>
          <w:szCs w:val="21"/>
          <w:lang w:val="fr-FR"/>
        </w:rPr>
      </w:pPr>
      <w:r>
        <w:rPr>
          <w:szCs w:val="21"/>
        </w:rPr>
        <w:t>1.每半年</w:t>
      </w:r>
      <w:r>
        <w:rPr>
          <w:szCs w:val="21"/>
          <w:lang w:val="fr-FR"/>
        </w:rPr>
        <w:t>进行履约评价，若评价不合格，</w:t>
      </w:r>
      <w:r>
        <w:rPr>
          <w:rFonts w:hint="eastAsia" w:ascii="Times New Roman" w:hAnsi="Times New Roman"/>
          <w:szCs w:val="21"/>
          <w:lang w:val="en-US" w:eastAsia="zh-CN"/>
        </w:rPr>
        <w:t>采购人</w:t>
      </w:r>
      <w:r>
        <w:rPr>
          <w:szCs w:val="21"/>
          <w:lang w:val="fr-FR"/>
        </w:rPr>
        <w:t>有权解除合同，而不承担违约责任。</w:t>
      </w:r>
    </w:p>
    <w:p w14:paraId="430D9406">
      <w:pPr>
        <w:spacing w:line="360" w:lineRule="auto"/>
        <w:ind w:left="420" w:leftChars="200"/>
        <w:rPr>
          <w:szCs w:val="21"/>
          <w:lang w:val="fr-FR"/>
        </w:rPr>
      </w:pPr>
      <w:r>
        <w:rPr>
          <w:szCs w:val="21"/>
          <w:lang w:val="fr-FR"/>
        </w:rPr>
        <w:t xml:space="preserve">Une évaluation des performances tous les six mois ; en cas d'échec de l'évaluation, </w:t>
      </w:r>
      <w:r>
        <w:rPr>
          <w:rFonts w:hint="eastAsia"/>
          <w:szCs w:val="21"/>
          <w:lang w:val="en-US" w:eastAsia="zh-CN"/>
        </w:rPr>
        <w:t>l</w:t>
      </w:r>
      <w:r>
        <w:rPr>
          <w:rFonts w:hint="default"/>
          <w:szCs w:val="21"/>
          <w:lang w:val="en-US" w:eastAsia="zh-CN"/>
        </w:rPr>
        <w:t>’</w:t>
      </w:r>
      <w:r>
        <w:rPr>
          <w:rFonts w:hint="eastAsia"/>
          <w:szCs w:val="21"/>
          <w:lang w:val="en-US" w:eastAsia="zh-CN"/>
        </w:rPr>
        <w:t>acheteur</w:t>
      </w:r>
      <w:r>
        <w:rPr>
          <w:szCs w:val="21"/>
          <w:lang w:val="fr-FR"/>
        </w:rPr>
        <w:t xml:space="preserve"> a le droit de mettre fin au contrat sans assumer la responsabilité de la rupture du contrat.</w:t>
      </w:r>
    </w:p>
    <w:p w14:paraId="7AF47B79">
      <w:pPr>
        <w:spacing w:line="360" w:lineRule="auto"/>
        <w:ind w:left="420" w:leftChars="200"/>
        <w:rPr>
          <w:szCs w:val="21"/>
          <w:lang w:val="fr-FR"/>
        </w:rPr>
      </w:pPr>
      <w:r>
        <w:rPr>
          <w:szCs w:val="21"/>
        </w:rPr>
        <w:t>2.</w:t>
      </w:r>
      <w:r>
        <w:rPr>
          <w:rFonts w:hint="eastAsia" w:ascii="Times New Roman" w:hAnsi="Times New Roman"/>
          <w:szCs w:val="21"/>
          <w:lang w:val="en-US" w:eastAsia="zh-CN"/>
        </w:rPr>
        <w:t>采购人</w:t>
      </w:r>
      <w:r>
        <w:rPr>
          <w:szCs w:val="21"/>
        </w:rPr>
        <w:t>有权对</w:t>
      </w:r>
      <w:r>
        <w:rPr>
          <w:rFonts w:hint="eastAsia"/>
          <w:szCs w:val="21"/>
        </w:rPr>
        <w:t>响应人</w:t>
      </w:r>
      <w:r>
        <w:rPr>
          <w:szCs w:val="21"/>
        </w:rPr>
        <w:t>的合同执行过程进行检查、监督、考核。</w:t>
      </w:r>
    </w:p>
    <w:p w14:paraId="1031D43C">
      <w:pPr>
        <w:spacing w:line="360" w:lineRule="auto"/>
        <w:ind w:firstLine="420" w:firstLineChars="200"/>
        <w:rPr>
          <w:bCs/>
          <w:szCs w:val="21"/>
          <w:lang w:val="fr-FR"/>
        </w:rPr>
      </w:pPr>
      <w:r>
        <w:rPr>
          <w:rFonts w:hint="eastAsia"/>
          <w:szCs w:val="21"/>
          <w:lang w:val="en-US" w:eastAsia="zh-CN"/>
        </w:rPr>
        <w:t>L</w:t>
      </w:r>
      <w:r>
        <w:rPr>
          <w:rFonts w:hint="default"/>
          <w:szCs w:val="21"/>
          <w:lang w:val="en-US" w:eastAsia="zh-CN"/>
        </w:rPr>
        <w:t>’</w:t>
      </w:r>
      <w:r>
        <w:rPr>
          <w:rFonts w:hint="eastAsia"/>
          <w:szCs w:val="21"/>
          <w:lang w:val="en-US" w:eastAsia="zh-CN"/>
        </w:rPr>
        <w:t>acheteur</w:t>
      </w:r>
      <w:r>
        <w:rPr>
          <w:bCs/>
          <w:szCs w:val="21"/>
          <w:lang w:val="fr-FR"/>
        </w:rPr>
        <w:t xml:space="preserve"> a le droit d'inspecter, de superviser et d'évaluer le processus d'exécution du contrat </w:t>
      </w:r>
      <w:r>
        <w:rPr>
          <w:rFonts w:hint="eastAsia"/>
          <w:bCs/>
          <w:szCs w:val="21"/>
          <w:lang w:val="fr-FR" w:eastAsia="zh-CN"/>
        </w:rPr>
        <w:t xml:space="preserve">du </w:t>
      </w:r>
      <w:r>
        <w:rPr>
          <w:rFonts w:hint="eastAsia"/>
          <w:szCs w:val="21"/>
          <w:lang w:val="en-US" w:eastAsia="zh-CN"/>
        </w:rPr>
        <w:t>soumissionnaire</w:t>
      </w:r>
      <w:r>
        <w:rPr>
          <w:bCs/>
          <w:szCs w:val="21"/>
          <w:lang w:val="fr-FR"/>
        </w:rPr>
        <w:t>.</w:t>
      </w:r>
    </w:p>
    <w:p w14:paraId="62A7BE43">
      <w:pPr>
        <w:spacing w:line="360" w:lineRule="auto"/>
        <w:ind w:left="420" w:leftChars="200"/>
        <w:rPr>
          <w:szCs w:val="21"/>
          <w:lang w:val="fr-FR"/>
        </w:rPr>
      </w:pPr>
      <w:r>
        <w:rPr>
          <w:szCs w:val="21"/>
        </w:rPr>
        <w:t>3.</w:t>
      </w:r>
      <w:r>
        <w:rPr>
          <w:rFonts w:hint="eastAsia" w:ascii="Times New Roman" w:hAnsi="Times New Roman"/>
          <w:szCs w:val="21"/>
          <w:lang w:val="en-US" w:eastAsia="zh-CN"/>
        </w:rPr>
        <w:t>采购人</w:t>
      </w:r>
      <w:r>
        <w:rPr>
          <w:szCs w:val="21"/>
        </w:rPr>
        <w:t>有权要求</w:t>
      </w:r>
      <w:r>
        <w:rPr>
          <w:rFonts w:hint="eastAsia"/>
          <w:szCs w:val="21"/>
        </w:rPr>
        <w:t>响应人</w:t>
      </w:r>
      <w:r>
        <w:rPr>
          <w:szCs w:val="21"/>
        </w:rPr>
        <w:t>按照合同规定的时间、地点，将货物运输到合同约定的地点。</w:t>
      </w:r>
    </w:p>
    <w:p w14:paraId="583B0095">
      <w:pPr>
        <w:spacing w:line="360" w:lineRule="auto"/>
        <w:ind w:firstLine="420" w:firstLineChars="200"/>
        <w:rPr>
          <w:bCs/>
          <w:szCs w:val="21"/>
          <w:lang w:val="fr-FR"/>
        </w:rPr>
      </w:pPr>
      <w:r>
        <w:rPr>
          <w:rFonts w:hint="eastAsia"/>
          <w:bCs/>
          <w:szCs w:val="21"/>
          <w:lang w:val="en-US" w:eastAsia="zh-CN"/>
        </w:rPr>
        <w:t>L</w:t>
      </w:r>
      <w:r>
        <w:rPr>
          <w:rFonts w:hint="default"/>
          <w:szCs w:val="21"/>
          <w:lang w:val="en-US" w:eastAsia="zh-CN"/>
        </w:rPr>
        <w:t>’</w:t>
      </w:r>
      <w:r>
        <w:rPr>
          <w:rFonts w:hint="eastAsia"/>
          <w:szCs w:val="21"/>
          <w:lang w:val="en-US" w:eastAsia="zh-CN"/>
        </w:rPr>
        <w:t>acheteur</w:t>
      </w:r>
      <w:r>
        <w:rPr>
          <w:bCs/>
          <w:szCs w:val="21"/>
          <w:lang w:val="fr-FR"/>
        </w:rPr>
        <w:t xml:space="preserve"> a le droit de demander </w:t>
      </w:r>
      <w:r>
        <w:rPr>
          <w:rFonts w:hint="eastAsia"/>
          <w:bCs/>
          <w:szCs w:val="21"/>
          <w:lang w:val="en-US" w:eastAsia="zh-CN"/>
        </w:rPr>
        <w:t>au</w:t>
      </w:r>
      <w:r>
        <w:rPr>
          <w:rFonts w:hint="eastAsia"/>
          <w:bCs/>
          <w:szCs w:val="21"/>
          <w:lang w:val="fr-FR" w:eastAsia="zh-CN"/>
        </w:rPr>
        <w:t xml:space="preserve"> </w:t>
      </w:r>
      <w:r>
        <w:rPr>
          <w:rFonts w:hint="eastAsia"/>
          <w:szCs w:val="21"/>
          <w:lang w:val="en-US" w:eastAsia="zh-CN"/>
        </w:rPr>
        <w:t>soumissionnaire</w:t>
      </w:r>
      <w:r>
        <w:rPr>
          <w:bCs/>
          <w:szCs w:val="21"/>
          <w:lang w:val="fr-FR"/>
        </w:rPr>
        <w:t xml:space="preserve"> de transporter les marchandises au lieu et à l'heure spécifiés dans le contrat.</w:t>
      </w:r>
    </w:p>
    <w:p w14:paraId="6A9231B6">
      <w:pPr>
        <w:spacing w:line="360" w:lineRule="auto"/>
        <w:ind w:left="420" w:leftChars="200"/>
        <w:rPr>
          <w:szCs w:val="21"/>
          <w:lang w:val="fr-FR"/>
        </w:rPr>
      </w:pPr>
      <w:r>
        <w:rPr>
          <w:szCs w:val="21"/>
        </w:rPr>
        <w:t>4.</w:t>
      </w:r>
      <w:r>
        <w:rPr>
          <w:rFonts w:hint="eastAsia" w:ascii="Times New Roman" w:hAnsi="Times New Roman"/>
          <w:szCs w:val="21"/>
          <w:lang w:val="en-US" w:eastAsia="zh-CN"/>
        </w:rPr>
        <w:t>采购人</w:t>
      </w:r>
      <w:r>
        <w:rPr>
          <w:szCs w:val="21"/>
        </w:rPr>
        <w:t>有权对</w:t>
      </w:r>
      <w:r>
        <w:rPr>
          <w:rFonts w:hint="eastAsia"/>
          <w:szCs w:val="21"/>
        </w:rPr>
        <w:t>响应人</w:t>
      </w:r>
      <w:r>
        <w:rPr>
          <w:szCs w:val="21"/>
        </w:rPr>
        <w:t>制定的运输计划进行调整。</w:t>
      </w:r>
    </w:p>
    <w:p w14:paraId="058A0E4E">
      <w:pPr>
        <w:spacing w:line="360" w:lineRule="auto"/>
        <w:ind w:firstLine="420" w:firstLineChars="200"/>
        <w:rPr>
          <w:szCs w:val="21"/>
          <w:lang w:val="fr-FR"/>
        </w:rPr>
      </w:pPr>
      <w:r>
        <w:rPr>
          <w:bCs/>
          <w:szCs w:val="21"/>
          <w:lang w:val="fr-FR"/>
        </w:rPr>
        <w:t xml:space="preserve"> </w:t>
      </w:r>
      <w:r>
        <w:rPr>
          <w:rFonts w:hint="eastAsia"/>
          <w:bCs/>
          <w:szCs w:val="21"/>
          <w:lang w:val="en-US" w:eastAsia="zh-CN"/>
        </w:rPr>
        <w:t>L</w:t>
      </w:r>
      <w:r>
        <w:rPr>
          <w:rFonts w:hint="default"/>
          <w:szCs w:val="21"/>
          <w:lang w:val="en-US" w:eastAsia="zh-CN"/>
        </w:rPr>
        <w:t>’</w:t>
      </w:r>
      <w:r>
        <w:rPr>
          <w:rFonts w:hint="eastAsia"/>
          <w:szCs w:val="21"/>
          <w:lang w:val="en-US" w:eastAsia="zh-CN"/>
        </w:rPr>
        <w:t>acheteur</w:t>
      </w:r>
      <w:r>
        <w:rPr>
          <w:bCs/>
          <w:szCs w:val="21"/>
          <w:lang w:val="fr-FR"/>
        </w:rPr>
        <w:t xml:space="preserve"> a le droit d'adapter le plan de transport établi par </w:t>
      </w:r>
      <w:r>
        <w:rPr>
          <w:rFonts w:hint="eastAsia"/>
          <w:bCs/>
          <w:szCs w:val="21"/>
          <w:lang w:val="fr-FR" w:eastAsia="zh-CN"/>
        </w:rPr>
        <w:t xml:space="preserve">le </w:t>
      </w:r>
      <w:r>
        <w:rPr>
          <w:rFonts w:hint="eastAsia"/>
          <w:szCs w:val="21"/>
          <w:lang w:val="en-US" w:eastAsia="zh-CN"/>
        </w:rPr>
        <w:t>soumissionnaire</w:t>
      </w:r>
      <w:r>
        <w:rPr>
          <w:bCs/>
          <w:szCs w:val="21"/>
          <w:lang w:val="fr-FR"/>
        </w:rPr>
        <w:t>.</w:t>
      </w:r>
    </w:p>
    <w:p w14:paraId="1C536B21">
      <w:pPr>
        <w:spacing w:line="360" w:lineRule="auto"/>
        <w:ind w:left="420" w:leftChars="200"/>
        <w:rPr>
          <w:szCs w:val="21"/>
        </w:rPr>
      </w:pPr>
      <w:r>
        <w:rPr>
          <w:szCs w:val="21"/>
        </w:rPr>
        <w:t>5.</w:t>
      </w:r>
      <w:r>
        <w:rPr>
          <w:rFonts w:hint="eastAsia" w:ascii="Times New Roman" w:hAnsi="Times New Roman"/>
          <w:szCs w:val="21"/>
          <w:lang w:val="en-US" w:eastAsia="zh-CN"/>
        </w:rPr>
        <w:t>采购人</w:t>
      </w:r>
      <w:r>
        <w:rPr>
          <w:szCs w:val="21"/>
        </w:rPr>
        <w:t>应尊重</w:t>
      </w:r>
      <w:r>
        <w:rPr>
          <w:rFonts w:hint="eastAsia"/>
          <w:szCs w:val="21"/>
        </w:rPr>
        <w:t>响应人</w:t>
      </w:r>
      <w:r>
        <w:rPr>
          <w:szCs w:val="21"/>
        </w:rPr>
        <w:t>根据行业有关标准、规定进行工作的权利，不应提出与行业标准、规定相抵触的要求。</w:t>
      </w:r>
    </w:p>
    <w:p w14:paraId="47418B95">
      <w:pPr>
        <w:spacing w:line="360" w:lineRule="auto"/>
        <w:ind w:firstLine="420" w:firstLineChars="200"/>
        <w:rPr>
          <w:szCs w:val="21"/>
          <w:lang w:val="fr-FR"/>
        </w:rPr>
      </w:pPr>
      <w:r>
        <w:rPr>
          <w:rFonts w:hint="eastAsia"/>
          <w:bCs/>
          <w:szCs w:val="21"/>
          <w:lang w:val="en-US" w:eastAsia="zh-CN"/>
        </w:rPr>
        <w:t>L</w:t>
      </w:r>
      <w:r>
        <w:rPr>
          <w:rFonts w:hint="default"/>
          <w:szCs w:val="21"/>
          <w:lang w:val="en-US" w:eastAsia="zh-CN"/>
        </w:rPr>
        <w:t>’</w:t>
      </w:r>
      <w:r>
        <w:rPr>
          <w:rFonts w:hint="eastAsia"/>
          <w:szCs w:val="21"/>
          <w:lang w:val="en-US" w:eastAsia="zh-CN"/>
        </w:rPr>
        <w:t>acheteur</w:t>
      </w:r>
      <w:r>
        <w:rPr>
          <w:bCs/>
          <w:szCs w:val="21"/>
          <w:lang w:val="fr-FR"/>
        </w:rPr>
        <w:t xml:space="preserve"> doit respecter le droit </w:t>
      </w:r>
      <w:r>
        <w:rPr>
          <w:rFonts w:hint="eastAsia"/>
          <w:bCs/>
          <w:szCs w:val="21"/>
          <w:lang w:val="fr-FR" w:eastAsia="zh-CN"/>
        </w:rPr>
        <w:t xml:space="preserve">du </w:t>
      </w:r>
      <w:r>
        <w:rPr>
          <w:rFonts w:hint="eastAsia"/>
          <w:szCs w:val="21"/>
          <w:lang w:val="en-US" w:eastAsia="zh-CN"/>
        </w:rPr>
        <w:t>soumissionnaire</w:t>
      </w:r>
      <w:r>
        <w:rPr>
          <w:bCs/>
          <w:szCs w:val="21"/>
          <w:lang w:val="fr-FR"/>
        </w:rPr>
        <w:t xml:space="preserve"> d'effectuer des travaux conformément aux normes et réglementations pertinentes du secteur, et ne doit pas exiger les critères qui sont incompatibles avec les normes et réglementations du secteur.</w:t>
      </w:r>
    </w:p>
    <w:p w14:paraId="3894AE9E">
      <w:pPr>
        <w:spacing w:line="360" w:lineRule="auto"/>
        <w:ind w:left="420" w:leftChars="200"/>
        <w:rPr>
          <w:szCs w:val="21"/>
        </w:rPr>
      </w:pPr>
      <w:r>
        <w:rPr>
          <w:szCs w:val="21"/>
        </w:rPr>
        <w:t>6.运输过程中</w:t>
      </w:r>
      <w:r>
        <w:rPr>
          <w:rFonts w:hint="eastAsia"/>
          <w:szCs w:val="21"/>
        </w:rPr>
        <w:t>响应人</w:t>
      </w:r>
      <w:r>
        <w:rPr>
          <w:szCs w:val="21"/>
        </w:rPr>
        <w:t>不得掺假、损失或调换矿石，如发现将按12美元/吨从运费中扣罚。</w:t>
      </w:r>
    </w:p>
    <w:p w14:paraId="3AFBB4EC">
      <w:pPr>
        <w:spacing w:line="360" w:lineRule="auto"/>
        <w:ind w:left="420" w:leftChars="200"/>
        <w:rPr>
          <w:szCs w:val="21"/>
          <w:lang w:val="fr-FR"/>
        </w:rPr>
      </w:pPr>
      <w:r>
        <w:rPr>
          <w:rFonts w:hint="eastAsia"/>
          <w:bCs/>
          <w:szCs w:val="21"/>
          <w:lang w:val="en-US" w:eastAsia="zh-CN"/>
        </w:rPr>
        <w:t>L</w:t>
      </w:r>
      <w:r>
        <w:rPr>
          <w:rFonts w:hint="eastAsia"/>
          <w:bCs/>
          <w:szCs w:val="21"/>
          <w:lang w:val="fr-FR" w:eastAsia="zh-CN"/>
        </w:rPr>
        <w:t xml:space="preserve">e </w:t>
      </w:r>
      <w:r>
        <w:rPr>
          <w:rFonts w:hint="eastAsia"/>
          <w:szCs w:val="21"/>
          <w:lang w:val="en-US" w:eastAsia="zh-CN"/>
        </w:rPr>
        <w:t>soumissionnaire</w:t>
      </w:r>
      <w:r>
        <w:rPr>
          <w:szCs w:val="21"/>
          <w:lang w:val="fr-FR"/>
        </w:rPr>
        <w:t xml:space="preserve"> ne doit pas falsifier, perdre ou échanger de la bauxite pendant le transport ; si elle est découverte, la pénalité sera déduite du coût du fret à raison de 12 USD/tonne.</w:t>
      </w:r>
    </w:p>
    <w:p w14:paraId="44C1921D">
      <w:pPr>
        <w:widowControl/>
        <w:spacing w:line="360" w:lineRule="auto"/>
        <w:ind w:left="420" w:leftChars="200"/>
        <w:jc w:val="left"/>
        <w:rPr>
          <w:rFonts w:hint="default"/>
          <w:szCs w:val="21"/>
        </w:rPr>
      </w:pPr>
      <w:r>
        <w:rPr>
          <w:rFonts w:hint="eastAsia"/>
          <w:szCs w:val="21"/>
        </w:rPr>
        <w:t>响应人</w:t>
      </w:r>
      <w:r>
        <w:rPr>
          <w:rFonts w:hint="default"/>
          <w:szCs w:val="21"/>
        </w:rPr>
        <w:t>运输车辆在运输途中侧翻导致矿石损失的，考核500美元/ 车；运输途中车辆脱离运输路线造成矿石流失或倒卖或偷换矿石的，考核20000美元/ 车。</w:t>
      </w:r>
    </w:p>
    <w:p w14:paraId="7C490BC5">
      <w:pPr>
        <w:widowControl/>
        <w:spacing w:line="360" w:lineRule="auto"/>
        <w:ind w:left="420" w:leftChars="200"/>
        <w:jc w:val="left"/>
        <w:rPr>
          <w:szCs w:val="21"/>
          <w:lang w:val="fr-FR"/>
        </w:rPr>
      </w:pPr>
      <w:r>
        <w:rPr>
          <w:rFonts w:hint="default"/>
          <w:szCs w:val="21"/>
        </w:rPr>
        <w:t>En cas de renversement des véhicules de transport du</w:t>
      </w:r>
      <w:r>
        <w:rPr>
          <w:rFonts w:hint="eastAsia"/>
          <w:bCs/>
          <w:szCs w:val="21"/>
          <w:lang w:val="fr-FR" w:eastAsia="zh-CN"/>
        </w:rPr>
        <w:t xml:space="preserve"> </w:t>
      </w:r>
      <w:r>
        <w:rPr>
          <w:rFonts w:hint="eastAsia"/>
          <w:szCs w:val="21"/>
          <w:lang w:val="en-US" w:eastAsia="zh-CN"/>
        </w:rPr>
        <w:t>soumissionnaire</w:t>
      </w:r>
      <w:r>
        <w:rPr>
          <w:rFonts w:hint="default"/>
          <w:szCs w:val="21"/>
        </w:rPr>
        <w:t xml:space="preserve"> pendant le trajet entraînant une perte de bauxite, une sanction de 500 dollars par véhicule sera appliquée ; si un véhicule s'écarte de l'itinéraire de transport prescrit pendant le trajet, entraînant la perte, la revente ou le remplacement de la bauxite, une sanction de 20 000 dollars par véhicule sera appliquée.</w:t>
      </w:r>
    </w:p>
    <w:p w14:paraId="65588D2F">
      <w:pPr>
        <w:spacing w:line="360" w:lineRule="auto"/>
        <w:ind w:left="420" w:leftChars="200"/>
        <w:rPr>
          <w:szCs w:val="21"/>
        </w:rPr>
      </w:pPr>
      <w:r>
        <w:rPr>
          <w:szCs w:val="21"/>
        </w:rPr>
        <w:t>7.</w:t>
      </w:r>
      <w:r>
        <w:rPr>
          <w:rFonts w:hint="eastAsia"/>
          <w:szCs w:val="21"/>
        </w:rPr>
        <w:t>响应人</w:t>
      </w:r>
      <w:r>
        <w:rPr>
          <w:szCs w:val="21"/>
        </w:rPr>
        <w:t>车辆在</w:t>
      </w:r>
      <w:r>
        <w:rPr>
          <w:rFonts w:hint="eastAsia"/>
          <w:szCs w:val="21"/>
          <w:highlight w:val="none"/>
          <w:lang w:val="en-US" w:eastAsia="zh-CN"/>
        </w:rPr>
        <w:t>运矿、卸车过程中出现超速、插队，</w:t>
      </w:r>
      <w:r>
        <w:rPr>
          <w:szCs w:val="21"/>
          <w:highlight w:val="none"/>
        </w:rPr>
        <w:t>发现每车次给予</w:t>
      </w:r>
      <w:r>
        <w:rPr>
          <w:rFonts w:hint="eastAsia"/>
          <w:szCs w:val="21"/>
          <w:highlight w:val="none"/>
          <w:lang w:val="en-US" w:eastAsia="zh-CN"/>
        </w:rPr>
        <w:t>3</w:t>
      </w:r>
      <w:r>
        <w:rPr>
          <w:szCs w:val="21"/>
          <w:highlight w:val="none"/>
        </w:rPr>
        <w:t>00美元</w:t>
      </w:r>
      <w:r>
        <w:rPr>
          <w:szCs w:val="21"/>
        </w:rPr>
        <w:t xml:space="preserve">的罚款。 </w:t>
      </w:r>
    </w:p>
    <w:p w14:paraId="112D40E8">
      <w:pPr>
        <w:spacing w:line="360" w:lineRule="auto"/>
        <w:ind w:firstLine="420" w:firstLineChars="200"/>
        <w:rPr>
          <w:szCs w:val="21"/>
          <w:lang w:val="fr-FR"/>
        </w:rPr>
      </w:pPr>
      <w:r>
        <w:rPr>
          <w:rFonts w:hint="eastAsia"/>
          <w:szCs w:val="21"/>
          <w:lang w:val="fr-FR"/>
        </w:rPr>
        <w:t>En cas d’excès de vitesse ou de non-respect de l’ordre de passage (insertion) constaté sur les véhicules du soumissionnaire pendant le transport du minerai ou les opérations de déchargement, une amende de 300 dollars américains par voyage sera appliquée</w:t>
      </w:r>
      <w:r>
        <w:rPr>
          <w:szCs w:val="21"/>
          <w:lang w:val="fr-FR"/>
        </w:rPr>
        <w:t>.</w:t>
      </w:r>
    </w:p>
    <w:p w14:paraId="101FCF4A">
      <w:pPr>
        <w:adjustRightInd w:val="0"/>
        <w:snapToGrid w:val="0"/>
        <w:spacing w:line="360" w:lineRule="auto"/>
        <w:ind w:firstLine="420" w:firstLineChars="200"/>
      </w:pPr>
      <w:r>
        <w:t>……</w:t>
      </w:r>
    </w:p>
    <w:p w14:paraId="002BD97B">
      <w:pPr>
        <w:widowControl/>
        <w:jc w:val="left"/>
      </w:pPr>
    </w:p>
    <w:p w14:paraId="0F81EFDE">
      <w:pPr>
        <w:widowControl/>
        <w:jc w:val="left"/>
      </w:pPr>
    </w:p>
    <w:p w14:paraId="06DBC210">
      <w:pPr>
        <w:spacing w:line="400" w:lineRule="exact"/>
        <w:jc w:val="center"/>
      </w:pPr>
    </w:p>
    <w:p w14:paraId="37B08BF2"/>
    <w:p w14:paraId="0AF59C3B">
      <w:pPr>
        <w:pStyle w:val="2"/>
        <w:adjustRightInd w:val="0"/>
        <w:snapToGrid w:val="0"/>
        <w:spacing w:before="0" w:after="0" w:line="360" w:lineRule="auto"/>
        <w:jc w:val="center"/>
        <w:rPr>
          <w:sz w:val="28"/>
          <w:szCs w:val="28"/>
        </w:rPr>
        <w:sectPr>
          <w:footerReference r:id="rId8" w:type="default"/>
          <w:pgSz w:w="11906" w:h="16838"/>
          <w:pgMar w:top="1417" w:right="1134" w:bottom="1134" w:left="1417" w:header="851" w:footer="850" w:gutter="0"/>
          <w:cols w:space="720" w:num="1"/>
          <w:titlePg/>
          <w:docGrid w:linePitch="312" w:charSpace="0"/>
        </w:sectPr>
      </w:pPr>
      <w:bookmarkStart w:id="82" w:name="_Toc13119"/>
    </w:p>
    <w:p w14:paraId="0B774AB2">
      <w:pPr>
        <w:pStyle w:val="2"/>
        <w:adjustRightInd w:val="0"/>
        <w:snapToGrid w:val="0"/>
        <w:spacing w:before="0" w:after="0" w:line="360" w:lineRule="auto"/>
        <w:jc w:val="center"/>
        <w:rPr>
          <w:b w:val="0"/>
          <w:bCs/>
        </w:rPr>
      </w:pPr>
      <w:r>
        <w:rPr>
          <w:sz w:val="28"/>
          <w:szCs w:val="28"/>
        </w:rPr>
        <w:t>第三章 合同</w:t>
      </w:r>
      <w:bookmarkEnd w:id="82"/>
    </w:p>
    <w:p w14:paraId="70DA24DB">
      <w:pPr>
        <w:jc w:val="center"/>
        <w:rPr>
          <w:rFonts w:hint="default" w:ascii="Times New Roman" w:hAnsi="Times New Roman" w:eastAsia="方正小标宋简体" w:cs="Times New Roman"/>
          <w:w w:val="104"/>
          <w:sz w:val="36"/>
          <w:szCs w:val="36"/>
          <w:highlight w:val="none"/>
        </w:rPr>
      </w:pPr>
      <w:bookmarkStart w:id="83" w:name="_Toc19582"/>
      <w:bookmarkStart w:id="84" w:name="_Toc15382"/>
      <w:r>
        <w:rPr>
          <w:rFonts w:hint="default" w:ascii="Times New Roman" w:hAnsi="Times New Roman" w:eastAsia="方正小标宋简体" w:cs="Times New Roman"/>
          <w:w w:val="104"/>
          <w:sz w:val="36"/>
          <w:szCs w:val="36"/>
          <w:highlight w:val="none"/>
        </w:rPr>
        <w:t>国家电投几内亚铝业开发项目</w:t>
      </w:r>
    </w:p>
    <w:p w14:paraId="2D67B71E">
      <w:pPr>
        <w:jc w:val="center"/>
        <w:rPr>
          <w:rFonts w:hint="default" w:ascii="Times New Roman" w:hAnsi="Times New Roman" w:eastAsia="方正小标宋简体" w:cs="Times New Roman"/>
          <w:w w:val="104"/>
          <w:sz w:val="36"/>
          <w:szCs w:val="36"/>
          <w:highlight w:val="none"/>
        </w:rPr>
      </w:pPr>
      <w:r>
        <w:rPr>
          <w:rFonts w:hint="default" w:ascii="Times New Roman" w:hAnsi="Times New Roman" w:eastAsia="方正小标宋简体" w:cs="Times New Roman"/>
          <w:w w:val="104"/>
          <w:sz w:val="36"/>
          <w:szCs w:val="36"/>
          <w:highlight w:val="none"/>
        </w:rPr>
        <w:t>Projet d</w:t>
      </w:r>
      <w:r>
        <w:rPr>
          <w:rFonts w:hint="default" w:ascii="Times New Roman" w:hAnsi="Times New Roman" w:eastAsia="方正小标宋简体" w:cs="Times New Roman"/>
          <w:w w:val="104"/>
          <w:sz w:val="36"/>
          <w:szCs w:val="36"/>
          <w:highlight w:val="none"/>
          <w:lang w:eastAsia="zh-CN"/>
        </w:rPr>
        <w:t>'</w:t>
      </w:r>
      <w:r>
        <w:rPr>
          <w:rFonts w:hint="default" w:ascii="Times New Roman" w:hAnsi="Times New Roman" w:eastAsia="方正小标宋简体" w:cs="Times New Roman"/>
          <w:w w:val="104"/>
          <w:sz w:val="36"/>
          <w:szCs w:val="36"/>
          <w:highlight w:val="none"/>
        </w:rPr>
        <w:t>Exploitation d</w:t>
      </w:r>
      <w:r>
        <w:rPr>
          <w:rFonts w:hint="default" w:ascii="Times New Roman" w:hAnsi="Times New Roman" w:eastAsia="方正小标宋简体" w:cs="Times New Roman"/>
          <w:w w:val="104"/>
          <w:sz w:val="36"/>
          <w:szCs w:val="36"/>
          <w:highlight w:val="none"/>
          <w:lang w:eastAsia="zh-CN"/>
        </w:rPr>
        <w:t>'</w:t>
      </w:r>
      <w:r>
        <w:rPr>
          <w:rFonts w:hint="default" w:ascii="Times New Roman" w:hAnsi="Times New Roman" w:eastAsia="方正小标宋简体" w:cs="Times New Roman"/>
          <w:w w:val="104"/>
          <w:sz w:val="36"/>
          <w:szCs w:val="36"/>
          <w:highlight w:val="none"/>
        </w:rPr>
        <w:t>Alumine de SPIC en Guinée</w:t>
      </w:r>
    </w:p>
    <w:p w14:paraId="69C48184">
      <w:pPr>
        <w:jc w:val="center"/>
        <w:rPr>
          <w:rFonts w:hint="default" w:ascii="Times New Roman" w:hAnsi="Times New Roman" w:eastAsia="方正小标宋简体" w:cs="Times New Roman"/>
          <w:w w:val="104"/>
          <w:sz w:val="36"/>
          <w:szCs w:val="36"/>
          <w:highlight w:val="none"/>
        </w:rPr>
      </w:pPr>
      <w:r>
        <w:rPr>
          <w:rFonts w:hint="default" w:ascii="Times New Roman" w:hAnsi="Times New Roman" w:eastAsia="方正小标宋简体" w:cs="Times New Roman"/>
          <w:w w:val="104"/>
          <w:sz w:val="36"/>
          <w:szCs w:val="36"/>
          <w:highlight w:val="none"/>
        </w:rPr>
        <w:t>铝土矿道路运输合同</w:t>
      </w:r>
    </w:p>
    <w:p w14:paraId="2D233F16">
      <w:pPr>
        <w:jc w:val="center"/>
        <w:rPr>
          <w:rFonts w:hint="default" w:ascii="Times New Roman" w:hAnsi="Times New Roman" w:eastAsia="方正小标宋简体" w:cs="Times New Roman"/>
          <w:w w:val="104"/>
          <w:sz w:val="36"/>
          <w:szCs w:val="36"/>
          <w:highlight w:val="none"/>
        </w:rPr>
      </w:pPr>
      <w:r>
        <w:rPr>
          <w:rFonts w:hint="default" w:ascii="Times New Roman" w:hAnsi="Times New Roman" w:eastAsia="方正小标宋简体" w:cs="Times New Roman"/>
          <w:w w:val="104"/>
          <w:sz w:val="36"/>
          <w:szCs w:val="36"/>
          <w:highlight w:val="none"/>
        </w:rPr>
        <w:t>contrat de transport routier de la bauxite</w:t>
      </w:r>
    </w:p>
    <w:p w14:paraId="7D8B3F08">
      <w:pPr>
        <w:pStyle w:val="20"/>
        <w:rPr>
          <w:rFonts w:hint="default" w:ascii="Times New Roman" w:hAnsi="Times New Roman" w:cs="Times New Roman"/>
          <w:highlight w:val="none"/>
        </w:rPr>
      </w:pPr>
    </w:p>
    <w:p w14:paraId="532B80E1">
      <w:pPr>
        <w:pStyle w:val="20"/>
        <w:rPr>
          <w:rFonts w:hint="default" w:ascii="Times New Roman" w:hAnsi="Times New Roman" w:cs="Times New Roman"/>
          <w:highlight w:val="none"/>
        </w:rPr>
      </w:pPr>
    </w:p>
    <w:p w14:paraId="6BBB91D5">
      <w:pPr>
        <w:jc w:val="center"/>
        <w:rPr>
          <w:rFonts w:hint="default" w:ascii="Times New Roman" w:hAnsi="Times New Roman" w:cs="Times New Roman"/>
          <w:highlight w:val="none"/>
        </w:rPr>
      </w:pPr>
    </w:p>
    <w:p w14:paraId="3AFF96DD">
      <w:pPr>
        <w:jc w:val="center"/>
        <w:rPr>
          <w:rFonts w:hint="default" w:ascii="Times New Roman" w:hAnsi="Times New Roman" w:cs="Times New Roman"/>
          <w:b/>
          <w:sz w:val="28"/>
          <w:szCs w:val="28"/>
          <w:highlight w:val="none"/>
          <w:lang w:val="en-US" w:eastAsia="zh-CN"/>
        </w:rPr>
      </w:pPr>
      <w:r>
        <w:rPr>
          <w:rFonts w:hint="default" w:ascii="Times New Roman" w:hAnsi="Times New Roman" w:cs="Times New Roman"/>
          <w:b/>
          <w:sz w:val="28"/>
          <w:szCs w:val="28"/>
          <w:highlight w:val="none"/>
        </w:rPr>
        <w:t>合同编号：SPICG-KS-FW-04-11-202</w:t>
      </w:r>
      <w:r>
        <w:rPr>
          <w:rFonts w:hint="eastAsia" w:cs="Times New Roman"/>
          <w:b/>
          <w:sz w:val="28"/>
          <w:szCs w:val="28"/>
          <w:highlight w:val="none"/>
          <w:lang w:val="en-US" w:eastAsia="zh-CN"/>
        </w:rPr>
        <w:t>6</w:t>
      </w:r>
      <w:r>
        <w:rPr>
          <w:rFonts w:hint="default" w:ascii="Times New Roman" w:hAnsi="Times New Roman" w:cs="Times New Roman"/>
          <w:b/>
          <w:sz w:val="28"/>
          <w:szCs w:val="28"/>
          <w:highlight w:val="none"/>
        </w:rPr>
        <w:t>-0</w:t>
      </w:r>
      <w:r>
        <w:rPr>
          <w:rFonts w:hint="eastAsia" w:cs="Times New Roman"/>
          <w:b/>
          <w:sz w:val="28"/>
          <w:szCs w:val="28"/>
          <w:highlight w:val="none"/>
          <w:lang w:val="en-US" w:eastAsia="zh-CN"/>
        </w:rPr>
        <w:t xml:space="preserve">** </w:t>
      </w:r>
    </w:p>
    <w:p w14:paraId="04A9C016">
      <w:pPr>
        <w:jc w:val="center"/>
        <w:rPr>
          <w:rFonts w:hint="default" w:ascii="Times New Roman" w:hAnsi="Times New Roman" w:cs="Times New Roman"/>
          <w:b/>
          <w:sz w:val="28"/>
          <w:szCs w:val="28"/>
          <w:highlight w:val="none"/>
          <w:lang w:val="fr-FR"/>
        </w:rPr>
      </w:pPr>
      <w:r>
        <w:rPr>
          <w:rFonts w:hint="default" w:ascii="Times New Roman" w:hAnsi="Times New Roman" w:cs="Times New Roman"/>
          <w:b/>
          <w:sz w:val="28"/>
          <w:szCs w:val="28"/>
          <w:highlight w:val="none"/>
          <w:lang w:val="en-US" w:eastAsia="zh-CN"/>
        </w:rPr>
        <w:t>N°de Contrat :SPICG-KS-FW-04-11-202</w:t>
      </w:r>
      <w:r>
        <w:rPr>
          <w:rFonts w:hint="eastAsia" w:cs="Times New Roman"/>
          <w:b/>
          <w:sz w:val="28"/>
          <w:szCs w:val="28"/>
          <w:highlight w:val="none"/>
          <w:lang w:val="en-US" w:eastAsia="zh-CN"/>
        </w:rPr>
        <w:t>6</w:t>
      </w:r>
      <w:r>
        <w:rPr>
          <w:rFonts w:hint="default" w:ascii="Times New Roman" w:hAnsi="Times New Roman" w:cs="Times New Roman"/>
          <w:b/>
          <w:sz w:val="28"/>
          <w:szCs w:val="28"/>
          <w:highlight w:val="none"/>
        </w:rPr>
        <w:t>-0</w:t>
      </w:r>
      <w:r>
        <w:rPr>
          <w:rFonts w:hint="eastAsia" w:cs="Times New Roman"/>
          <w:b/>
          <w:sz w:val="28"/>
          <w:szCs w:val="28"/>
          <w:highlight w:val="none"/>
          <w:lang w:val="en-US" w:eastAsia="zh-CN"/>
        </w:rPr>
        <w:t xml:space="preserve">** </w:t>
      </w:r>
    </w:p>
    <w:p w14:paraId="6E8AC6D0">
      <w:pPr>
        <w:rPr>
          <w:rFonts w:hint="default" w:ascii="Times New Roman" w:hAnsi="Times New Roman" w:cs="Times New Roman"/>
          <w:b/>
          <w:sz w:val="28"/>
          <w:szCs w:val="28"/>
          <w:highlight w:val="none"/>
          <w:lang w:val="fr-FR"/>
        </w:rPr>
      </w:pPr>
    </w:p>
    <w:p w14:paraId="64F84CA9">
      <w:pPr>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rPr>
        <w:t>甲方：几内亚高丽亚矿山股份有限公司</w:t>
      </w:r>
    </w:p>
    <w:p w14:paraId="1542DCF9">
      <w:pPr>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rPr>
        <w:t>Client:  Guinea Colia Mining S.A.</w:t>
      </w:r>
    </w:p>
    <w:p w14:paraId="7B579E22">
      <w:pPr>
        <w:rPr>
          <w:rFonts w:hint="default" w:ascii="Times New Roman" w:hAnsi="Times New Roman" w:cs="Times New Roman"/>
          <w:b/>
          <w:sz w:val="28"/>
          <w:szCs w:val="28"/>
          <w:highlight w:val="none"/>
        </w:rPr>
      </w:pPr>
    </w:p>
    <w:p w14:paraId="7B410D9E">
      <w:pPr>
        <w:rPr>
          <w:rFonts w:hint="eastAsia" w:ascii="Times New Roman" w:hAnsi="Times New Roman" w:eastAsia="宋体" w:cs="Times New Roman"/>
          <w:b/>
          <w:sz w:val="28"/>
          <w:szCs w:val="28"/>
          <w:highlight w:val="none"/>
          <w:lang w:val="fr-FR" w:eastAsia="zh-CN"/>
        </w:rPr>
      </w:pPr>
      <w:r>
        <w:rPr>
          <w:rFonts w:hint="default" w:ascii="Times New Roman" w:hAnsi="Times New Roman" w:cs="Times New Roman"/>
          <w:b/>
          <w:sz w:val="28"/>
          <w:szCs w:val="28"/>
          <w:highlight w:val="none"/>
        </w:rPr>
        <w:t>乙方</w:t>
      </w:r>
      <w:r>
        <w:rPr>
          <w:rFonts w:hint="default" w:ascii="Times New Roman" w:hAnsi="Times New Roman" w:cs="Times New Roman"/>
          <w:b/>
          <w:sz w:val="28"/>
          <w:szCs w:val="28"/>
          <w:highlight w:val="none"/>
          <w:lang w:val="fr-FR"/>
        </w:rPr>
        <w:t>：</w:t>
      </w:r>
    </w:p>
    <w:p w14:paraId="723CF003">
      <w:pPr>
        <w:rPr>
          <w:rFonts w:hint="default" w:ascii="Times New Roman" w:hAnsi="Times New Roman" w:eastAsia="宋体" w:cs="Times New Roman"/>
          <w:b/>
          <w:sz w:val="28"/>
          <w:szCs w:val="28"/>
          <w:highlight w:val="none"/>
          <w:lang w:val="en-US" w:eastAsia="zh-CN"/>
        </w:rPr>
      </w:pPr>
      <w:r>
        <w:rPr>
          <w:rFonts w:hint="default" w:ascii="Times New Roman" w:hAnsi="Times New Roman" w:cs="Times New Roman"/>
          <w:b/>
          <w:sz w:val="28"/>
          <w:szCs w:val="28"/>
          <w:highlight w:val="none"/>
          <w:lang w:val="fr-FR"/>
        </w:rPr>
        <w:t xml:space="preserve">Prestataire : </w:t>
      </w:r>
      <w:r>
        <w:rPr>
          <w:rFonts w:hint="default" w:ascii="Times New Roman" w:hAnsi="Times New Roman" w:cs="Times New Roman"/>
          <w:b/>
          <w:sz w:val="28"/>
          <w:szCs w:val="28"/>
          <w:highlight w:val="none"/>
          <w:lang w:val="en-US" w:eastAsia="zh-CN"/>
        </w:rPr>
        <w:t xml:space="preserve"> </w:t>
      </w:r>
    </w:p>
    <w:p w14:paraId="704A7018">
      <w:pPr>
        <w:spacing w:line="360" w:lineRule="auto"/>
        <w:rPr>
          <w:rFonts w:hint="default" w:ascii="Times New Roman" w:hAnsi="Times New Roman" w:cs="Times New Roman"/>
          <w:sz w:val="28"/>
          <w:szCs w:val="28"/>
          <w:highlight w:val="none"/>
          <w:lang w:val="fr-FR"/>
        </w:rPr>
      </w:pPr>
    </w:p>
    <w:p w14:paraId="5FD4B537">
      <w:pPr>
        <w:spacing w:line="360" w:lineRule="auto"/>
        <w:rPr>
          <w:rFonts w:hint="default" w:ascii="Times New Roman" w:hAnsi="Times New Roman" w:cs="Times New Roman"/>
          <w:sz w:val="28"/>
          <w:szCs w:val="28"/>
          <w:highlight w:val="none"/>
          <w:lang w:val="fr-FR"/>
        </w:rPr>
      </w:pPr>
    </w:p>
    <w:p w14:paraId="52FB1875">
      <w:pPr>
        <w:spacing w:line="360" w:lineRule="auto"/>
        <w:ind w:left="2835" w:leftChars="1350"/>
        <w:rPr>
          <w:rFonts w:hint="default" w:ascii="Times New Roman" w:hAnsi="Times New Roman" w:cs="Times New Roman"/>
          <w:sz w:val="28"/>
          <w:szCs w:val="28"/>
          <w:highlight w:val="none"/>
          <w:lang w:val="fr-FR"/>
        </w:rPr>
      </w:pPr>
    </w:p>
    <w:p w14:paraId="4AF0101B">
      <w:pPr>
        <w:spacing w:line="360" w:lineRule="auto"/>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 xml:space="preserve">                    </w:t>
      </w:r>
      <w:r>
        <w:rPr>
          <w:rFonts w:hint="default" w:ascii="Times New Roman" w:hAnsi="Times New Roman" w:cs="Times New Roman"/>
          <w:sz w:val="28"/>
          <w:szCs w:val="28"/>
          <w:highlight w:val="none"/>
        </w:rPr>
        <w:t>签订日期</w:t>
      </w:r>
      <w:r>
        <w:rPr>
          <w:rFonts w:hint="default" w:ascii="Times New Roman" w:hAnsi="Times New Roman" w:cs="Times New Roman"/>
          <w:sz w:val="28"/>
          <w:szCs w:val="28"/>
          <w:highlight w:val="none"/>
          <w:lang w:val="fr-FR"/>
        </w:rPr>
        <w:t>：</w:t>
      </w:r>
      <w:r>
        <w:rPr>
          <w:rFonts w:hint="default" w:ascii="Times New Roman" w:hAnsi="Times New Roman" w:cs="Times New Roman"/>
          <w:sz w:val="28"/>
          <w:szCs w:val="28"/>
          <w:highlight w:val="none"/>
          <w:lang w:val="en-US" w:eastAsia="zh-CN"/>
        </w:rPr>
        <w:t>202</w:t>
      </w:r>
      <w:r>
        <w:rPr>
          <w:rFonts w:hint="eastAsia" w:cs="Times New Roman"/>
          <w:sz w:val="28"/>
          <w:szCs w:val="28"/>
          <w:highlight w:val="none"/>
          <w:lang w:val="en-US" w:eastAsia="zh-CN"/>
        </w:rPr>
        <w:t>6</w:t>
      </w:r>
      <w:r>
        <w:rPr>
          <w:rFonts w:hint="default" w:ascii="Times New Roman" w:hAnsi="Times New Roman" w:cs="Times New Roman"/>
          <w:sz w:val="28"/>
          <w:szCs w:val="28"/>
          <w:highlight w:val="none"/>
        </w:rPr>
        <w:t>年</w:t>
      </w:r>
      <w:r>
        <w:rPr>
          <w:rFonts w:hint="eastAsia" w:cs="Times New Roman"/>
          <w:sz w:val="28"/>
          <w:szCs w:val="28"/>
          <w:highlight w:val="none"/>
          <w:lang w:val="en-US" w:eastAsia="zh-CN"/>
        </w:rPr>
        <w:t>00</w:t>
      </w:r>
      <w:r>
        <w:rPr>
          <w:rFonts w:hint="default" w:ascii="Times New Roman" w:hAnsi="Times New Roman" w:cs="Times New Roman"/>
          <w:sz w:val="28"/>
          <w:szCs w:val="28"/>
          <w:highlight w:val="none"/>
        </w:rPr>
        <w:t>月</w:t>
      </w:r>
      <w:r>
        <w:rPr>
          <w:rFonts w:hint="eastAsia" w:cs="Times New Roman"/>
          <w:sz w:val="28"/>
          <w:szCs w:val="28"/>
          <w:highlight w:val="none"/>
          <w:lang w:val="en-US" w:eastAsia="zh-CN"/>
        </w:rPr>
        <w:t>00</w:t>
      </w:r>
      <w:r>
        <w:rPr>
          <w:rFonts w:hint="default" w:ascii="Times New Roman" w:hAnsi="Times New Roman" w:cs="Times New Roman"/>
          <w:sz w:val="28"/>
          <w:szCs w:val="28"/>
          <w:highlight w:val="none"/>
        </w:rPr>
        <w:t>日</w:t>
      </w:r>
    </w:p>
    <w:p w14:paraId="35A97050">
      <w:pPr>
        <w:spacing w:line="360" w:lineRule="auto"/>
        <w:ind w:firstLine="2800" w:firstLineChars="1000"/>
        <w:jc w:val="both"/>
        <w:rPr>
          <w:rFonts w:hint="default" w:ascii="Times New Roman" w:hAnsi="Times New Roman" w:eastAsia="宋体" w:cs="Times New Roman"/>
          <w:color w:val="0000FF"/>
          <w:sz w:val="28"/>
          <w:szCs w:val="28"/>
          <w:highlight w:val="none"/>
          <w:lang w:val="en-US" w:eastAsia="zh-CN"/>
        </w:rPr>
      </w:pPr>
      <w:r>
        <w:rPr>
          <w:rFonts w:hint="default" w:ascii="Times New Roman" w:hAnsi="Times New Roman" w:cs="Times New Roman"/>
          <w:sz w:val="28"/>
          <w:szCs w:val="28"/>
          <w:highlight w:val="none"/>
          <w:lang w:val="fr-FR"/>
        </w:rPr>
        <w:t xml:space="preserve">Date de signature : </w:t>
      </w:r>
      <w:r>
        <w:rPr>
          <w:rFonts w:hint="eastAsia" w:cs="Times New Roman"/>
          <w:sz w:val="28"/>
          <w:szCs w:val="28"/>
          <w:highlight w:val="none"/>
          <w:lang w:val="en-US" w:eastAsia="zh-CN"/>
        </w:rPr>
        <w:t>00</w:t>
      </w:r>
      <w:r>
        <w:rPr>
          <w:rFonts w:hint="default" w:ascii="Times New Roman" w:hAnsi="Times New Roman" w:cs="Times New Roman"/>
          <w:sz w:val="28"/>
          <w:szCs w:val="28"/>
          <w:highlight w:val="none"/>
          <w:lang w:val="en-US" w:eastAsia="zh-CN"/>
        </w:rPr>
        <w:t>/</w:t>
      </w:r>
      <w:r>
        <w:rPr>
          <w:rFonts w:hint="eastAsia" w:cs="Times New Roman"/>
          <w:sz w:val="28"/>
          <w:szCs w:val="28"/>
          <w:highlight w:val="none"/>
          <w:lang w:val="en-US" w:eastAsia="zh-CN"/>
        </w:rPr>
        <w:t>00</w:t>
      </w:r>
      <w:r>
        <w:rPr>
          <w:rFonts w:hint="default" w:ascii="Times New Roman" w:hAnsi="Times New Roman" w:cs="Times New Roman"/>
          <w:sz w:val="28"/>
          <w:szCs w:val="28"/>
          <w:highlight w:val="none"/>
          <w:lang w:val="en-US" w:eastAsia="zh-CN"/>
        </w:rPr>
        <w:t>/202</w:t>
      </w:r>
      <w:r>
        <w:rPr>
          <w:rFonts w:hint="eastAsia" w:cs="Times New Roman"/>
          <w:sz w:val="28"/>
          <w:szCs w:val="28"/>
          <w:highlight w:val="none"/>
          <w:lang w:val="en-US" w:eastAsia="zh-CN"/>
        </w:rPr>
        <w:t>6</w:t>
      </w:r>
      <w:r>
        <w:rPr>
          <w:rFonts w:hint="default" w:ascii="Times New Roman" w:hAnsi="Times New Roman" w:cs="Times New Roman"/>
          <w:color w:val="0000FF"/>
          <w:sz w:val="28"/>
          <w:szCs w:val="28"/>
          <w:highlight w:val="none"/>
          <w:lang w:val="en-US" w:eastAsia="zh-CN"/>
        </w:rPr>
        <w:t xml:space="preserve"> </w:t>
      </w:r>
    </w:p>
    <w:p w14:paraId="3745B037">
      <w:pPr>
        <w:spacing w:line="360" w:lineRule="auto"/>
        <w:jc w:val="both"/>
        <w:rPr>
          <w:rFonts w:hint="default" w:ascii="Times New Roman" w:hAnsi="Times New Roman" w:cs="Times New Roman"/>
          <w:sz w:val="28"/>
          <w:szCs w:val="28"/>
          <w:highlight w:val="none"/>
          <w:lang w:val="fr-FR"/>
        </w:rPr>
      </w:pPr>
    </w:p>
    <w:p w14:paraId="3642A298">
      <w:pPr>
        <w:spacing w:line="360" w:lineRule="auto"/>
        <w:ind w:firstLine="2800" w:firstLineChars="1000"/>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签订地点</w:t>
      </w:r>
      <w:r>
        <w:rPr>
          <w:rFonts w:hint="default" w:ascii="Times New Roman" w:hAnsi="Times New Roman" w:cs="Times New Roman"/>
          <w:sz w:val="28"/>
          <w:szCs w:val="28"/>
          <w:highlight w:val="none"/>
          <w:lang w:val="fr-FR"/>
        </w:rPr>
        <w:t>：</w:t>
      </w:r>
      <w:r>
        <w:rPr>
          <w:rFonts w:hint="default" w:ascii="Times New Roman" w:hAnsi="Times New Roman" w:cs="Times New Roman"/>
          <w:sz w:val="28"/>
          <w:szCs w:val="28"/>
          <w:highlight w:val="none"/>
        </w:rPr>
        <w:t>几内亚博法</w:t>
      </w:r>
    </w:p>
    <w:p w14:paraId="6A1D9B9E">
      <w:pPr>
        <w:spacing w:line="360" w:lineRule="auto"/>
        <w:ind w:firstLine="2800" w:firstLineChars="1000"/>
        <w:jc w:val="both"/>
        <w:rPr>
          <w:rFonts w:hint="default" w:ascii="Times New Roman" w:hAnsi="Times New Roman" w:cs="Times New Roman"/>
          <w:sz w:val="28"/>
          <w:szCs w:val="28"/>
          <w:highlight w:val="none"/>
          <w:lang w:val="en-US" w:eastAsia="zh-CN"/>
        </w:rPr>
      </w:pPr>
      <w:r>
        <w:rPr>
          <w:rFonts w:hint="default" w:ascii="Times New Roman" w:hAnsi="Times New Roman" w:cs="Times New Roman"/>
          <w:sz w:val="28"/>
          <w:szCs w:val="28"/>
          <w:highlight w:val="none"/>
          <w:lang w:val="fr-FR"/>
        </w:rPr>
        <w:t>Lieu de signature : Boffa</w:t>
      </w:r>
      <w:r>
        <w:rPr>
          <w:rFonts w:hint="default" w:ascii="Times New Roman" w:hAnsi="Times New Roman" w:cs="Times New Roman"/>
          <w:sz w:val="28"/>
          <w:szCs w:val="28"/>
          <w:highlight w:val="none"/>
          <w:lang w:val="en-US" w:eastAsia="zh-CN"/>
        </w:rPr>
        <w:t>, en Guin</w:t>
      </w:r>
      <w:r>
        <w:rPr>
          <w:rFonts w:hint="default" w:ascii="Times New Roman" w:hAnsi="Times New Roman" w:cs="Times New Roman"/>
          <w:sz w:val="28"/>
          <w:szCs w:val="28"/>
          <w:highlight w:val="none"/>
        </w:rPr>
        <w:t>é</w:t>
      </w:r>
      <w:r>
        <w:rPr>
          <w:rFonts w:hint="default" w:ascii="Times New Roman" w:hAnsi="Times New Roman" w:cs="Times New Roman"/>
          <w:sz w:val="28"/>
          <w:szCs w:val="28"/>
          <w:highlight w:val="none"/>
          <w:lang w:val="en-US" w:eastAsia="zh-CN"/>
        </w:rPr>
        <w:t>e</w:t>
      </w:r>
    </w:p>
    <w:p w14:paraId="6C499DB4">
      <w:pPr>
        <w:spacing w:line="360" w:lineRule="auto"/>
        <w:ind w:firstLine="422" w:firstLineChars="200"/>
        <w:jc w:val="center"/>
        <w:rPr>
          <w:rFonts w:hint="default" w:ascii="Times New Roman" w:hAnsi="Times New Roman" w:cs="Times New Roman"/>
          <w:b/>
          <w:szCs w:val="21"/>
          <w:highlight w:val="none"/>
        </w:rPr>
      </w:pPr>
    </w:p>
    <w:p w14:paraId="07FBA626">
      <w:pPr>
        <w:spacing w:line="360" w:lineRule="auto"/>
        <w:ind w:firstLine="420" w:firstLineChars="200"/>
        <w:rPr>
          <w:rFonts w:hint="default" w:ascii="Times New Roman" w:hAnsi="Times New Roman" w:cs="Times New Roman"/>
          <w:szCs w:val="21"/>
          <w:highlight w:val="none"/>
        </w:rPr>
      </w:pPr>
    </w:p>
    <w:p w14:paraId="0FB0FC88">
      <w:pPr>
        <w:spacing w:line="360" w:lineRule="auto"/>
        <w:ind w:firstLine="420" w:firstLineChars="200"/>
        <w:rPr>
          <w:rFonts w:hint="default" w:ascii="Times New Roman" w:hAnsi="Times New Roman" w:cs="Times New Roman"/>
          <w:szCs w:val="21"/>
          <w:highlight w:val="none"/>
        </w:rPr>
      </w:pPr>
    </w:p>
    <w:p w14:paraId="6B41ADBF">
      <w:pPr>
        <w:spacing w:line="360" w:lineRule="auto"/>
        <w:ind w:firstLine="420" w:firstLineChars="200"/>
        <w:rPr>
          <w:rFonts w:hint="default" w:ascii="Times New Roman" w:hAnsi="Times New Roman" w:cs="Times New Roman"/>
          <w:szCs w:val="21"/>
          <w:highlight w:val="none"/>
          <w:lang w:val="fr-FR"/>
        </w:rPr>
      </w:pPr>
      <w:r>
        <w:rPr>
          <w:rFonts w:hint="default" w:ascii="Times New Roman" w:hAnsi="Times New Roman" w:cs="Times New Roman"/>
          <w:szCs w:val="21"/>
          <w:highlight w:val="none"/>
        </w:rPr>
        <w:t>委托方</w:t>
      </w:r>
      <w:r>
        <w:rPr>
          <w:rFonts w:hint="default" w:ascii="Times New Roman" w:hAnsi="Times New Roman" w:cs="Times New Roman"/>
          <w:szCs w:val="21"/>
          <w:highlight w:val="none"/>
          <w:lang w:val="fr-FR"/>
        </w:rPr>
        <w:t>（</w:t>
      </w:r>
      <w:r>
        <w:rPr>
          <w:rFonts w:hint="default" w:ascii="Times New Roman" w:hAnsi="Times New Roman" w:cs="Times New Roman"/>
          <w:szCs w:val="21"/>
          <w:highlight w:val="none"/>
        </w:rPr>
        <w:t>甲方</w:t>
      </w:r>
      <w:r>
        <w:rPr>
          <w:rFonts w:hint="default" w:ascii="Times New Roman" w:hAnsi="Times New Roman" w:cs="Times New Roman"/>
          <w:szCs w:val="21"/>
          <w:highlight w:val="none"/>
          <w:lang w:val="fr-FR"/>
        </w:rPr>
        <w:t>）：</w:t>
      </w:r>
      <w:r>
        <w:rPr>
          <w:rFonts w:hint="default" w:ascii="Times New Roman" w:hAnsi="Times New Roman" w:cs="Times New Roman"/>
          <w:szCs w:val="21"/>
          <w:highlight w:val="none"/>
        </w:rPr>
        <w:t>几内亚高丽亚矿山股份有限公司</w:t>
      </w:r>
    </w:p>
    <w:p w14:paraId="1FBE7532">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lang w:val="fr-FR" w:eastAsia="zh-CN"/>
        </w:rPr>
        <w:t>Client</w:t>
      </w:r>
      <w:r>
        <w:rPr>
          <w:rFonts w:hint="default" w:ascii="Times New Roman" w:hAnsi="Times New Roman" w:cs="Times New Roman"/>
          <w:szCs w:val="21"/>
          <w:highlight w:val="none"/>
          <w:lang w:val="fr-FR"/>
        </w:rPr>
        <w:t>: Guinea Colia Mining S.A.</w:t>
      </w:r>
    </w:p>
    <w:p w14:paraId="32617A9A">
      <w:pPr>
        <w:spacing w:line="360" w:lineRule="auto"/>
        <w:ind w:firstLine="420" w:firstLineChars="200"/>
        <w:rPr>
          <w:rFonts w:hint="default" w:ascii="Times New Roman" w:hAnsi="Times New Roman" w:eastAsia="宋体" w:cs="Times New Roman"/>
          <w:szCs w:val="21"/>
          <w:highlight w:val="none"/>
          <w:lang w:val="fr-FR" w:eastAsia="zh-CN"/>
        </w:rPr>
      </w:pPr>
      <w:r>
        <w:rPr>
          <w:rFonts w:hint="default" w:ascii="Times New Roman" w:hAnsi="Times New Roman" w:cs="Times New Roman"/>
          <w:szCs w:val="21"/>
          <w:highlight w:val="none"/>
        </w:rPr>
        <w:t>受托方</w:t>
      </w:r>
      <w:r>
        <w:rPr>
          <w:rFonts w:hint="default" w:ascii="Times New Roman" w:hAnsi="Times New Roman" w:cs="Times New Roman"/>
          <w:szCs w:val="21"/>
          <w:highlight w:val="none"/>
          <w:lang w:val="fr-FR"/>
        </w:rPr>
        <w:t>（</w:t>
      </w:r>
      <w:r>
        <w:rPr>
          <w:rFonts w:hint="default" w:ascii="Times New Roman" w:hAnsi="Times New Roman" w:cs="Times New Roman"/>
          <w:szCs w:val="21"/>
          <w:highlight w:val="none"/>
        </w:rPr>
        <w:t>乙方</w:t>
      </w:r>
      <w:r>
        <w:rPr>
          <w:rFonts w:hint="default" w:ascii="Times New Roman" w:hAnsi="Times New Roman" w:cs="Times New Roman"/>
          <w:szCs w:val="21"/>
          <w:highlight w:val="none"/>
          <w:lang w:val="fr-FR"/>
        </w:rPr>
        <w:t>）：</w:t>
      </w:r>
      <w:r>
        <w:rPr>
          <w:rFonts w:hint="default" w:ascii="Times New Roman" w:hAnsi="Times New Roman" w:cs="Times New Roman"/>
          <w:szCs w:val="21"/>
          <w:highlight w:val="none"/>
          <w:lang w:val="fr-FR" w:eastAsia="zh-CN"/>
        </w:rPr>
        <w:t xml:space="preserve"> </w:t>
      </w:r>
      <w:r>
        <w:rPr>
          <w:rFonts w:hint="default" w:ascii="Times New Roman" w:hAnsi="Times New Roman" w:cs="Times New Roman"/>
          <w:szCs w:val="21"/>
          <w:highlight w:val="none"/>
          <w:lang w:val="fr-FR"/>
        </w:rPr>
        <w:t xml:space="preserve"> </w:t>
      </w:r>
    </w:p>
    <w:p w14:paraId="2CCE775E">
      <w:pPr>
        <w:spacing w:line="360" w:lineRule="auto"/>
        <w:ind w:firstLine="420" w:firstLineChars="200"/>
        <w:rPr>
          <w:rFonts w:hint="eastAsia" w:ascii="Times New Roman" w:hAnsi="Times New Roman" w:eastAsia="宋体" w:cs="Times New Roman"/>
          <w:szCs w:val="21"/>
          <w:highlight w:val="none"/>
          <w:lang w:eastAsia="zh-CN"/>
        </w:rPr>
      </w:pPr>
      <w:r>
        <w:rPr>
          <w:rFonts w:hint="default" w:ascii="Times New Roman" w:hAnsi="Times New Roman" w:cs="Times New Roman"/>
          <w:color w:val="000000"/>
          <w:szCs w:val="21"/>
          <w:highlight w:val="none"/>
          <w:lang w:val="fr-FR" w:eastAsia="zh-CN"/>
        </w:rPr>
        <w:t>Prestataire</w:t>
      </w:r>
      <w:r>
        <w:rPr>
          <w:rFonts w:hint="default" w:ascii="Times New Roman" w:hAnsi="Times New Roman" w:cs="Times New Roman"/>
          <w:color w:val="000000"/>
          <w:szCs w:val="21"/>
          <w:highlight w:val="none"/>
          <w:lang w:val="fr-FR"/>
        </w:rPr>
        <w:t xml:space="preserve"> :</w:t>
      </w:r>
    </w:p>
    <w:p w14:paraId="30E2B770">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鉴于甲方拟在几内亚共和国开发铝业项目，乙方愿意承担铝土矿道路运输服务，拥有铝土矿运输服务能力，甲方拟委托乙方承担部分铝土矿运输工作。为了明确甲、乙双方的权利和义务，经友好协商，在遵循平等、自愿、公平和诚信的原则下，在真实、充分的表达各自意愿的基础上，签订本合同。</w:t>
      </w:r>
    </w:p>
    <w:p w14:paraId="2448395B">
      <w:pPr>
        <w:spacing w:line="360" w:lineRule="auto"/>
        <w:ind w:firstLine="420" w:firstLineChars="200"/>
        <w:rPr>
          <w:rFonts w:hint="default" w:ascii="Times New Roman" w:hAnsi="Times New Roman" w:cs="Times New Roman"/>
          <w:szCs w:val="21"/>
          <w:highlight w:val="none"/>
          <w:lang w:val="fr-FR"/>
        </w:rPr>
      </w:pPr>
      <w:r>
        <w:rPr>
          <w:rFonts w:hint="default" w:ascii="Times New Roman" w:hAnsi="Times New Roman" w:cs="Times New Roman"/>
          <w:szCs w:val="21"/>
          <w:highlight w:val="none"/>
          <w:lang w:val="fr-FR"/>
        </w:rPr>
        <w:t>Étant donné que le Client envisage de développer un projet d'aluminium en République de Guinée, et que le Prestataire est disposé à fournir des services de transport routier de bauxite, possédant les capacités nécessaires pour ces services, le Client a l'intention de confier au Prestataire une partie du transport de bauxite. Afin de définir les droits et obligations des deux parties, après des consultations amicales et dans le respect des principes d'égalité, de volontariat, d'équité et de bonne foi, le présent contrat est conclu sur la base d'une expression réelle et pleine de leurs volontés respectives.</w:t>
      </w:r>
    </w:p>
    <w:p w14:paraId="0AABA0AA">
      <w:pPr>
        <w:numPr>
          <w:ilvl w:val="0"/>
          <w:numId w:val="7"/>
        </w:numPr>
        <w:spacing w:line="360" w:lineRule="auto"/>
        <w:ind w:left="0" w:firstLine="422" w:firstLineChars="200"/>
        <w:rPr>
          <w:rFonts w:hint="default" w:ascii="Times New Roman" w:hAnsi="Times New Roman" w:eastAsia="宋体" w:cs="Times New Roman"/>
          <w:b/>
          <w:bCs/>
          <w:kern w:val="2"/>
          <w:sz w:val="21"/>
          <w:szCs w:val="21"/>
          <w:highlight w:val="none"/>
          <w:lang w:val="fr-FR" w:eastAsia="zh-CN" w:bidi="ar-SA"/>
        </w:rPr>
      </w:pPr>
      <w:r>
        <w:rPr>
          <w:rFonts w:hint="default" w:ascii="Times New Roman" w:hAnsi="Times New Roman" w:cs="Times New Roman"/>
          <w:b/>
          <w:bCs/>
          <w:szCs w:val="21"/>
          <w:highlight w:val="none"/>
        </w:rPr>
        <w:t>工作内容和要求</w:t>
      </w:r>
    </w:p>
    <w:p w14:paraId="7F9D083C">
      <w:pPr>
        <w:numPr>
          <w:ilvl w:val="0"/>
          <w:numId w:val="0"/>
        </w:numPr>
        <w:tabs>
          <w:tab w:val="left" w:pos="0"/>
        </w:tabs>
        <w:spacing w:line="360" w:lineRule="auto"/>
        <w:ind w:left="0" w:leftChars="0" w:firstLine="420" w:firstLineChars="0"/>
        <w:rPr>
          <w:rFonts w:hint="default" w:ascii="Times New Roman" w:hAnsi="Times New Roman" w:eastAsia="宋体" w:cs="Times New Roman"/>
          <w:b/>
          <w:bCs/>
          <w:kern w:val="2"/>
          <w:sz w:val="21"/>
          <w:szCs w:val="21"/>
          <w:highlight w:val="none"/>
          <w:lang w:val="fr-FR" w:eastAsia="zh-CN" w:bidi="ar-SA"/>
        </w:rPr>
      </w:pPr>
      <w:r>
        <w:rPr>
          <w:rFonts w:hint="default" w:ascii="Times New Roman" w:hAnsi="Times New Roman" w:eastAsia="宋体" w:cs="Times New Roman"/>
          <w:b/>
          <w:bCs/>
          <w:kern w:val="2"/>
          <w:sz w:val="21"/>
          <w:szCs w:val="21"/>
          <w:highlight w:val="none"/>
          <w:lang w:val="fr-FR" w:eastAsia="zh-CN" w:bidi="ar-SA"/>
        </w:rPr>
        <w:t>Article I  Contenu et exigences de travail</w:t>
      </w:r>
    </w:p>
    <w:p w14:paraId="6496398B">
      <w:pPr>
        <w:numPr>
          <w:ilvl w:val="0"/>
          <w:numId w:val="0"/>
        </w:numPr>
        <w:tabs>
          <w:tab w:val="left" w:pos="0"/>
        </w:tabs>
        <w:spacing w:line="360" w:lineRule="auto"/>
        <w:ind w:left="0" w:leftChars="0" w:firstLine="420" w:firstLineChars="0"/>
        <w:rPr>
          <w:rFonts w:hint="default" w:ascii="Times New Roman" w:hAnsi="Times New Roman" w:cs="Times New Roman"/>
          <w:szCs w:val="21"/>
          <w:highlight w:val="none"/>
          <w:lang w:val="fr-FR"/>
        </w:rPr>
      </w:pPr>
      <w:r>
        <w:rPr>
          <w:rFonts w:hint="default" w:ascii="Times New Roman" w:hAnsi="Times New Roman" w:eastAsia="宋体" w:cs="Times New Roman"/>
          <w:b/>
          <w:bCs/>
          <w:kern w:val="2"/>
          <w:sz w:val="21"/>
          <w:szCs w:val="21"/>
          <w:highlight w:val="none"/>
          <w:lang w:val="fr-FR" w:eastAsia="zh-CN" w:bidi="ar-SA"/>
        </w:rPr>
        <w:t>（I）</w:t>
      </w:r>
      <w:r>
        <w:rPr>
          <w:rFonts w:hint="default" w:ascii="Times New Roman" w:hAnsi="Times New Roman" w:cs="Times New Roman"/>
          <w:b/>
          <w:bCs/>
          <w:szCs w:val="21"/>
          <w:highlight w:val="none"/>
        </w:rPr>
        <w:t>服</w:t>
      </w:r>
      <w:r>
        <w:rPr>
          <w:rFonts w:hint="default" w:ascii="Times New Roman" w:hAnsi="Times New Roman" w:cs="Times New Roman"/>
          <w:b/>
          <w:szCs w:val="21"/>
          <w:highlight w:val="none"/>
        </w:rPr>
        <w:t>务范围</w:t>
      </w:r>
      <w:r>
        <w:rPr>
          <w:rFonts w:hint="default" w:ascii="Times New Roman" w:hAnsi="Times New Roman" w:cs="Times New Roman"/>
          <w:b/>
          <w:szCs w:val="21"/>
          <w:highlight w:val="none"/>
          <w:lang w:val="en-US" w:eastAsia="zh-CN"/>
        </w:rPr>
        <w:t xml:space="preserve"> </w:t>
      </w:r>
      <w:r>
        <w:rPr>
          <w:rFonts w:hint="default" w:ascii="Times New Roman" w:hAnsi="Times New Roman" w:cs="Times New Roman"/>
          <w:b/>
          <w:bCs/>
          <w:color w:val="000000"/>
          <w:szCs w:val="21"/>
          <w:highlight w:val="none"/>
          <w:lang w:val="fr-FR"/>
        </w:rPr>
        <w:t>Étendue de service</w:t>
      </w:r>
    </w:p>
    <w:p w14:paraId="703C9417">
      <w:pPr>
        <w:numPr>
          <w:ilvl w:val="0"/>
          <w:numId w:val="8"/>
        </w:numPr>
        <w:adjustRightInd w:val="0"/>
        <w:snapToGrid w:val="0"/>
        <w:spacing w:line="360" w:lineRule="auto"/>
        <w:ind w:firstLine="420" w:firstLineChars="200"/>
        <w:rPr>
          <w:rFonts w:hint="default" w:ascii="Times New Roman" w:hAnsi="Times New Roman" w:cs="Times New Roman"/>
          <w:highlight w:val="none"/>
        </w:rPr>
      </w:pPr>
      <w:r>
        <w:rPr>
          <w:rFonts w:hint="default" w:ascii="Times New Roman" w:hAnsi="Times New Roman" w:cs="Times New Roman"/>
          <w:highlight w:val="none"/>
        </w:rPr>
        <w:t>服务内容</w:t>
      </w:r>
      <w:r>
        <w:rPr>
          <w:rFonts w:hint="default" w:ascii="Times New Roman" w:hAnsi="Times New Roman" w:cs="Times New Roman"/>
          <w:highlight w:val="none"/>
          <w:lang w:val="en-US" w:eastAsia="zh-CN"/>
        </w:rPr>
        <w:t xml:space="preserve"> </w:t>
      </w:r>
      <w:r>
        <w:rPr>
          <w:rFonts w:hint="default" w:ascii="Times New Roman" w:hAnsi="Times New Roman" w:cs="Times New Roman"/>
          <w:color w:val="000000"/>
          <w:szCs w:val="21"/>
          <w:highlight w:val="none"/>
        </w:rPr>
        <w:t>Contenu du service</w:t>
      </w:r>
    </w:p>
    <w:p w14:paraId="30EDE54F">
      <w:pPr>
        <w:adjustRightInd w:val="0"/>
        <w:snapToGrid w:val="0"/>
        <w:spacing w:line="360" w:lineRule="auto"/>
        <w:ind w:firstLine="420" w:firstLineChars="200"/>
        <w:rPr>
          <w:rFonts w:hint="default" w:ascii="Times New Roman" w:hAnsi="Times New Roman" w:cs="Times New Roman"/>
          <w:szCs w:val="21"/>
          <w:highlight w:val="none"/>
          <w:u w:val="single"/>
          <w:lang w:val="en-US"/>
        </w:rPr>
      </w:pPr>
      <w:r>
        <w:rPr>
          <w:rFonts w:hint="default" w:ascii="Times New Roman" w:hAnsi="Times New Roman" w:cs="Times New Roman"/>
          <w:highlight w:val="none"/>
        </w:rPr>
        <w:t>1.1</w:t>
      </w:r>
      <w:bookmarkStart w:id="85" w:name="OLE_LINK1"/>
      <w:r>
        <w:rPr>
          <w:rFonts w:hint="default" w:ascii="Times New Roman" w:hAnsi="Times New Roman" w:cs="Times New Roman"/>
          <w:highlight w:val="none"/>
        </w:rPr>
        <w:t>运输承包商将铝土矿自</w:t>
      </w:r>
      <w:r>
        <w:rPr>
          <w:rFonts w:hint="default" w:ascii="Times New Roman" w:hAnsi="Times New Roman" w:cs="Times New Roman"/>
          <w:szCs w:val="21"/>
          <w:highlight w:val="none"/>
          <w:lang w:eastAsia="zh-CN"/>
        </w:rPr>
        <w:t>56#矿体</w:t>
      </w:r>
      <w:r>
        <w:rPr>
          <w:rFonts w:hint="default" w:ascii="Times New Roman" w:hAnsi="Times New Roman" w:cs="Times New Roman"/>
          <w:szCs w:val="21"/>
          <w:highlight w:val="none"/>
        </w:rPr>
        <w:t>运</w:t>
      </w:r>
      <w:r>
        <w:rPr>
          <w:rFonts w:hint="default" w:ascii="Times New Roman" w:hAnsi="Times New Roman" w:cs="Times New Roman"/>
          <w:szCs w:val="21"/>
          <w:highlight w:val="none"/>
          <w:u w:val="none"/>
        </w:rPr>
        <w:t>输</w:t>
      </w:r>
      <w:r>
        <w:rPr>
          <w:rFonts w:hint="default" w:ascii="Times New Roman" w:hAnsi="Times New Roman" w:cs="Times New Roman"/>
          <w:szCs w:val="21"/>
          <w:highlight w:val="none"/>
          <w:u w:val="none"/>
          <w:lang w:val="en-US" w:eastAsia="zh-CN"/>
        </w:rPr>
        <w:t>至维嘉港口</w:t>
      </w:r>
      <w:bookmarkEnd w:id="85"/>
      <w:r>
        <w:rPr>
          <w:rFonts w:hint="default" w:ascii="Times New Roman" w:hAnsi="Times New Roman" w:cs="Times New Roman"/>
          <w:szCs w:val="21"/>
          <w:highlight w:val="none"/>
          <w:u w:val="none"/>
          <w:lang w:val="en-US" w:eastAsia="zh-CN"/>
        </w:rPr>
        <w:t>或自南矿段</w:t>
      </w:r>
      <w:r>
        <w:rPr>
          <w:rFonts w:hint="default" w:ascii="Times New Roman" w:hAnsi="Times New Roman" w:cs="Times New Roman"/>
          <w:szCs w:val="21"/>
          <w:highlight w:val="none"/>
          <w:u w:val="none"/>
        </w:rPr>
        <w:t>运输</w:t>
      </w:r>
      <w:r>
        <w:rPr>
          <w:rFonts w:hint="default" w:ascii="Times New Roman" w:hAnsi="Times New Roman" w:cs="Times New Roman"/>
          <w:szCs w:val="21"/>
          <w:highlight w:val="none"/>
          <w:u w:val="none"/>
          <w:lang w:val="en-US" w:eastAsia="zh-CN"/>
        </w:rPr>
        <w:t>至维嘉港口，其中，</w:t>
      </w:r>
      <w:r>
        <w:rPr>
          <w:rFonts w:hint="default" w:ascii="Times New Roman" w:hAnsi="Times New Roman" w:cs="Times New Roman"/>
          <w:szCs w:val="21"/>
          <w:highlight w:val="none"/>
          <w:lang w:eastAsia="zh-CN"/>
        </w:rPr>
        <w:t>56#矿体</w:t>
      </w:r>
      <w:r>
        <w:rPr>
          <w:rFonts w:hint="default" w:ascii="Times New Roman" w:hAnsi="Times New Roman" w:cs="Times New Roman"/>
          <w:szCs w:val="21"/>
          <w:highlight w:val="none"/>
          <w:lang w:val="en-US" w:eastAsia="zh-CN"/>
        </w:rPr>
        <w:t>至维嘉港口</w:t>
      </w:r>
      <w:r>
        <w:rPr>
          <w:rFonts w:hint="default" w:ascii="Times New Roman" w:hAnsi="Times New Roman" w:cs="Times New Roman"/>
          <w:szCs w:val="21"/>
          <w:highlight w:val="none"/>
        </w:rPr>
        <w:t>距离约</w:t>
      </w:r>
      <w:r>
        <w:rPr>
          <w:rFonts w:hint="default" w:ascii="Times New Roman" w:hAnsi="Times New Roman" w:cs="Times New Roman"/>
          <w:szCs w:val="21"/>
          <w:highlight w:val="none"/>
          <w:lang w:val="en-US" w:eastAsia="zh-CN"/>
        </w:rPr>
        <w:t>150</w:t>
      </w:r>
      <w:r>
        <w:rPr>
          <w:rFonts w:hint="default" w:ascii="Times New Roman" w:hAnsi="Times New Roman" w:cs="Times New Roman"/>
          <w:szCs w:val="21"/>
          <w:highlight w:val="none"/>
        </w:rPr>
        <w:t>公里</w:t>
      </w:r>
      <w:r>
        <w:rPr>
          <w:rFonts w:hint="default" w:ascii="Times New Roman" w:hAnsi="Times New Roman" w:cs="Times New Roman"/>
          <w:szCs w:val="21"/>
          <w:highlight w:val="none"/>
          <w:u w:val="none"/>
          <w:lang w:eastAsia="zh-CN"/>
        </w:rPr>
        <w:t>，</w:t>
      </w:r>
      <w:r>
        <w:rPr>
          <w:rFonts w:hint="default" w:ascii="Times New Roman" w:hAnsi="Times New Roman" w:cs="Times New Roman"/>
          <w:szCs w:val="21"/>
          <w:highlight w:val="none"/>
          <w:u w:val="none"/>
          <w:lang w:val="en-US" w:eastAsia="zh-CN"/>
        </w:rPr>
        <w:t>南矿段至维嘉港口</w:t>
      </w:r>
      <w:r>
        <w:rPr>
          <w:rFonts w:hint="default" w:ascii="Times New Roman" w:hAnsi="Times New Roman" w:cs="Times New Roman"/>
          <w:szCs w:val="21"/>
          <w:highlight w:val="none"/>
          <w:u w:val="none"/>
        </w:rPr>
        <w:t>距离约</w:t>
      </w:r>
      <w:r>
        <w:rPr>
          <w:rFonts w:hint="default" w:ascii="Times New Roman" w:hAnsi="Times New Roman" w:cs="Times New Roman"/>
          <w:szCs w:val="21"/>
          <w:highlight w:val="none"/>
          <w:u w:val="none"/>
          <w:lang w:val="en-US" w:eastAsia="zh-CN"/>
        </w:rPr>
        <w:t>80</w:t>
      </w:r>
      <w:r>
        <w:rPr>
          <w:rFonts w:hint="default" w:ascii="Times New Roman" w:hAnsi="Times New Roman" w:cs="Times New Roman"/>
          <w:szCs w:val="21"/>
          <w:highlight w:val="none"/>
          <w:u w:val="none"/>
        </w:rPr>
        <w:t>公里</w:t>
      </w:r>
      <w:r>
        <w:rPr>
          <w:rFonts w:hint="default" w:ascii="Times New Roman" w:hAnsi="Times New Roman" w:cs="Times New Roman"/>
          <w:szCs w:val="21"/>
          <w:highlight w:val="none"/>
          <w:u w:val="none"/>
          <w:lang w:val="en-US" w:eastAsia="zh-CN"/>
        </w:rPr>
        <w:t>。</w:t>
      </w:r>
      <w:r>
        <w:rPr>
          <w:rFonts w:hint="eastAsia" w:cs="Times New Roman"/>
          <w:szCs w:val="21"/>
          <w:highlight w:val="none"/>
          <w:u w:val="none"/>
          <w:lang w:val="en-US" w:eastAsia="zh-CN"/>
        </w:rPr>
        <w:t>运输承包商必须承诺满足56号矿体运输的能力。</w:t>
      </w:r>
    </w:p>
    <w:p w14:paraId="4A84A30F">
      <w:pPr>
        <w:spacing w:line="360" w:lineRule="auto"/>
        <w:ind w:firstLine="630" w:firstLineChars="300"/>
        <w:rPr>
          <w:rFonts w:hint="eastAsia" w:ascii="Times New Roman" w:hAnsi="Times New Roman" w:eastAsia="宋体" w:cs="Times New Roman"/>
          <w:highlight w:val="none"/>
          <w:lang w:val="en-US" w:eastAsia="zh-CN"/>
        </w:rPr>
      </w:pPr>
      <w:r>
        <w:rPr>
          <w:rFonts w:hint="default" w:ascii="Times New Roman" w:hAnsi="Times New Roman" w:cs="Times New Roman"/>
          <w:highlight w:val="none"/>
        </w:rPr>
        <w:t>Le Prestataire transporte la bauxite du gisement n°56 au Port de V</w:t>
      </w:r>
      <w:r>
        <w:rPr>
          <w:rFonts w:hint="default" w:ascii="Times New Roman" w:hAnsi="Times New Roman" w:cs="Times New Roman"/>
          <w:highlight w:val="none"/>
          <w:lang w:val="en-US" w:eastAsia="zh-CN"/>
        </w:rPr>
        <w:t>er</w:t>
      </w:r>
      <w:r>
        <w:rPr>
          <w:rFonts w:hint="default" w:ascii="Times New Roman" w:hAnsi="Times New Roman" w:cs="Times New Roman"/>
          <w:highlight w:val="none"/>
        </w:rPr>
        <w:t xml:space="preserve">ga ou </w:t>
      </w:r>
      <w:r>
        <w:rPr>
          <w:rFonts w:hint="default" w:ascii="Times New Roman" w:hAnsi="Times New Roman" w:cs="Times New Roman"/>
          <w:highlight w:val="none"/>
          <w:lang w:val="en-US" w:eastAsia="zh-CN"/>
        </w:rPr>
        <w:t xml:space="preserve">de </w:t>
      </w:r>
      <w:r>
        <w:rPr>
          <w:rFonts w:hint="default" w:ascii="Times New Roman" w:hAnsi="Times New Roman" w:cs="Times New Roman"/>
          <w:highlight w:val="none"/>
        </w:rPr>
        <w:t>la section miniè</w:t>
      </w:r>
      <w:r>
        <w:rPr>
          <w:rFonts w:hint="default" w:ascii="Times New Roman" w:hAnsi="Times New Roman" w:cs="Times New Roman"/>
          <w:highlight w:val="none"/>
          <w:lang w:val="en-US" w:eastAsia="zh-CN"/>
        </w:rPr>
        <w:t>re</w:t>
      </w:r>
      <w:r>
        <w:rPr>
          <w:rFonts w:hint="default" w:ascii="Times New Roman" w:hAnsi="Times New Roman" w:cs="Times New Roman"/>
          <w:highlight w:val="none"/>
        </w:rPr>
        <w:t xml:space="preserve"> sud au Port de V</w:t>
      </w:r>
      <w:r>
        <w:rPr>
          <w:rFonts w:hint="default" w:ascii="Times New Roman" w:hAnsi="Times New Roman" w:cs="Times New Roman"/>
          <w:highlight w:val="none"/>
          <w:lang w:val="en-US" w:eastAsia="zh-CN"/>
        </w:rPr>
        <w:t>er</w:t>
      </w:r>
      <w:r>
        <w:rPr>
          <w:rFonts w:hint="default" w:ascii="Times New Roman" w:hAnsi="Times New Roman" w:cs="Times New Roman"/>
          <w:highlight w:val="none"/>
        </w:rPr>
        <w:t>ga. Parmi ces trajets, la distance entre le gisement n°56 et le Port de V</w:t>
      </w:r>
      <w:r>
        <w:rPr>
          <w:rFonts w:hint="default" w:ascii="Times New Roman" w:hAnsi="Times New Roman" w:cs="Times New Roman"/>
          <w:highlight w:val="none"/>
          <w:lang w:val="en-US" w:eastAsia="zh-CN"/>
        </w:rPr>
        <w:t>er</w:t>
      </w:r>
      <w:r>
        <w:rPr>
          <w:rFonts w:hint="default" w:ascii="Times New Roman" w:hAnsi="Times New Roman" w:cs="Times New Roman"/>
          <w:highlight w:val="none"/>
        </w:rPr>
        <w:t>ga est d</w:t>
      </w:r>
      <w:r>
        <w:rPr>
          <w:rFonts w:hint="eastAsia" w:ascii="Times New Roman" w:hAnsi="Times New Roman" w:cs="Times New Roman"/>
          <w:highlight w:val="none"/>
          <w:lang w:eastAsia="zh-CN"/>
        </w:rPr>
        <w:t>'</w:t>
      </w:r>
      <w:r>
        <w:rPr>
          <w:rFonts w:hint="default" w:ascii="Times New Roman" w:hAnsi="Times New Roman" w:cs="Times New Roman"/>
          <w:highlight w:val="none"/>
        </w:rPr>
        <w:t>environ 150 kilomètres, tandis que celle entre la section miniè</w:t>
      </w:r>
      <w:r>
        <w:rPr>
          <w:rFonts w:hint="default" w:ascii="Times New Roman" w:hAnsi="Times New Roman" w:cs="Times New Roman"/>
          <w:highlight w:val="none"/>
          <w:lang w:val="en-US" w:eastAsia="zh-CN"/>
        </w:rPr>
        <w:t>re</w:t>
      </w:r>
      <w:r>
        <w:rPr>
          <w:rFonts w:hint="default" w:ascii="Times New Roman" w:hAnsi="Times New Roman" w:cs="Times New Roman"/>
          <w:highlight w:val="none"/>
        </w:rPr>
        <w:t xml:space="preserve"> sud et le Port de V</w:t>
      </w:r>
      <w:r>
        <w:rPr>
          <w:rFonts w:hint="default" w:ascii="Times New Roman" w:hAnsi="Times New Roman" w:cs="Times New Roman"/>
          <w:highlight w:val="none"/>
          <w:lang w:val="en-US" w:eastAsia="zh-CN"/>
        </w:rPr>
        <w:t>er</w:t>
      </w:r>
      <w:r>
        <w:rPr>
          <w:rFonts w:hint="default" w:ascii="Times New Roman" w:hAnsi="Times New Roman" w:cs="Times New Roman"/>
          <w:highlight w:val="none"/>
        </w:rPr>
        <w:t>ga s</w:t>
      </w:r>
      <w:r>
        <w:rPr>
          <w:rFonts w:hint="eastAsia" w:ascii="Times New Roman" w:hAnsi="Times New Roman" w:cs="Times New Roman"/>
          <w:highlight w:val="none"/>
          <w:lang w:eastAsia="zh-CN"/>
        </w:rPr>
        <w:t>'</w:t>
      </w:r>
      <w:r>
        <w:rPr>
          <w:rFonts w:hint="default" w:ascii="Times New Roman" w:hAnsi="Times New Roman" w:cs="Times New Roman"/>
          <w:highlight w:val="none"/>
        </w:rPr>
        <w:t>établit à environ 80 kilomètres.</w:t>
      </w:r>
      <w:r>
        <w:rPr>
          <w:rFonts w:hint="eastAsia" w:cs="Times New Roman"/>
          <w:highlight w:val="none"/>
          <w:lang w:val="en-US" w:eastAsia="zh-CN"/>
        </w:rPr>
        <w:t xml:space="preserve"> </w:t>
      </w:r>
      <w:r>
        <w:rPr>
          <w:rFonts w:hint="default" w:ascii="Times New Roman" w:hAnsi="Times New Roman" w:cs="Times New Roman"/>
          <w:highlight w:val="none"/>
        </w:rPr>
        <w:t>Le Prestataire</w:t>
      </w:r>
      <w:r>
        <w:rPr>
          <w:rFonts w:hint="eastAsia" w:cs="Times New Roman"/>
          <w:highlight w:val="none"/>
          <w:lang w:val="en-US" w:eastAsia="zh-CN"/>
        </w:rPr>
        <w:t xml:space="preserve"> doit s’engager à disposer de la capacité nécessaire pour assurer le transport du gisement n°56.</w:t>
      </w:r>
    </w:p>
    <w:p w14:paraId="3795417B">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highlight w:val="none"/>
        </w:rPr>
        <w:t>1.</w:t>
      </w:r>
      <w:r>
        <w:rPr>
          <w:rFonts w:hint="default" w:ascii="Times New Roman" w:hAnsi="Times New Roman" w:cs="Times New Roman"/>
          <w:highlight w:val="none"/>
          <w:lang w:val="en-US" w:eastAsia="zh-CN"/>
        </w:rPr>
        <w:t>2</w:t>
      </w:r>
      <w:r>
        <w:rPr>
          <w:rFonts w:hint="default" w:ascii="Times New Roman" w:hAnsi="Times New Roman" w:cs="Times New Roman"/>
          <w:szCs w:val="21"/>
          <w:highlight w:val="none"/>
        </w:rPr>
        <w:t>乙方应派专人负责在矿区及</w:t>
      </w:r>
      <w:r>
        <w:rPr>
          <w:rFonts w:hint="default" w:ascii="Times New Roman" w:hAnsi="Times New Roman" w:cs="Times New Roman"/>
          <w:szCs w:val="21"/>
          <w:highlight w:val="none"/>
          <w:lang w:val="en-US" w:eastAsia="zh-CN"/>
        </w:rPr>
        <w:t>维嘉港</w:t>
      </w:r>
      <w:r>
        <w:rPr>
          <w:rFonts w:hint="default" w:ascii="Times New Roman" w:hAnsi="Times New Roman" w:cs="Times New Roman"/>
          <w:szCs w:val="21"/>
          <w:highlight w:val="none"/>
        </w:rPr>
        <w:t>矿石堆场办理铝土矿提货、交货手续</w:t>
      </w:r>
      <w:r>
        <w:rPr>
          <w:rFonts w:hint="default" w:ascii="Times New Roman" w:hAnsi="Times New Roman" w:cs="Times New Roman"/>
          <w:szCs w:val="21"/>
          <w:highlight w:val="none"/>
          <w:lang w:eastAsia="zh-CN"/>
        </w:rPr>
        <w:t>。</w:t>
      </w:r>
    </w:p>
    <w:p w14:paraId="5FA81CC5">
      <w:pPr>
        <w:numPr>
          <w:ilvl w:val="0"/>
          <w:numId w:val="0"/>
        </w:numPr>
        <w:tabs>
          <w:tab w:val="left" w:pos="0"/>
        </w:tabs>
        <w:spacing w:line="360" w:lineRule="auto"/>
        <w:ind w:firstLine="630" w:firstLineChars="300"/>
        <w:rPr>
          <w:rFonts w:hint="default" w:ascii="Times New Roman" w:hAnsi="Times New Roman" w:eastAsia="宋体" w:cs="Times New Roman"/>
          <w:b w:val="0"/>
          <w:bCs/>
          <w:kern w:val="2"/>
          <w:sz w:val="21"/>
          <w:szCs w:val="21"/>
          <w:highlight w:val="none"/>
          <w:lang w:val="fr-FR" w:eastAsia="zh-CN" w:bidi="ar-SA"/>
        </w:rPr>
      </w:pPr>
      <w:r>
        <w:rPr>
          <w:rFonts w:hint="default" w:ascii="Times New Roman" w:hAnsi="Times New Roman" w:eastAsia="宋体" w:cs="Times New Roman"/>
          <w:b w:val="0"/>
          <w:bCs/>
          <w:kern w:val="2"/>
          <w:sz w:val="21"/>
          <w:szCs w:val="21"/>
          <w:highlight w:val="none"/>
          <w:lang w:val="fr-FR" w:eastAsia="zh-CN" w:bidi="ar-SA"/>
        </w:rPr>
        <w:t>Le Prestataire doit désigner un responsable dédié pour effectuer les formalités de retrait et de livraison de la bauxite au niveau du site minier et du dépôt de minerai du Port de V</w:t>
      </w:r>
      <w:r>
        <w:rPr>
          <w:rFonts w:hint="eastAsia" w:ascii="Times New Roman" w:hAnsi="Times New Roman" w:cs="Times New Roman"/>
          <w:b w:val="0"/>
          <w:bCs/>
          <w:kern w:val="2"/>
          <w:sz w:val="21"/>
          <w:szCs w:val="21"/>
          <w:highlight w:val="none"/>
          <w:lang w:val="en-US" w:eastAsia="zh-CN" w:bidi="ar-SA"/>
        </w:rPr>
        <w:t>er</w:t>
      </w:r>
      <w:r>
        <w:rPr>
          <w:rFonts w:hint="default" w:ascii="Times New Roman" w:hAnsi="Times New Roman" w:eastAsia="宋体" w:cs="Times New Roman"/>
          <w:b w:val="0"/>
          <w:bCs/>
          <w:kern w:val="2"/>
          <w:sz w:val="21"/>
          <w:szCs w:val="21"/>
          <w:highlight w:val="none"/>
          <w:lang w:val="fr-FR" w:eastAsia="zh-CN" w:bidi="ar-SA"/>
        </w:rPr>
        <w:t>ga.</w:t>
      </w:r>
    </w:p>
    <w:p w14:paraId="28E4465D">
      <w:pPr>
        <w:numPr>
          <w:ilvl w:val="0"/>
          <w:numId w:val="0"/>
        </w:numPr>
        <w:tabs>
          <w:tab w:val="left" w:pos="0"/>
        </w:tabs>
        <w:spacing w:line="360" w:lineRule="auto"/>
        <w:ind w:left="0" w:leftChars="0" w:firstLine="420" w:firstLineChars="0"/>
        <w:rPr>
          <w:rFonts w:hint="default" w:ascii="Times New Roman" w:hAnsi="Times New Roman" w:cs="Times New Roman"/>
          <w:b/>
          <w:szCs w:val="21"/>
          <w:highlight w:val="none"/>
          <w:lang w:val="fr-FR"/>
        </w:rPr>
      </w:pPr>
      <w:r>
        <w:rPr>
          <w:rFonts w:hint="default" w:ascii="Times New Roman" w:hAnsi="Times New Roman" w:eastAsia="宋体" w:cs="Times New Roman"/>
          <w:b/>
          <w:kern w:val="2"/>
          <w:sz w:val="21"/>
          <w:szCs w:val="21"/>
          <w:highlight w:val="none"/>
          <w:lang w:val="fr-FR" w:eastAsia="zh-CN" w:bidi="ar-SA"/>
        </w:rPr>
        <w:t>（I</w:t>
      </w:r>
      <w:r>
        <w:rPr>
          <w:rFonts w:hint="default" w:ascii="Times New Roman" w:hAnsi="Times New Roman" w:cs="Times New Roman"/>
          <w:b/>
          <w:kern w:val="2"/>
          <w:sz w:val="21"/>
          <w:szCs w:val="21"/>
          <w:highlight w:val="none"/>
          <w:lang w:val="en-US" w:eastAsia="zh-CN" w:bidi="ar-SA"/>
        </w:rPr>
        <w:t>I</w:t>
      </w:r>
      <w:r>
        <w:rPr>
          <w:rFonts w:hint="default" w:ascii="Times New Roman" w:hAnsi="Times New Roman" w:eastAsia="宋体" w:cs="Times New Roman"/>
          <w:b/>
          <w:kern w:val="2"/>
          <w:sz w:val="21"/>
          <w:szCs w:val="21"/>
          <w:highlight w:val="none"/>
          <w:lang w:val="fr-FR" w:eastAsia="zh-CN" w:bidi="ar-SA"/>
        </w:rPr>
        <w:t>）</w:t>
      </w:r>
      <w:r>
        <w:rPr>
          <w:rFonts w:hint="default" w:ascii="Times New Roman" w:hAnsi="Times New Roman" w:cs="Times New Roman"/>
          <w:b/>
          <w:szCs w:val="21"/>
          <w:highlight w:val="none"/>
        </w:rPr>
        <w:t>服务要求</w:t>
      </w:r>
      <w:r>
        <w:rPr>
          <w:rFonts w:hint="eastAsia" w:ascii="Times New Roman" w:hAnsi="Times New Roman" w:cs="Times New Roman"/>
          <w:b/>
          <w:szCs w:val="21"/>
          <w:highlight w:val="none"/>
          <w:lang w:val="en-US" w:eastAsia="zh-CN"/>
        </w:rPr>
        <w:t xml:space="preserve"> </w:t>
      </w:r>
      <w:r>
        <w:rPr>
          <w:rFonts w:hint="default" w:ascii="Times New Roman" w:hAnsi="Times New Roman" w:cs="Times New Roman"/>
          <w:b/>
          <w:szCs w:val="21"/>
          <w:highlight w:val="none"/>
        </w:rPr>
        <w:t>Exigences de service：</w:t>
      </w:r>
    </w:p>
    <w:p w14:paraId="0C0D249F">
      <w:pPr>
        <w:numPr>
          <w:ilvl w:val="0"/>
          <w:numId w:val="9"/>
        </w:numPr>
        <w:spacing w:line="360" w:lineRule="auto"/>
        <w:ind w:firstLine="420" w:firstLineChars="200"/>
        <w:rPr>
          <w:rFonts w:hint="default" w:ascii="Times New Roman" w:hAnsi="Times New Roman" w:cs="Times New Roman"/>
          <w:szCs w:val="21"/>
          <w:highlight w:val="none"/>
          <w:lang w:val="fr-FR"/>
        </w:rPr>
      </w:pPr>
      <w:r>
        <w:rPr>
          <w:rFonts w:hint="default" w:ascii="Times New Roman" w:hAnsi="Times New Roman" w:cs="Times New Roman"/>
          <w:szCs w:val="21"/>
          <w:highlight w:val="none"/>
        </w:rPr>
        <w:t>乙方按甲方</w:t>
      </w:r>
      <w:r>
        <w:rPr>
          <w:rFonts w:hint="default" w:ascii="Times New Roman" w:hAnsi="Times New Roman" w:cs="Times New Roman"/>
          <w:szCs w:val="21"/>
          <w:highlight w:val="none"/>
          <w:lang w:val="en-US" w:eastAsia="zh-CN"/>
        </w:rPr>
        <w:t>的计划及</w:t>
      </w:r>
      <w:r>
        <w:rPr>
          <w:rFonts w:hint="default" w:ascii="Times New Roman" w:hAnsi="Times New Roman" w:cs="Times New Roman"/>
          <w:szCs w:val="21"/>
          <w:highlight w:val="none"/>
        </w:rPr>
        <w:t>规定线路运输，在规定时间内完成甲方要求的运输任务。</w:t>
      </w:r>
    </w:p>
    <w:p w14:paraId="150A1900">
      <w:pPr>
        <w:widowControl w:val="0"/>
        <w:numPr>
          <w:ilvl w:val="0"/>
          <w:numId w:val="0"/>
        </w:numPr>
        <w:spacing w:line="360" w:lineRule="auto"/>
        <w:jc w:val="both"/>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 xml:space="preserve">       </w:t>
      </w:r>
      <w:r>
        <w:rPr>
          <w:rFonts w:hint="eastAsia"/>
          <w:color w:val="000000"/>
          <w:szCs w:val="21"/>
          <w:highlight w:val="none"/>
          <w:lang w:val="fr-FR" w:eastAsia="zh-CN"/>
        </w:rPr>
        <w:t>Le Prestataire</w:t>
      </w:r>
      <w:r>
        <w:rPr>
          <w:color w:val="000000"/>
          <w:szCs w:val="21"/>
          <w:highlight w:val="none"/>
          <w:lang w:val="fr-FR"/>
        </w:rPr>
        <w:t xml:space="preserve"> doit </w:t>
      </w:r>
      <w:r>
        <w:rPr>
          <w:rFonts w:hint="eastAsia"/>
          <w:color w:val="000000"/>
          <w:szCs w:val="21"/>
          <w:highlight w:val="none"/>
          <w:lang w:val="en-US" w:eastAsia="zh-CN"/>
        </w:rPr>
        <w:t>e</w:t>
      </w:r>
      <w:r>
        <w:rPr>
          <w:color w:val="000000"/>
          <w:szCs w:val="21"/>
          <w:highlight w:val="none"/>
          <w:lang w:val="fr-FR"/>
        </w:rPr>
        <w:t xml:space="preserve">ffectuer le transport selon l'itinéraire requis par </w:t>
      </w:r>
      <w:r>
        <w:rPr>
          <w:rFonts w:hint="eastAsia"/>
          <w:color w:val="000000"/>
          <w:szCs w:val="21"/>
          <w:highlight w:val="none"/>
          <w:lang w:val="fr-FR" w:eastAsia="zh-CN"/>
        </w:rPr>
        <w:t>le Client</w:t>
      </w:r>
      <w:r>
        <w:rPr>
          <w:color w:val="000000"/>
          <w:szCs w:val="21"/>
          <w:highlight w:val="none"/>
          <w:lang w:val="fr-FR"/>
        </w:rPr>
        <w:t xml:space="preserve">, et accomplir des tâches de transport demandées par </w:t>
      </w:r>
      <w:r>
        <w:rPr>
          <w:rFonts w:hint="eastAsia"/>
          <w:color w:val="000000"/>
          <w:szCs w:val="21"/>
          <w:highlight w:val="none"/>
          <w:lang w:val="fr-FR" w:eastAsia="zh-CN"/>
        </w:rPr>
        <w:t>le Client</w:t>
      </w:r>
      <w:r>
        <w:rPr>
          <w:color w:val="000000"/>
          <w:szCs w:val="21"/>
          <w:highlight w:val="none"/>
          <w:lang w:val="fr-FR"/>
        </w:rPr>
        <w:t xml:space="preserve"> dans le délai spécifié.</w:t>
      </w:r>
    </w:p>
    <w:p w14:paraId="7B4EE27A">
      <w:pPr>
        <w:numPr>
          <w:ilvl w:val="0"/>
          <w:numId w:val="9"/>
        </w:numPr>
        <w:spacing w:line="360" w:lineRule="auto"/>
        <w:ind w:firstLine="420" w:firstLineChars="200"/>
        <w:rPr>
          <w:rFonts w:hint="default" w:ascii="Times New Roman" w:hAnsi="Times New Roman" w:cs="Times New Roman"/>
          <w:szCs w:val="21"/>
          <w:highlight w:val="none"/>
          <w:lang w:val="fr-FR"/>
        </w:rPr>
      </w:pPr>
      <w:r>
        <w:rPr>
          <w:rFonts w:hint="default" w:ascii="Times New Roman" w:hAnsi="Times New Roman" w:cs="Times New Roman"/>
          <w:szCs w:val="21"/>
          <w:highlight w:val="none"/>
        </w:rPr>
        <w:t>乙方应保证充足的运力，每月的运输计划以甲方下达数量为准。</w:t>
      </w:r>
    </w:p>
    <w:p w14:paraId="79AE7587">
      <w:pPr>
        <w:spacing w:line="360" w:lineRule="auto"/>
        <w:ind w:firstLine="420" w:firstLineChars="200"/>
        <w:rPr>
          <w:rFonts w:hint="default" w:ascii="Times New Roman" w:hAnsi="Times New Roman" w:cs="Times New Roman"/>
          <w:szCs w:val="21"/>
          <w:highlight w:val="none"/>
          <w:lang w:val="fr-FR"/>
        </w:rPr>
      </w:pPr>
      <w:r>
        <w:rPr>
          <w:rFonts w:hint="eastAsia" w:ascii="Times New Roman" w:hAnsi="Times New Roman" w:cs="Times New Roman"/>
          <w:szCs w:val="21"/>
          <w:highlight w:val="none"/>
          <w:lang w:val="en-US" w:eastAsia="zh-CN"/>
        </w:rPr>
        <w:t xml:space="preserve">   </w:t>
      </w:r>
      <w:r>
        <w:rPr>
          <w:rFonts w:hint="eastAsia"/>
          <w:color w:val="000000"/>
          <w:szCs w:val="21"/>
          <w:highlight w:val="none"/>
          <w:lang w:val="fr-FR" w:eastAsia="zh-CN"/>
        </w:rPr>
        <w:t>Le Prestataire</w:t>
      </w:r>
      <w:r>
        <w:rPr>
          <w:color w:val="000000"/>
          <w:szCs w:val="21"/>
          <w:highlight w:val="none"/>
          <w:lang w:val="fr-FR"/>
        </w:rPr>
        <w:t xml:space="preserve"> doit assurer une capacité de transport suffisante et le plan de transport mensuel est soumis à la quantité définie par </w:t>
      </w:r>
      <w:r>
        <w:rPr>
          <w:rFonts w:hint="eastAsia"/>
          <w:color w:val="000000"/>
          <w:szCs w:val="21"/>
          <w:highlight w:val="none"/>
          <w:lang w:val="fr-FR" w:eastAsia="zh-CN"/>
        </w:rPr>
        <w:t>le Client</w:t>
      </w:r>
      <w:r>
        <w:rPr>
          <w:color w:val="000000"/>
          <w:szCs w:val="21"/>
          <w:highlight w:val="none"/>
          <w:lang w:val="fr-FR"/>
        </w:rPr>
        <w:t>.</w:t>
      </w:r>
    </w:p>
    <w:p w14:paraId="0042166D">
      <w:pPr>
        <w:numPr>
          <w:ilvl w:val="0"/>
          <w:numId w:val="9"/>
        </w:numPr>
        <w:spacing w:line="360" w:lineRule="auto"/>
        <w:ind w:firstLine="420" w:firstLineChars="200"/>
        <w:rPr>
          <w:rFonts w:hint="default" w:ascii="Times New Roman" w:hAnsi="Times New Roman" w:cs="Times New Roman"/>
          <w:szCs w:val="21"/>
          <w:highlight w:val="none"/>
          <w:lang w:val="fr-FR"/>
        </w:rPr>
      </w:pPr>
      <w:r>
        <w:rPr>
          <w:rFonts w:hint="default" w:ascii="Times New Roman" w:hAnsi="Times New Roman" w:cs="Times New Roman"/>
          <w:szCs w:val="21"/>
          <w:highlight w:val="none"/>
        </w:rPr>
        <w:t>乙方保证运输车辆及司机具有合法有效手续证照，严格遵守几内亚相关法律法规，全面符合几内亚政府关于道路运输的各项运营要求，确保车辆运营合法合规、安全有序。</w:t>
      </w:r>
    </w:p>
    <w:p w14:paraId="7FD1012E">
      <w:pPr>
        <w:widowControl w:val="0"/>
        <w:numPr>
          <w:ilvl w:val="0"/>
          <w:numId w:val="0"/>
        </w:numPr>
        <w:spacing w:line="360" w:lineRule="auto"/>
        <w:jc w:val="both"/>
        <w:rPr>
          <w:rFonts w:hint="default" w:ascii="Times New Roman" w:hAnsi="Times New Roman" w:cs="Times New Roman"/>
          <w:szCs w:val="21"/>
          <w:highlight w:val="none"/>
          <w:lang w:val="fr-FR"/>
        </w:rPr>
      </w:pPr>
      <w:r>
        <w:rPr>
          <w:rFonts w:hint="eastAsia" w:ascii="Times New Roman" w:hAnsi="Times New Roman" w:cs="Times New Roman"/>
          <w:szCs w:val="21"/>
          <w:highlight w:val="none"/>
          <w:lang w:val="en-US" w:eastAsia="zh-CN"/>
        </w:rPr>
        <w:t xml:space="preserve">      Le Prestataire garantit que tous les véhicules de transport et leurs conducteurs disposent des documents et permis légaux et valides, respectent strictement les lois et règlements pertinents de la Guinée et sont pleinement conformes à toutes les exigences opérationnelles du gouvernement guinéen en matière de transport routier, garantissant une exploitation légale, conforme et en bon ordre des véhicules.</w:t>
      </w:r>
    </w:p>
    <w:p w14:paraId="25136365">
      <w:pPr>
        <w:numPr>
          <w:ilvl w:val="0"/>
          <w:numId w:val="9"/>
        </w:numPr>
        <w:spacing w:line="360" w:lineRule="auto"/>
        <w:ind w:firstLine="420" w:firstLineChars="200"/>
        <w:rPr>
          <w:rFonts w:hint="eastAsia" w:ascii="Times New Roman" w:hAnsi="Times New Roman" w:cs="Times New Roman"/>
          <w:szCs w:val="21"/>
          <w:highlight w:val="none"/>
          <w:lang w:val="en-US" w:eastAsia="zh-CN"/>
        </w:rPr>
      </w:pPr>
      <w:r>
        <w:rPr>
          <w:rFonts w:hint="default" w:ascii="Times New Roman" w:hAnsi="Times New Roman" w:cs="Times New Roman"/>
          <w:szCs w:val="21"/>
          <w:highlight w:val="none"/>
        </w:rPr>
        <w:t>乙方必须使用自卸车，安装车载GPS装置（甲方购买设备）、声光报警器、随车灭火器等安全附件，保证车辆性能良好。</w:t>
      </w:r>
    </w:p>
    <w:p w14:paraId="2F539CC3">
      <w:pPr>
        <w:widowControl w:val="0"/>
        <w:numPr>
          <w:ilvl w:val="0"/>
          <w:numId w:val="0"/>
        </w:numPr>
        <w:spacing w:line="360" w:lineRule="auto"/>
        <w:ind w:firstLine="630" w:firstLineChars="300"/>
        <w:jc w:val="both"/>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 xml:space="preserve">Le Prestataire doit utiliser des camions benne, équipés </w:t>
      </w:r>
      <w:r>
        <w:rPr>
          <w:rFonts w:hint="eastAsia"/>
          <w:color w:val="000000"/>
          <w:szCs w:val="21"/>
          <w:highlight w:val="none"/>
          <w:lang w:val="fr-FR"/>
        </w:rPr>
        <w:t>de dispositifs</w:t>
      </w:r>
      <w:r>
        <w:rPr>
          <w:rFonts w:hint="eastAsia" w:ascii="Times New Roman" w:hAnsi="Times New Roman" w:cs="Times New Roman"/>
          <w:szCs w:val="21"/>
          <w:highlight w:val="none"/>
          <w:lang w:val="en-US" w:eastAsia="zh-CN"/>
        </w:rPr>
        <w:t xml:space="preserve"> GPS embarqués (les</w:t>
      </w:r>
      <w:r>
        <w:rPr>
          <w:rFonts w:hint="eastAsia" w:cs="Times New Roman"/>
          <w:szCs w:val="21"/>
          <w:highlight w:val="none"/>
          <w:lang w:val="en-US" w:eastAsia="zh-CN"/>
        </w:rPr>
        <w:t xml:space="preserve"> </w:t>
      </w:r>
      <w:r>
        <w:rPr>
          <w:rFonts w:hint="eastAsia"/>
          <w:color w:val="000000"/>
          <w:szCs w:val="21"/>
          <w:highlight w:val="none"/>
          <w:lang w:val="fr-FR"/>
        </w:rPr>
        <w:t>dispositifs</w:t>
      </w:r>
      <w:r>
        <w:rPr>
          <w:rFonts w:hint="eastAsia"/>
          <w:color w:val="000000"/>
          <w:szCs w:val="21"/>
          <w:highlight w:val="none"/>
          <w:lang w:val="en-US" w:eastAsia="zh-CN"/>
        </w:rPr>
        <w:t xml:space="preserve"> </w:t>
      </w:r>
      <w:r>
        <w:rPr>
          <w:rFonts w:hint="eastAsia" w:ascii="Times New Roman" w:hAnsi="Times New Roman" w:cs="Times New Roman"/>
          <w:szCs w:val="21"/>
          <w:highlight w:val="none"/>
          <w:lang w:val="en-US" w:eastAsia="zh-CN"/>
        </w:rPr>
        <w:t>sont achetés par le Client), d</w:t>
      </w:r>
      <w:r>
        <w:rPr>
          <w:rFonts w:hint="eastAsia" w:cs="Times New Roman"/>
          <w:szCs w:val="21"/>
          <w:highlight w:val="none"/>
          <w:lang w:val="en-US" w:eastAsia="zh-CN"/>
        </w:rPr>
        <w:t>'</w:t>
      </w:r>
      <w:r>
        <w:rPr>
          <w:rFonts w:hint="eastAsia" w:ascii="Times New Roman" w:hAnsi="Times New Roman" w:cs="Times New Roman"/>
          <w:szCs w:val="21"/>
          <w:highlight w:val="none"/>
          <w:lang w:val="en-US" w:eastAsia="zh-CN"/>
        </w:rPr>
        <w:t>alarme</w:t>
      </w:r>
      <w:r>
        <w:rPr>
          <w:rFonts w:hint="eastAsia" w:cs="Times New Roman"/>
          <w:szCs w:val="21"/>
          <w:highlight w:val="none"/>
          <w:lang w:val="en-US" w:eastAsia="zh-CN"/>
        </w:rPr>
        <w:t>s</w:t>
      </w:r>
      <w:r>
        <w:rPr>
          <w:rFonts w:hint="eastAsia" w:ascii="Times New Roman" w:hAnsi="Times New Roman" w:cs="Times New Roman"/>
          <w:szCs w:val="21"/>
          <w:highlight w:val="none"/>
          <w:lang w:val="en-US" w:eastAsia="zh-CN"/>
        </w:rPr>
        <w:t xml:space="preserve"> sonore</w:t>
      </w:r>
      <w:r>
        <w:rPr>
          <w:rFonts w:hint="eastAsia" w:cs="Times New Roman"/>
          <w:szCs w:val="21"/>
          <w:highlight w:val="none"/>
          <w:lang w:val="en-US" w:eastAsia="zh-CN"/>
        </w:rPr>
        <w:t>s</w:t>
      </w:r>
      <w:r>
        <w:rPr>
          <w:rFonts w:hint="eastAsia" w:ascii="Times New Roman" w:hAnsi="Times New Roman" w:cs="Times New Roman"/>
          <w:szCs w:val="21"/>
          <w:highlight w:val="none"/>
          <w:lang w:val="en-US" w:eastAsia="zh-CN"/>
        </w:rPr>
        <w:t xml:space="preserve"> et lumineuse</w:t>
      </w:r>
      <w:r>
        <w:rPr>
          <w:rFonts w:hint="eastAsia" w:cs="Times New Roman"/>
          <w:szCs w:val="21"/>
          <w:highlight w:val="none"/>
          <w:lang w:val="en-US" w:eastAsia="zh-CN"/>
        </w:rPr>
        <w:t>s</w:t>
      </w:r>
      <w:r>
        <w:rPr>
          <w:rFonts w:hint="eastAsia" w:ascii="Times New Roman" w:hAnsi="Times New Roman" w:cs="Times New Roman"/>
          <w:szCs w:val="21"/>
          <w:highlight w:val="none"/>
          <w:lang w:val="en-US" w:eastAsia="zh-CN"/>
        </w:rPr>
        <w:t>, d</w:t>
      </w:r>
      <w:r>
        <w:rPr>
          <w:rFonts w:hint="eastAsia" w:cs="Times New Roman"/>
          <w:szCs w:val="21"/>
          <w:highlight w:val="none"/>
          <w:lang w:val="en-US" w:eastAsia="zh-CN"/>
        </w:rPr>
        <w:t>'</w:t>
      </w:r>
      <w:r>
        <w:rPr>
          <w:rFonts w:hint="eastAsia" w:ascii="Times New Roman" w:hAnsi="Times New Roman" w:cs="Times New Roman"/>
          <w:szCs w:val="21"/>
          <w:highlight w:val="none"/>
          <w:lang w:val="en-US" w:eastAsia="zh-CN"/>
        </w:rPr>
        <w:t>extincteur de bord et autres accessoires de sécurité, et garantir un bon état de fonctionnement des véhicules.</w:t>
      </w:r>
    </w:p>
    <w:p w14:paraId="2C09748C">
      <w:pPr>
        <w:pStyle w:val="161"/>
        <w:numPr>
          <w:ilvl w:val="0"/>
          <w:numId w:val="9"/>
        </w:numPr>
        <w:spacing w:line="360" w:lineRule="auto"/>
        <w:ind w:left="0" w:leftChars="0"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在矿石装车后，</w:t>
      </w:r>
      <w:r>
        <w:rPr>
          <w:rFonts w:hint="default" w:ascii="Times New Roman" w:hAnsi="Times New Roman" w:cs="Times New Roman"/>
          <w:szCs w:val="21"/>
          <w:highlight w:val="none"/>
          <w:lang w:val="en-US" w:eastAsia="zh-CN"/>
        </w:rPr>
        <w:t>经甲方人员检查无撒漏方可驶出，乙方</w:t>
      </w:r>
      <w:r>
        <w:rPr>
          <w:rFonts w:hint="default" w:ascii="Times New Roman" w:hAnsi="Times New Roman" w:cs="Times New Roman"/>
          <w:szCs w:val="21"/>
          <w:highlight w:val="none"/>
        </w:rPr>
        <w:t>必须保证</w:t>
      </w:r>
      <w:r>
        <w:rPr>
          <w:rFonts w:hint="default" w:ascii="Times New Roman" w:hAnsi="Times New Roman" w:cs="Times New Roman"/>
          <w:szCs w:val="21"/>
          <w:highlight w:val="none"/>
          <w:lang w:val="en-US" w:eastAsia="zh-CN"/>
        </w:rPr>
        <w:t>车辆密封</w:t>
      </w:r>
      <w:r>
        <w:rPr>
          <w:rFonts w:hint="default" w:ascii="Times New Roman" w:hAnsi="Times New Roman" w:cs="Times New Roman"/>
          <w:szCs w:val="21"/>
          <w:highlight w:val="none"/>
        </w:rPr>
        <w:t>在运输途中处于完好状态</w:t>
      </w:r>
      <w:r>
        <w:rPr>
          <w:rFonts w:hint="default" w:ascii="Times New Roman" w:hAnsi="Times New Roman" w:cs="Times New Roman"/>
          <w:szCs w:val="21"/>
          <w:highlight w:val="none"/>
          <w:lang w:eastAsia="zh-CN"/>
        </w:rPr>
        <w:t>，</w:t>
      </w:r>
      <w:r>
        <w:rPr>
          <w:rFonts w:hint="default" w:ascii="Times New Roman" w:hAnsi="Times New Roman" w:cs="Times New Roman"/>
          <w:szCs w:val="21"/>
          <w:highlight w:val="none"/>
          <w:lang w:val="en-US" w:eastAsia="zh-CN"/>
        </w:rPr>
        <w:t>运输过程中无撒落料</w:t>
      </w:r>
      <w:r>
        <w:rPr>
          <w:rFonts w:hint="default" w:ascii="Times New Roman" w:hAnsi="Times New Roman" w:cs="Times New Roman"/>
          <w:szCs w:val="21"/>
          <w:highlight w:val="none"/>
        </w:rPr>
        <w:t>。按程序办理计量、卸车、验收等手续，否则不支付该车运费，且甲方</w:t>
      </w:r>
      <w:r>
        <w:rPr>
          <w:rFonts w:hint="default" w:ascii="Times New Roman" w:hAnsi="Times New Roman" w:cs="Times New Roman"/>
          <w:szCs w:val="21"/>
          <w:highlight w:val="none"/>
          <w:lang w:val="en-US" w:eastAsia="zh-CN"/>
        </w:rPr>
        <w:t>有</w:t>
      </w:r>
      <w:r>
        <w:rPr>
          <w:rFonts w:hint="default" w:ascii="Times New Roman" w:hAnsi="Times New Roman" w:cs="Times New Roman"/>
          <w:szCs w:val="21"/>
          <w:highlight w:val="none"/>
        </w:rPr>
        <w:t>调查、处罚</w:t>
      </w:r>
      <w:r>
        <w:rPr>
          <w:rFonts w:hint="default" w:ascii="Times New Roman" w:hAnsi="Times New Roman" w:cs="Times New Roman"/>
          <w:szCs w:val="21"/>
          <w:highlight w:val="none"/>
          <w:lang w:val="en-US" w:eastAsia="zh-CN"/>
        </w:rPr>
        <w:t>物料遗失</w:t>
      </w:r>
      <w:r>
        <w:rPr>
          <w:rFonts w:hint="default" w:ascii="Times New Roman" w:hAnsi="Times New Roman" w:cs="Times New Roman"/>
          <w:szCs w:val="21"/>
          <w:highlight w:val="none"/>
        </w:rPr>
        <w:t>的权利。</w:t>
      </w:r>
    </w:p>
    <w:p w14:paraId="761A0F47">
      <w:pPr>
        <w:widowControl w:val="0"/>
        <w:numPr>
          <w:ilvl w:val="0"/>
          <w:numId w:val="0"/>
        </w:numPr>
        <w:spacing w:line="360" w:lineRule="auto"/>
        <w:ind w:firstLine="630" w:firstLineChars="300"/>
        <w:jc w:val="both"/>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 xml:space="preserve">Le Prestataire ne pourra quitter le site de chargement qu'après que le personnel du Client aura vérifié l'absence de fuite ou de dispersion après le chargement du minerai. Le Prestataire </w:t>
      </w:r>
      <w:r>
        <w:rPr>
          <w:rFonts w:hint="eastAsia" w:ascii="Times New Roman" w:hAnsi="Times New Roman" w:cs="Times New Roman"/>
          <w:szCs w:val="21"/>
          <w:highlight w:val="none"/>
          <w:lang w:val="en-US" w:eastAsia="zh-CN"/>
        </w:rPr>
        <w:t>doit</w:t>
      </w:r>
      <w:r>
        <w:rPr>
          <w:rFonts w:hint="default" w:ascii="Times New Roman" w:hAnsi="Times New Roman" w:cs="Times New Roman"/>
          <w:szCs w:val="21"/>
          <w:highlight w:val="none"/>
          <w:lang w:val="en-US" w:eastAsia="zh-CN"/>
        </w:rPr>
        <w:t xml:space="preserve"> garantir l'étanchéité des véhicules pendant le transport et qu'aucune perte de </w:t>
      </w:r>
      <w:r>
        <w:rPr>
          <w:rFonts w:hint="eastAsia" w:ascii="Times New Roman" w:hAnsi="Times New Roman" w:cs="Times New Roman"/>
          <w:szCs w:val="21"/>
          <w:highlight w:val="none"/>
          <w:lang w:val="en-US" w:eastAsia="zh-CN"/>
        </w:rPr>
        <w:t>minerai</w:t>
      </w:r>
      <w:r>
        <w:rPr>
          <w:rFonts w:hint="default" w:ascii="Times New Roman" w:hAnsi="Times New Roman" w:cs="Times New Roman"/>
          <w:szCs w:val="21"/>
          <w:highlight w:val="none"/>
          <w:lang w:val="en-US" w:eastAsia="zh-CN"/>
        </w:rPr>
        <w:t xml:space="preserve"> ne se produira durant le transport. Il doit suivre les procédures établies pour le pesage, le déchargement et la réception</w:t>
      </w:r>
      <w:r>
        <w:rPr>
          <w:rFonts w:hint="eastAsia" w:cs="Times New Roman"/>
          <w:szCs w:val="21"/>
          <w:highlight w:val="none"/>
          <w:lang w:val="en-US" w:eastAsia="zh-CN"/>
        </w:rPr>
        <w:t xml:space="preserve"> </w:t>
      </w:r>
      <w:r>
        <w:rPr>
          <w:rFonts w:hint="eastAsia" w:ascii="Times New Roman" w:hAnsi="Times New Roman" w:cs="Times New Roman"/>
          <w:szCs w:val="21"/>
          <w:highlight w:val="none"/>
          <w:lang w:val="en-US" w:eastAsia="zh-CN"/>
        </w:rPr>
        <w:t>et autres formalités</w:t>
      </w:r>
      <w:r>
        <w:rPr>
          <w:rFonts w:hint="default" w:ascii="Times New Roman" w:hAnsi="Times New Roman" w:cs="Times New Roman"/>
          <w:szCs w:val="21"/>
          <w:highlight w:val="none"/>
          <w:lang w:val="en-US" w:eastAsia="zh-CN"/>
        </w:rPr>
        <w:t xml:space="preserve">. </w:t>
      </w:r>
      <w:r>
        <w:rPr>
          <w:rFonts w:hint="eastAsia" w:cs="Times New Roman"/>
          <w:szCs w:val="21"/>
          <w:highlight w:val="none"/>
          <w:lang w:val="en-US" w:eastAsia="zh-CN"/>
        </w:rPr>
        <w:t>F</w:t>
      </w:r>
      <w:r>
        <w:rPr>
          <w:rFonts w:hint="default" w:ascii="Times New Roman" w:hAnsi="Times New Roman" w:cs="Times New Roman"/>
          <w:szCs w:val="21"/>
          <w:highlight w:val="none"/>
          <w:lang w:val="en-US" w:eastAsia="zh-CN"/>
        </w:rPr>
        <w:t>aute de quoi, les frais de transport de ce véhicule ne seront pas versés</w:t>
      </w:r>
      <w:r>
        <w:rPr>
          <w:rFonts w:hint="eastAsia" w:cs="Times New Roman"/>
          <w:szCs w:val="21"/>
          <w:highlight w:val="none"/>
          <w:lang w:val="en-US" w:eastAsia="zh-CN"/>
        </w:rPr>
        <w:t>.</w:t>
      </w:r>
      <w:r>
        <w:rPr>
          <w:rFonts w:hint="default" w:ascii="Times New Roman" w:hAnsi="Times New Roman" w:cs="Times New Roman"/>
          <w:szCs w:val="21"/>
          <w:highlight w:val="none"/>
          <w:lang w:val="en-US" w:eastAsia="zh-CN"/>
        </w:rPr>
        <w:t xml:space="preserve"> </w:t>
      </w:r>
      <w:r>
        <w:rPr>
          <w:rFonts w:hint="eastAsia" w:cs="Times New Roman"/>
          <w:szCs w:val="21"/>
          <w:highlight w:val="none"/>
          <w:lang w:val="en-US" w:eastAsia="zh-CN"/>
        </w:rPr>
        <w:t>E</w:t>
      </w:r>
      <w:r>
        <w:rPr>
          <w:rFonts w:hint="default" w:ascii="Times New Roman" w:hAnsi="Times New Roman" w:cs="Times New Roman"/>
          <w:szCs w:val="21"/>
          <w:highlight w:val="none"/>
          <w:lang w:val="en-US" w:eastAsia="zh-CN"/>
        </w:rPr>
        <w:t>t le Client se réserve le droit d'enquêter sur toute perte de minerai</w:t>
      </w:r>
      <w:r>
        <w:rPr>
          <w:rFonts w:hint="eastAsia" w:cs="Times New Roman"/>
          <w:szCs w:val="21"/>
          <w:highlight w:val="none"/>
          <w:lang w:val="en-US" w:eastAsia="zh-CN"/>
        </w:rPr>
        <w:t xml:space="preserve"> </w:t>
      </w:r>
      <w:r>
        <w:rPr>
          <w:rFonts w:hint="default" w:ascii="Times New Roman" w:hAnsi="Times New Roman" w:cs="Times New Roman"/>
          <w:szCs w:val="21"/>
          <w:highlight w:val="none"/>
          <w:lang w:val="en-US" w:eastAsia="zh-CN"/>
        </w:rPr>
        <w:t>et d'imposer des pénalités.</w:t>
      </w:r>
    </w:p>
    <w:p w14:paraId="2156F0B0">
      <w:pPr>
        <w:pStyle w:val="161"/>
        <w:numPr>
          <w:ilvl w:val="0"/>
          <w:numId w:val="9"/>
        </w:numPr>
        <w:spacing w:line="360" w:lineRule="auto"/>
        <w:ind w:left="0" w:leftChars="0" w:firstLine="420" w:firstLineChars="200"/>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乙方须遵守甲方运输管理规定，最高车速不得超过</w:t>
      </w:r>
      <w:r>
        <w:rPr>
          <w:rFonts w:hint="default" w:ascii="Times New Roman" w:hAnsi="Times New Roman" w:cs="Times New Roman"/>
          <w:szCs w:val="21"/>
          <w:highlight w:val="none"/>
          <w:u w:val="single"/>
          <w:lang w:val="en-US" w:eastAsia="zh-CN"/>
        </w:rPr>
        <w:t>60km</w:t>
      </w:r>
      <w:r>
        <w:rPr>
          <w:rFonts w:hint="default" w:ascii="Times New Roman" w:hAnsi="Times New Roman" w:cs="Times New Roman"/>
          <w:szCs w:val="21"/>
          <w:highlight w:val="none"/>
          <w:lang w:val="en-US" w:eastAsia="zh-CN"/>
        </w:rPr>
        <w:t>/小时，上下坡路段和通过桥梁车速不超过</w:t>
      </w:r>
      <w:r>
        <w:rPr>
          <w:rFonts w:hint="default" w:ascii="Times New Roman" w:hAnsi="Times New Roman" w:cs="Times New Roman"/>
          <w:szCs w:val="21"/>
          <w:highlight w:val="none"/>
          <w:u w:val="single"/>
          <w:lang w:val="en-US" w:eastAsia="zh-CN"/>
        </w:rPr>
        <w:t>30km</w:t>
      </w:r>
      <w:r>
        <w:rPr>
          <w:rFonts w:hint="default" w:ascii="Times New Roman" w:hAnsi="Times New Roman" w:cs="Times New Roman"/>
          <w:szCs w:val="21"/>
          <w:highlight w:val="none"/>
          <w:lang w:val="en-US" w:eastAsia="zh-CN"/>
        </w:rPr>
        <w:t>/小时；途径甲方设置的检查点，必须按照要求停车登记，接受检查。</w:t>
      </w:r>
    </w:p>
    <w:p w14:paraId="03CD1D61">
      <w:pPr>
        <w:widowControl w:val="0"/>
        <w:numPr>
          <w:ilvl w:val="0"/>
          <w:numId w:val="0"/>
        </w:numPr>
        <w:spacing w:line="360" w:lineRule="auto"/>
        <w:ind w:firstLine="630" w:firstLineChars="300"/>
        <w:jc w:val="both"/>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 xml:space="preserve">Le Prestataire doit se conformer aux règles de gestion du transport établies par le Client : la vitesse maximale ne doit pas dépasser </w:t>
      </w:r>
      <w:r>
        <w:rPr>
          <w:rFonts w:hint="eastAsia" w:ascii="Times New Roman" w:hAnsi="Times New Roman" w:cs="Times New Roman"/>
          <w:szCs w:val="21"/>
          <w:highlight w:val="none"/>
          <w:u w:val="single"/>
          <w:lang w:val="en-US" w:eastAsia="zh-CN"/>
        </w:rPr>
        <w:t>60 km/h</w:t>
      </w:r>
      <w:r>
        <w:rPr>
          <w:rFonts w:hint="eastAsia" w:ascii="Times New Roman" w:hAnsi="Times New Roman" w:cs="Times New Roman"/>
          <w:szCs w:val="21"/>
          <w:highlight w:val="none"/>
          <w:lang w:val="en-US" w:eastAsia="zh-CN"/>
        </w:rPr>
        <w:t xml:space="preserve"> ; sur les sections de pente (ascendante ou descendante) et lors du passage sur les ponts, la vitesse ne doit pas dépasser </w:t>
      </w:r>
      <w:r>
        <w:rPr>
          <w:rFonts w:hint="eastAsia" w:ascii="Times New Roman" w:hAnsi="Times New Roman" w:cs="Times New Roman"/>
          <w:szCs w:val="21"/>
          <w:highlight w:val="none"/>
          <w:u w:val="single"/>
          <w:lang w:val="en-US" w:eastAsia="zh-CN"/>
        </w:rPr>
        <w:t>30 km/h</w:t>
      </w:r>
      <w:r>
        <w:rPr>
          <w:rFonts w:hint="eastAsia" w:ascii="Times New Roman" w:hAnsi="Times New Roman" w:cs="Times New Roman"/>
          <w:szCs w:val="21"/>
          <w:highlight w:val="none"/>
          <w:lang w:val="en-US" w:eastAsia="zh-CN"/>
        </w:rPr>
        <w:t>. Lors du passage par les points de contrôle installés par le Client, il doit obligatoirement s</w:t>
      </w:r>
      <w:r>
        <w:rPr>
          <w:rFonts w:hint="eastAsia" w:cs="Times New Roman"/>
          <w:szCs w:val="21"/>
          <w:highlight w:val="none"/>
          <w:lang w:val="en-US" w:eastAsia="zh-CN"/>
        </w:rPr>
        <w:t>'</w:t>
      </w:r>
      <w:r>
        <w:rPr>
          <w:rFonts w:hint="eastAsia" w:ascii="Times New Roman" w:hAnsi="Times New Roman" w:cs="Times New Roman"/>
          <w:szCs w:val="21"/>
          <w:highlight w:val="none"/>
          <w:lang w:val="en-US" w:eastAsia="zh-CN"/>
        </w:rPr>
        <w:t>arrêter pour s</w:t>
      </w:r>
      <w:r>
        <w:rPr>
          <w:rFonts w:hint="eastAsia" w:cs="Times New Roman"/>
          <w:szCs w:val="21"/>
          <w:highlight w:val="none"/>
          <w:lang w:val="en-US" w:eastAsia="zh-CN"/>
        </w:rPr>
        <w:t>'</w:t>
      </w:r>
      <w:r>
        <w:rPr>
          <w:rFonts w:hint="eastAsia" w:ascii="Times New Roman" w:hAnsi="Times New Roman" w:cs="Times New Roman"/>
          <w:szCs w:val="21"/>
          <w:highlight w:val="none"/>
          <w:lang w:val="en-US" w:eastAsia="zh-CN"/>
        </w:rPr>
        <w:t>inscrire et subir les vérifications conformément aux exigences.</w:t>
      </w:r>
    </w:p>
    <w:p w14:paraId="2DEDD3D9">
      <w:pPr>
        <w:numPr>
          <w:ilvl w:val="0"/>
          <w:numId w:val="7"/>
        </w:numPr>
        <w:spacing w:line="360" w:lineRule="auto"/>
        <w:ind w:left="0" w:firstLine="422" w:firstLineChars="200"/>
        <w:rPr>
          <w:rFonts w:hint="default" w:ascii="Times New Roman" w:hAnsi="Times New Roman" w:cs="Times New Roman"/>
          <w:b/>
          <w:szCs w:val="21"/>
          <w:highlight w:val="none"/>
          <w:lang w:val="fr-FR"/>
        </w:rPr>
      </w:pPr>
      <w:r>
        <w:rPr>
          <w:rFonts w:hint="default" w:ascii="Times New Roman" w:hAnsi="Times New Roman" w:cs="Times New Roman"/>
          <w:b/>
          <w:szCs w:val="21"/>
          <w:highlight w:val="none"/>
        </w:rPr>
        <w:t>合同期限</w:t>
      </w:r>
    </w:p>
    <w:p w14:paraId="014D09FF">
      <w:pPr>
        <w:spacing w:line="360" w:lineRule="auto"/>
        <w:ind w:firstLine="422" w:firstLineChars="200"/>
        <w:rPr>
          <w:rFonts w:hint="default" w:ascii="Times New Roman" w:hAnsi="Times New Roman" w:cs="Times New Roman"/>
          <w:b/>
          <w:szCs w:val="21"/>
          <w:highlight w:val="none"/>
          <w:lang w:val="fr-FR"/>
        </w:rPr>
      </w:pPr>
      <w:r>
        <w:rPr>
          <w:rFonts w:hint="default" w:ascii="Times New Roman" w:hAnsi="Times New Roman" w:cs="Times New Roman"/>
          <w:b/>
          <w:szCs w:val="21"/>
          <w:highlight w:val="none"/>
          <w:lang w:val="fr-FR"/>
        </w:rPr>
        <w:t xml:space="preserve">Article </w:t>
      </w:r>
      <w:r>
        <w:rPr>
          <w:rFonts w:hint="default" w:ascii="Times New Roman" w:hAnsi="Times New Roman" w:cs="Times New Roman"/>
          <w:b/>
          <w:szCs w:val="21"/>
          <w:highlight w:val="none"/>
          <w:lang w:val="en-US" w:eastAsia="zh-CN"/>
        </w:rPr>
        <w:t>II</w:t>
      </w:r>
      <w:r>
        <w:rPr>
          <w:rFonts w:hint="default" w:ascii="Times New Roman" w:hAnsi="Times New Roman" w:cs="Times New Roman"/>
          <w:b/>
          <w:szCs w:val="21"/>
          <w:highlight w:val="none"/>
          <w:lang w:val="fr-FR"/>
        </w:rPr>
        <w:t xml:space="preserve"> </w:t>
      </w:r>
      <w:r>
        <w:rPr>
          <w:rFonts w:hint="default" w:ascii="Times New Roman" w:hAnsi="Times New Roman" w:cs="Times New Roman"/>
          <w:b/>
          <w:szCs w:val="21"/>
          <w:highlight w:val="none"/>
          <w:lang w:val="en-US" w:eastAsia="zh-CN"/>
        </w:rPr>
        <w:t xml:space="preserve"> </w:t>
      </w:r>
      <w:r>
        <w:rPr>
          <w:rFonts w:hint="default" w:ascii="Times New Roman" w:hAnsi="Times New Roman" w:cs="Times New Roman"/>
          <w:b/>
          <w:szCs w:val="21"/>
          <w:highlight w:val="none"/>
          <w:lang w:val="fr-FR"/>
        </w:rPr>
        <w:t>Durée du contrat</w:t>
      </w:r>
    </w:p>
    <w:p w14:paraId="07C85B55">
      <w:pPr>
        <w:numPr>
          <w:ilvl w:val="0"/>
          <w:numId w:val="0"/>
        </w:numPr>
        <w:tabs>
          <w:tab w:val="left" w:pos="0"/>
        </w:tabs>
        <w:spacing w:line="360" w:lineRule="auto"/>
        <w:ind w:left="0" w:leftChars="0" w:firstLine="420" w:firstLineChars="0"/>
        <w:rPr>
          <w:rFonts w:hint="default" w:ascii="Times New Roman" w:hAnsi="Times New Roman" w:cs="Times New Roman"/>
          <w:szCs w:val="21"/>
          <w:highlight w:val="none"/>
        </w:rPr>
      </w:pPr>
      <w:r>
        <w:rPr>
          <w:rFonts w:hint="default" w:ascii="Times New Roman" w:hAnsi="Times New Roman" w:eastAsia="宋体" w:cs="Times New Roman"/>
          <w:kern w:val="2"/>
          <w:sz w:val="21"/>
          <w:szCs w:val="21"/>
          <w:highlight w:val="none"/>
          <w:lang w:val="en-US" w:eastAsia="zh-CN" w:bidi="ar-SA"/>
        </w:rPr>
        <w:t>（I）</w:t>
      </w:r>
      <w:r>
        <w:rPr>
          <w:rFonts w:hint="default" w:ascii="Times New Roman" w:hAnsi="Times New Roman" w:cs="Times New Roman"/>
          <w:szCs w:val="21"/>
          <w:highlight w:val="none"/>
        </w:rPr>
        <w:t>本合同为有条件生效合同，具体条件如下，缺一不可：</w:t>
      </w:r>
    </w:p>
    <w:p w14:paraId="4EDAF048">
      <w:pPr>
        <w:pStyle w:val="161"/>
        <w:numPr>
          <w:ilvl w:val="0"/>
          <w:numId w:val="0"/>
        </w:numPr>
        <w:ind w:left="0" w:leftChars="0" w:firstLine="840" w:firstLineChars="400"/>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Le présent contrat est un contrat à effet conditionnel. Les conditions suivantes sont cumulatives et indispensables pour son entrée en vigueur :</w:t>
      </w:r>
    </w:p>
    <w:p w14:paraId="0EE57E85">
      <w:pPr>
        <w:pStyle w:val="161"/>
        <w:numPr>
          <w:ilvl w:val="0"/>
          <w:numId w:val="0"/>
        </w:numPr>
        <w:ind w:left="0" w:leftChars="0" w:firstLine="420" w:firstLineChars="200"/>
        <w:rPr>
          <w:rFonts w:hint="default" w:ascii="Times New Roman" w:hAnsi="Times New Roman" w:cs="Times New Roman"/>
          <w:szCs w:val="21"/>
          <w:highlight w:val="none"/>
        </w:rPr>
      </w:pPr>
      <w:r>
        <w:rPr>
          <w:rFonts w:hint="default" w:ascii="Times New Roman" w:hAnsi="Times New Roman" w:eastAsia="宋体" w:cs="Times New Roman"/>
          <w:kern w:val="2"/>
          <w:sz w:val="21"/>
          <w:szCs w:val="21"/>
          <w:highlight w:val="none"/>
          <w:lang w:val="en-US" w:eastAsia="zh-CN" w:bidi="ar-SA"/>
        </w:rPr>
        <w:t>1．</w:t>
      </w:r>
      <w:r>
        <w:rPr>
          <w:rFonts w:hint="default" w:ascii="Times New Roman" w:hAnsi="Times New Roman" w:cs="Times New Roman"/>
          <w:szCs w:val="21"/>
          <w:highlight w:val="none"/>
        </w:rPr>
        <w:t>双方法人或授权代表签字并加盖合同专用章或公章；</w:t>
      </w:r>
    </w:p>
    <w:p w14:paraId="71ED53E3">
      <w:pPr>
        <w:pStyle w:val="161"/>
        <w:numPr>
          <w:ilvl w:val="0"/>
          <w:numId w:val="0"/>
        </w:numPr>
        <w:tabs>
          <w:tab w:val="left" w:pos="0"/>
        </w:tabs>
        <w:ind w:firstLine="420" w:firstLineChars="200"/>
        <w:rPr>
          <w:rFonts w:hint="default" w:ascii="Times New Roman" w:hAnsi="Times New Roman" w:cs="Times New Roman"/>
          <w:kern w:val="2"/>
          <w:sz w:val="21"/>
          <w:szCs w:val="21"/>
          <w:highlight w:val="none"/>
          <w:lang w:val="en-US" w:eastAsia="zh-CN" w:bidi="ar-SA"/>
        </w:rPr>
      </w:pPr>
      <w:r>
        <w:rPr>
          <w:rFonts w:hint="eastAsia" w:ascii="Times New Roman" w:hAnsi="Times New Roman" w:cs="Times New Roman"/>
          <w:kern w:val="2"/>
          <w:sz w:val="21"/>
          <w:szCs w:val="21"/>
          <w:highlight w:val="none"/>
          <w:lang w:val="en-US" w:eastAsia="zh-CN" w:bidi="ar-SA"/>
        </w:rPr>
        <w:t xml:space="preserve">   </w:t>
      </w:r>
      <w:r>
        <w:rPr>
          <w:rFonts w:hint="default" w:ascii="Times New Roman" w:hAnsi="Times New Roman" w:cs="Times New Roman"/>
          <w:kern w:val="2"/>
          <w:sz w:val="21"/>
          <w:szCs w:val="21"/>
          <w:highlight w:val="none"/>
          <w:lang w:val="en-US" w:eastAsia="zh-CN" w:bidi="ar-SA"/>
        </w:rPr>
        <w:t>Il doit être signé par les représentants légaux ou dûment mandatés des deux parties et revêtu de leur cachet officiel ou du cachet contractuel ;</w:t>
      </w:r>
    </w:p>
    <w:p w14:paraId="50A73760">
      <w:pPr>
        <w:pStyle w:val="161"/>
        <w:numPr>
          <w:ilvl w:val="0"/>
          <w:numId w:val="0"/>
        </w:numPr>
        <w:tabs>
          <w:tab w:val="left" w:pos="0"/>
        </w:tabs>
        <w:ind w:firstLine="420" w:firstLineChars="200"/>
        <w:rPr>
          <w:rFonts w:hint="default" w:ascii="Times New Roman" w:hAnsi="Times New Roman" w:cs="Times New Roman"/>
          <w:szCs w:val="21"/>
          <w:highlight w:val="none"/>
        </w:rPr>
      </w:pPr>
      <w:r>
        <w:rPr>
          <w:rFonts w:hint="default" w:ascii="Times New Roman" w:hAnsi="Times New Roman" w:cs="Times New Roman"/>
          <w:kern w:val="2"/>
          <w:sz w:val="21"/>
          <w:szCs w:val="21"/>
          <w:highlight w:val="none"/>
          <w:lang w:val="en-US" w:eastAsia="zh-CN" w:bidi="ar-SA"/>
        </w:rPr>
        <w:t>2</w:t>
      </w:r>
      <w:r>
        <w:rPr>
          <w:rFonts w:hint="default" w:ascii="Times New Roman" w:hAnsi="Times New Roman" w:eastAsia="宋体" w:cs="Times New Roman"/>
          <w:kern w:val="2"/>
          <w:sz w:val="21"/>
          <w:szCs w:val="21"/>
          <w:highlight w:val="none"/>
          <w:lang w:val="en-US" w:eastAsia="zh-CN" w:bidi="ar-SA"/>
        </w:rPr>
        <w:t>．</w:t>
      </w:r>
      <w:r>
        <w:rPr>
          <w:rFonts w:hint="default" w:ascii="Times New Roman" w:hAnsi="Times New Roman" w:cs="Times New Roman"/>
          <w:szCs w:val="21"/>
          <w:highlight w:val="none"/>
        </w:rPr>
        <w:t>收到甲方发出的合同生效通知书，自合同生效通知书送抵之日起生效。</w:t>
      </w:r>
    </w:p>
    <w:p w14:paraId="2BAB07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ascii="Times New Roman" w:hAnsi="Times New Roman" w:cs="Times New Roman"/>
          <w:kern w:val="2"/>
          <w:sz w:val="21"/>
          <w:szCs w:val="21"/>
          <w:highlight w:val="none"/>
          <w:lang w:val="en-US" w:eastAsia="zh-CN" w:bidi="ar-SA"/>
        </w:rPr>
      </w:pPr>
      <w:r>
        <w:rPr>
          <w:rFonts w:hint="eastAsia" w:ascii="Times New Roman" w:hAnsi="Times New Roman" w:cs="Times New Roman"/>
          <w:kern w:val="2"/>
          <w:sz w:val="21"/>
          <w:szCs w:val="21"/>
          <w:highlight w:val="none"/>
          <w:lang w:val="en-US" w:eastAsia="zh-CN" w:bidi="ar-SA"/>
        </w:rPr>
        <w:t xml:space="preserve">   </w:t>
      </w:r>
      <w:r>
        <w:rPr>
          <w:rFonts w:hint="default" w:ascii="Times New Roman" w:hAnsi="Times New Roman" w:cs="Times New Roman"/>
          <w:kern w:val="2"/>
          <w:sz w:val="21"/>
          <w:szCs w:val="21"/>
          <w:highlight w:val="none"/>
          <w:lang w:val="en-US" w:eastAsia="zh-CN" w:bidi="ar-SA"/>
        </w:rPr>
        <w:t>La notification d</w:t>
      </w:r>
      <w:r>
        <w:rPr>
          <w:rFonts w:hint="eastAsia" w:ascii="Times New Roman" w:hAnsi="Times New Roman" w:cs="Times New Roman"/>
          <w:kern w:val="2"/>
          <w:sz w:val="21"/>
          <w:szCs w:val="21"/>
          <w:highlight w:val="none"/>
          <w:lang w:val="en-US" w:eastAsia="zh-CN" w:bidi="ar-SA"/>
        </w:rPr>
        <w:t>'</w:t>
      </w:r>
      <w:r>
        <w:rPr>
          <w:rFonts w:hint="default" w:ascii="Times New Roman" w:hAnsi="Times New Roman" w:cs="Times New Roman"/>
          <w:kern w:val="2"/>
          <w:sz w:val="21"/>
          <w:szCs w:val="21"/>
          <w:highlight w:val="none"/>
          <w:lang w:val="en-US" w:eastAsia="zh-CN" w:bidi="ar-SA"/>
        </w:rPr>
        <w:t>entrée en vigueur du contrat émise par le Client est reçue, et le contrat prend effet à compter de la date de réception de ladite notification.</w:t>
      </w:r>
    </w:p>
    <w:p w14:paraId="478CFF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ascii="Times New Roman" w:hAnsi="Times New Roman" w:cs="Times New Roman"/>
          <w:szCs w:val="21"/>
          <w:highlight w:val="none"/>
          <w:lang w:val="en-US" w:eastAsia="zh-CN"/>
        </w:rPr>
      </w:pPr>
      <w:r>
        <w:rPr>
          <w:rFonts w:hint="default" w:ascii="Times New Roman" w:hAnsi="Times New Roman" w:eastAsia="宋体" w:cs="Times New Roman"/>
          <w:kern w:val="2"/>
          <w:sz w:val="21"/>
          <w:szCs w:val="21"/>
          <w:highlight w:val="none"/>
          <w:lang w:val="en-US" w:eastAsia="zh-CN" w:bidi="ar-SA"/>
        </w:rPr>
        <w:t>（</w:t>
      </w:r>
      <w:r>
        <w:rPr>
          <w:rFonts w:hint="default" w:ascii="Times New Roman" w:hAnsi="Times New Roman" w:cs="Times New Roman"/>
          <w:kern w:val="2"/>
          <w:sz w:val="21"/>
          <w:szCs w:val="21"/>
          <w:highlight w:val="none"/>
          <w:lang w:val="en-US" w:eastAsia="zh-CN" w:bidi="ar-SA"/>
        </w:rPr>
        <w:t>II</w:t>
      </w:r>
      <w:r>
        <w:rPr>
          <w:rFonts w:hint="default" w:ascii="Times New Roman" w:hAnsi="Times New Roman" w:eastAsia="宋体" w:cs="Times New Roman"/>
          <w:kern w:val="2"/>
          <w:sz w:val="21"/>
          <w:szCs w:val="21"/>
          <w:highlight w:val="none"/>
          <w:lang w:val="en-US" w:eastAsia="zh-CN" w:bidi="ar-SA"/>
        </w:rPr>
        <w:t>）</w:t>
      </w:r>
      <w:r>
        <w:rPr>
          <w:rFonts w:hint="default" w:ascii="Times New Roman" w:hAnsi="Times New Roman" w:cs="Times New Roman"/>
          <w:szCs w:val="21"/>
          <w:highlight w:val="none"/>
        </w:rPr>
        <w:t>合同期限为自本合同生效之日起</w:t>
      </w:r>
      <w:r>
        <w:rPr>
          <w:rFonts w:hint="default" w:ascii="Times New Roman" w:hAnsi="Times New Roman" w:cs="Times New Roman"/>
          <w:szCs w:val="21"/>
          <w:highlight w:val="none"/>
          <w:u w:val="single"/>
          <w:lang w:val="en-US" w:eastAsia="zh-CN"/>
        </w:rPr>
        <w:t>3</w:t>
      </w:r>
      <w:r>
        <w:rPr>
          <w:rFonts w:hint="default" w:ascii="Times New Roman" w:hAnsi="Times New Roman" w:cs="Times New Roman"/>
          <w:szCs w:val="21"/>
          <w:highlight w:val="none"/>
          <w:u w:val="single"/>
        </w:rPr>
        <w:t>年</w:t>
      </w:r>
      <w:r>
        <w:rPr>
          <w:rFonts w:hint="default" w:ascii="Times New Roman" w:hAnsi="Times New Roman" w:cs="Times New Roman"/>
          <w:szCs w:val="21"/>
          <w:highlight w:val="none"/>
        </w:rPr>
        <w:t>内有效</w:t>
      </w:r>
      <w:r>
        <w:rPr>
          <w:rFonts w:hint="default" w:ascii="Times New Roman" w:hAnsi="Times New Roman" w:cs="Times New Roman"/>
          <w:szCs w:val="21"/>
          <w:highlight w:val="none"/>
          <w:lang w:eastAsia="zh-CN"/>
        </w:rPr>
        <w:t>，</w:t>
      </w:r>
      <w:r>
        <w:rPr>
          <w:rFonts w:hint="default" w:ascii="Times New Roman" w:hAnsi="Times New Roman" w:cs="Times New Roman"/>
          <w:szCs w:val="21"/>
          <w:highlight w:val="none"/>
          <w:lang w:val="en-US" w:eastAsia="zh-CN"/>
        </w:rPr>
        <w:t>每年对运输承包商进行一次评价，若评价不合格，可解除运输合同。</w:t>
      </w:r>
    </w:p>
    <w:p w14:paraId="3512A3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840" w:firstLineChars="400"/>
        <w:jc w:val="both"/>
        <w:textAlignment w:val="auto"/>
        <w:outlineLvl w:val="9"/>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 xml:space="preserve">Le présent contrat est valable pour une durée de </w:t>
      </w:r>
      <w:r>
        <w:rPr>
          <w:rFonts w:hint="default" w:ascii="Times New Roman" w:hAnsi="Times New Roman" w:cs="Times New Roman"/>
          <w:szCs w:val="21"/>
          <w:highlight w:val="none"/>
          <w:u w:val="single"/>
          <w:lang w:val="en-US" w:eastAsia="zh-CN"/>
        </w:rPr>
        <w:t>trois ans</w:t>
      </w:r>
      <w:r>
        <w:rPr>
          <w:rFonts w:hint="default" w:ascii="Times New Roman" w:hAnsi="Times New Roman" w:cs="Times New Roman"/>
          <w:szCs w:val="21"/>
          <w:highlight w:val="none"/>
          <w:lang w:val="en-US" w:eastAsia="zh-CN"/>
        </w:rPr>
        <w:t xml:space="preserve"> à compter de sa date d'entrée en vigueur. Le Prestataire fera l'objet d'une évaluation annuelle. Le contrat de transport pourra être résilié si l'évaluation est jugée non satisfaisante.</w:t>
      </w:r>
    </w:p>
    <w:p w14:paraId="24728229">
      <w:pPr>
        <w:numPr>
          <w:ilvl w:val="0"/>
          <w:numId w:val="7"/>
        </w:numPr>
        <w:spacing w:line="360" w:lineRule="auto"/>
        <w:ind w:left="0" w:firstLine="422" w:firstLineChars="200"/>
        <w:rPr>
          <w:rFonts w:hint="default" w:ascii="Times New Roman" w:hAnsi="Times New Roman" w:cs="Times New Roman"/>
          <w:b/>
          <w:szCs w:val="21"/>
          <w:highlight w:val="none"/>
        </w:rPr>
      </w:pPr>
      <w:r>
        <w:rPr>
          <w:rFonts w:hint="default" w:ascii="Times New Roman" w:hAnsi="Times New Roman" w:cs="Times New Roman"/>
          <w:b/>
          <w:bCs/>
          <w:szCs w:val="21"/>
          <w:highlight w:val="none"/>
        </w:rPr>
        <w:t>矿石数量及结算单价</w:t>
      </w:r>
      <w:r>
        <w:rPr>
          <w:rFonts w:hint="default" w:ascii="Times New Roman" w:hAnsi="Times New Roman" w:cs="Times New Roman"/>
          <w:b/>
          <w:szCs w:val="21"/>
          <w:highlight w:val="none"/>
        </w:rPr>
        <w:t xml:space="preserve"> </w:t>
      </w:r>
    </w:p>
    <w:p w14:paraId="7CB90D47">
      <w:pPr>
        <w:numPr>
          <w:ilvl w:val="0"/>
          <w:numId w:val="0"/>
        </w:numPr>
        <w:spacing w:line="360" w:lineRule="auto"/>
        <w:ind w:left="0" w:leftChars="0" w:firstLine="420" w:firstLineChars="0"/>
        <w:rPr>
          <w:rFonts w:hint="default" w:ascii="Times New Roman" w:hAnsi="Times New Roman" w:eastAsia="宋体" w:cs="Times New Roman"/>
          <w:kern w:val="2"/>
          <w:sz w:val="21"/>
          <w:szCs w:val="21"/>
          <w:highlight w:val="none"/>
          <w:lang w:val="fr-FR" w:eastAsia="zh-CN" w:bidi="ar-SA"/>
        </w:rPr>
      </w:pPr>
      <w:r>
        <w:rPr>
          <w:b/>
          <w:color w:val="000000"/>
          <w:szCs w:val="21"/>
          <w:highlight w:val="none"/>
          <w:lang w:val="fr-FR"/>
        </w:rPr>
        <w:t xml:space="preserve">Article </w:t>
      </w:r>
      <w:r>
        <w:rPr>
          <w:rFonts w:hint="eastAsia"/>
          <w:b/>
          <w:color w:val="000000"/>
          <w:szCs w:val="21"/>
          <w:highlight w:val="none"/>
          <w:lang w:val="en-US" w:eastAsia="zh-CN"/>
        </w:rPr>
        <w:t>III</w:t>
      </w:r>
      <w:r>
        <w:rPr>
          <w:b/>
          <w:color w:val="000000"/>
          <w:szCs w:val="21"/>
          <w:highlight w:val="none"/>
          <w:lang w:val="fr-FR"/>
        </w:rPr>
        <w:t xml:space="preserve"> </w:t>
      </w:r>
      <w:r>
        <w:rPr>
          <w:rFonts w:hint="eastAsia"/>
          <w:b/>
          <w:color w:val="000000"/>
          <w:szCs w:val="21"/>
          <w:highlight w:val="none"/>
          <w:lang w:val="en-US" w:eastAsia="zh-CN"/>
        </w:rPr>
        <w:t xml:space="preserve"> </w:t>
      </w:r>
      <w:r>
        <w:rPr>
          <w:b/>
          <w:color w:val="000000"/>
          <w:szCs w:val="21"/>
          <w:highlight w:val="none"/>
          <w:lang w:val="fr-FR"/>
        </w:rPr>
        <w:t>Quantité de minerai et prix unitaire de règlement</w:t>
      </w:r>
    </w:p>
    <w:p w14:paraId="6FC9DA62">
      <w:pPr>
        <w:numPr>
          <w:ilvl w:val="0"/>
          <w:numId w:val="0"/>
        </w:numPr>
        <w:spacing w:line="360" w:lineRule="auto"/>
        <w:ind w:left="0" w:leftChars="0" w:firstLine="420" w:firstLineChars="0"/>
        <w:rPr>
          <w:rFonts w:hint="default" w:ascii="Times New Roman" w:hAnsi="Times New Roman" w:cs="Times New Roman"/>
          <w:szCs w:val="21"/>
          <w:highlight w:val="none"/>
          <w:lang w:val="fr-FR"/>
        </w:rPr>
      </w:pPr>
      <w:r>
        <w:rPr>
          <w:rFonts w:hint="default" w:ascii="Times New Roman" w:hAnsi="Times New Roman" w:eastAsia="宋体" w:cs="Times New Roman"/>
          <w:kern w:val="2"/>
          <w:sz w:val="21"/>
          <w:szCs w:val="21"/>
          <w:highlight w:val="none"/>
          <w:lang w:val="fr-FR" w:eastAsia="zh-CN" w:bidi="ar-SA"/>
        </w:rPr>
        <w:t>（</w:t>
      </w:r>
      <w:r>
        <w:rPr>
          <w:rFonts w:hint="default" w:ascii="Times New Roman" w:hAnsi="Times New Roman" w:cs="Times New Roman"/>
          <w:kern w:val="2"/>
          <w:sz w:val="21"/>
          <w:szCs w:val="21"/>
          <w:highlight w:val="none"/>
          <w:lang w:val="en-US" w:eastAsia="zh-CN" w:bidi="ar-SA"/>
        </w:rPr>
        <w:t>I</w:t>
      </w:r>
      <w:r>
        <w:rPr>
          <w:rFonts w:hint="default" w:ascii="Times New Roman" w:hAnsi="Times New Roman" w:eastAsia="宋体" w:cs="Times New Roman"/>
          <w:kern w:val="2"/>
          <w:sz w:val="21"/>
          <w:szCs w:val="21"/>
          <w:highlight w:val="none"/>
          <w:lang w:val="fr-FR" w:eastAsia="zh-CN" w:bidi="ar-SA"/>
        </w:rPr>
        <w:t>）</w:t>
      </w:r>
      <w:r>
        <w:rPr>
          <w:rFonts w:hint="default" w:ascii="Times New Roman" w:hAnsi="Times New Roman" w:cs="Times New Roman"/>
          <w:szCs w:val="21"/>
          <w:highlight w:val="none"/>
        </w:rPr>
        <w:t>运输量：每月</w:t>
      </w:r>
      <w:r>
        <w:rPr>
          <w:rFonts w:hint="default" w:ascii="Times New Roman" w:hAnsi="Times New Roman" w:cs="Times New Roman"/>
          <w:szCs w:val="21"/>
          <w:highlight w:val="none"/>
          <w:lang w:val="en-US" w:eastAsia="zh-CN"/>
        </w:rPr>
        <w:t>甲</w:t>
      </w:r>
      <w:r>
        <w:rPr>
          <w:rFonts w:hint="default" w:ascii="Times New Roman" w:hAnsi="Times New Roman" w:cs="Times New Roman"/>
          <w:szCs w:val="21"/>
          <w:highlight w:val="none"/>
        </w:rPr>
        <w:t>方下达</w:t>
      </w:r>
      <w:r>
        <w:rPr>
          <w:rFonts w:hint="default" w:ascii="Times New Roman" w:hAnsi="Times New Roman" w:cs="Times New Roman"/>
          <w:szCs w:val="21"/>
          <w:highlight w:val="none"/>
          <w:lang w:val="en-US" w:eastAsia="zh-CN"/>
        </w:rPr>
        <w:t>运输</w:t>
      </w:r>
      <w:r>
        <w:rPr>
          <w:rFonts w:hint="default" w:ascii="Times New Roman" w:hAnsi="Times New Roman" w:cs="Times New Roman"/>
          <w:szCs w:val="21"/>
          <w:highlight w:val="none"/>
        </w:rPr>
        <w:t>计划，实际运输量</w:t>
      </w:r>
      <w:r>
        <w:rPr>
          <w:rFonts w:hint="default" w:ascii="Times New Roman" w:hAnsi="Times New Roman" w:cs="Times New Roman"/>
          <w:szCs w:val="21"/>
          <w:highlight w:val="none"/>
          <w:lang w:val="en-US" w:eastAsia="zh-CN"/>
        </w:rPr>
        <w:t>以维嘉港地磅计量</w:t>
      </w:r>
      <w:r>
        <w:rPr>
          <w:rFonts w:hint="default" w:ascii="Times New Roman" w:hAnsi="Times New Roman" w:cs="Times New Roman"/>
          <w:szCs w:val="21"/>
          <w:highlight w:val="none"/>
        </w:rPr>
        <w:t>为准。</w:t>
      </w:r>
    </w:p>
    <w:p w14:paraId="65C8491F">
      <w:pPr>
        <w:numPr>
          <w:ilvl w:val="0"/>
          <w:numId w:val="0"/>
        </w:numPr>
        <w:spacing w:line="360" w:lineRule="auto"/>
        <w:ind w:firstLine="840" w:firstLineChars="400"/>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Volume de transport : Le Client notifiera mensuellement le plan de transport. Le volume réel transporté sera déterminé sur la base du pesage effectué au pont-bascule du port de Ve</w:t>
      </w:r>
      <w:r>
        <w:rPr>
          <w:rFonts w:hint="eastAsia" w:ascii="Times New Roman" w:hAnsi="Times New Roman" w:cs="Times New Roman"/>
          <w:kern w:val="2"/>
          <w:sz w:val="21"/>
          <w:szCs w:val="21"/>
          <w:highlight w:val="none"/>
          <w:lang w:val="en-US" w:eastAsia="zh-CN" w:bidi="ar-SA"/>
        </w:rPr>
        <w:t>r</w:t>
      </w:r>
      <w:r>
        <w:rPr>
          <w:rFonts w:hint="default" w:ascii="Times New Roman" w:hAnsi="Times New Roman" w:eastAsia="宋体" w:cs="Times New Roman"/>
          <w:kern w:val="2"/>
          <w:sz w:val="21"/>
          <w:szCs w:val="21"/>
          <w:highlight w:val="none"/>
          <w:lang w:val="en-US" w:eastAsia="zh-CN" w:bidi="ar-SA"/>
        </w:rPr>
        <w:t>ga.</w:t>
      </w:r>
    </w:p>
    <w:p w14:paraId="272FF92A">
      <w:pPr>
        <w:numPr>
          <w:ilvl w:val="0"/>
          <w:numId w:val="0"/>
        </w:numPr>
        <w:spacing w:line="360" w:lineRule="auto"/>
        <w:ind w:left="0" w:leftChars="0" w:firstLine="420" w:firstLineChars="0"/>
        <w:rPr>
          <w:rFonts w:hint="default" w:ascii="Times New Roman" w:hAnsi="Times New Roman" w:cs="Times New Roman"/>
          <w:szCs w:val="21"/>
          <w:highlight w:val="none"/>
        </w:rPr>
      </w:pPr>
      <w:r>
        <w:rPr>
          <w:rFonts w:hint="default" w:ascii="Times New Roman" w:hAnsi="Times New Roman" w:eastAsia="宋体" w:cs="Times New Roman"/>
          <w:kern w:val="2"/>
          <w:sz w:val="21"/>
          <w:szCs w:val="21"/>
          <w:highlight w:val="none"/>
          <w:lang w:val="en-US" w:eastAsia="zh-CN" w:bidi="ar-SA"/>
        </w:rPr>
        <w:t>（</w:t>
      </w:r>
      <w:r>
        <w:rPr>
          <w:rFonts w:hint="default" w:ascii="Times New Roman" w:hAnsi="Times New Roman" w:cs="Times New Roman"/>
          <w:kern w:val="2"/>
          <w:sz w:val="21"/>
          <w:szCs w:val="21"/>
          <w:highlight w:val="none"/>
          <w:lang w:val="en-US" w:eastAsia="zh-CN" w:bidi="ar-SA"/>
        </w:rPr>
        <w:t>II</w:t>
      </w:r>
      <w:r>
        <w:rPr>
          <w:rFonts w:hint="default" w:ascii="Times New Roman" w:hAnsi="Times New Roman" w:eastAsia="宋体" w:cs="Times New Roman"/>
          <w:kern w:val="2"/>
          <w:sz w:val="21"/>
          <w:szCs w:val="21"/>
          <w:highlight w:val="none"/>
          <w:lang w:val="en-US" w:eastAsia="zh-CN" w:bidi="ar-SA"/>
        </w:rPr>
        <w:t>）</w:t>
      </w:r>
      <w:r>
        <w:rPr>
          <w:rFonts w:hint="default" w:ascii="Times New Roman" w:hAnsi="Times New Roman" w:cs="Times New Roman"/>
          <w:szCs w:val="21"/>
          <w:highlight w:val="none"/>
        </w:rPr>
        <w:t>铝土矿运输的综合单价：</w:t>
      </w:r>
    </w:p>
    <w:p w14:paraId="675C33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840" w:firstLineChars="400"/>
        <w:jc w:val="both"/>
        <w:textAlignment w:val="auto"/>
        <w:outlineLvl w:val="9"/>
        <w:rPr>
          <w:rFonts w:hint="eastAsia" w:ascii="Times New Roman" w:hAnsi="Times New Roman" w:eastAsia="宋体" w:cs="Times New Roman"/>
          <w:kern w:val="2"/>
          <w:sz w:val="21"/>
          <w:szCs w:val="21"/>
          <w:highlight w:val="none"/>
          <w:lang w:val="en-US" w:eastAsia="zh-CN" w:bidi="ar-SA"/>
        </w:rPr>
      </w:pPr>
      <w:r>
        <w:rPr>
          <w:rFonts w:hint="eastAsia"/>
          <w:color w:val="000000"/>
          <w:sz w:val="21"/>
          <w:szCs w:val="21"/>
          <w:highlight w:val="none"/>
          <w:lang w:val="fr-FR"/>
        </w:rPr>
        <w:t>Prix global du transport de la bauxite</w:t>
      </w:r>
      <w:r>
        <w:rPr>
          <w:rFonts w:hint="eastAsia"/>
          <w:color w:val="000000"/>
          <w:sz w:val="21"/>
          <w:szCs w:val="21"/>
          <w:highlight w:val="none"/>
          <w:lang w:val="fr-FR" w:eastAsia="zh-CN"/>
        </w:rPr>
        <w:t>：</w:t>
      </w:r>
    </w:p>
    <w:p w14:paraId="0034F0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default" w:ascii="Times New Roman" w:hAnsi="Times New Roman" w:cs="Times New Roman"/>
          <w:szCs w:val="21"/>
          <w:highlight w:val="none"/>
          <w:u w:val="single"/>
          <w:lang w:eastAsia="zh-CN"/>
        </w:rPr>
      </w:pPr>
      <w:r>
        <w:rPr>
          <w:rFonts w:hint="default" w:ascii="Times New Roman" w:hAnsi="Times New Roman" w:eastAsia="宋体" w:cs="Times New Roman"/>
          <w:kern w:val="2"/>
          <w:sz w:val="21"/>
          <w:szCs w:val="21"/>
          <w:highlight w:val="none"/>
          <w:lang w:val="en-US" w:eastAsia="zh-CN" w:bidi="ar-SA"/>
        </w:rPr>
        <w:t>运输承包商将铝土矿自56#矿体运输至维嘉港口，</w:t>
      </w:r>
      <w:r>
        <w:rPr>
          <w:rFonts w:hint="default" w:ascii="Times New Roman" w:hAnsi="Times New Roman" w:cs="Times New Roman"/>
          <w:kern w:val="2"/>
          <w:sz w:val="21"/>
          <w:szCs w:val="21"/>
          <w:highlight w:val="none"/>
          <w:lang w:val="en-US" w:eastAsia="zh-CN" w:bidi="ar-SA"/>
        </w:rPr>
        <w:t>综合</w:t>
      </w:r>
      <w:r>
        <w:rPr>
          <w:rFonts w:hint="default" w:ascii="Times New Roman" w:hAnsi="Times New Roman" w:eastAsia="宋体" w:cs="Times New Roman"/>
          <w:kern w:val="2"/>
          <w:sz w:val="21"/>
          <w:szCs w:val="21"/>
          <w:highlight w:val="none"/>
          <w:lang w:val="en-US" w:eastAsia="zh-CN" w:bidi="ar-SA"/>
        </w:rPr>
        <w:t>单价</w:t>
      </w:r>
      <w:r>
        <w:rPr>
          <w:rFonts w:hint="eastAsia" w:cs="Times New Roman"/>
          <w:szCs w:val="21"/>
          <w:highlight w:val="none"/>
          <w:u w:val="none"/>
          <w:lang w:val="en-US" w:eastAsia="zh-CN"/>
        </w:rPr>
        <w:t>x'x</w:t>
      </w:r>
      <w:r>
        <w:rPr>
          <w:rFonts w:hint="eastAsia" w:cs="Times New Roman"/>
          <w:szCs w:val="21"/>
          <w:highlight w:val="none"/>
          <w:lang w:val="en-US" w:eastAsia="zh-CN"/>
        </w:rPr>
        <w:t xml:space="preserve"> </w:t>
      </w:r>
      <w:r>
        <w:rPr>
          <w:rFonts w:hint="default" w:ascii="Times New Roman" w:hAnsi="Times New Roman" w:cs="Times New Roman"/>
          <w:szCs w:val="21"/>
          <w:highlight w:val="none"/>
          <w:u w:val="single"/>
        </w:rPr>
        <w:t>美元/吨</w:t>
      </w:r>
      <w:r>
        <w:rPr>
          <w:rFonts w:hint="default" w:ascii="Times New Roman" w:hAnsi="Times New Roman" w:cs="Times New Roman"/>
          <w:szCs w:val="21"/>
          <w:highlight w:val="none"/>
          <w:u w:val="single"/>
          <w:lang w:eastAsia="zh-CN"/>
        </w:rPr>
        <w:t>。</w:t>
      </w:r>
      <w:r>
        <w:rPr>
          <w:rFonts w:hint="eastAsia" w:cs="Times New Roman"/>
          <w:kern w:val="2"/>
          <w:sz w:val="21"/>
          <w:szCs w:val="21"/>
          <w:highlight w:val="none"/>
          <w:lang w:val="en-US" w:eastAsia="zh-CN" w:bidi="ar-SA"/>
        </w:rPr>
        <w:t xml:space="preserve"> </w:t>
      </w:r>
      <w:r>
        <w:rPr>
          <w:rFonts w:hint="default" w:ascii="Times New Roman" w:hAnsi="Times New Roman" w:cs="Times New Roman"/>
          <w:kern w:val="2"/>
          <w:sz w:val="21"/>
          <w:szCs w:val="21"/>
          <w:highlight w:val="none"/>
          <w:lang w:val="en-US" w:eastAsia="zh-CN" w:bidi="ar-SA"/>
        </w:rPr>
        <w:t>；</w:t>
      </w:r>
      <w:r>
        <w:rPr>
          <w:rFonts w:hint="default" w:ascii="Times New Roman" w:hAnsi="Times New Roman" w:cs="Times New Roman"/>
          <w:szCs w:val="21"/>
          <w:highlight w:val="none"/>
          <w:lang w:val="en-US" w:eastAsia="zh-CN"/>
        </w:rPr>
        <w:t>南矿段</w:t>
      </w:r>
      <w:r>
        <w:rPr>
          <w:rFonts w:hint="default" w:ascii="Times New Roman" w:hAnsi="Times New Roman" w:cs="Times New Roman"/>
          <w:szCs w:val="21"/>
          <w:highlight w:val="none"/>
        </w:rPr>
        <w:t>运输</w:t>
      </w:r>
      <w:r>
        <w:rPr>
          <w:rFonts w:hint="default" w:ascii="Times New Roman" w:hAnsi="Times New Roman" w:cs="Times New Roman"/>
          <w:szCs w:val="21"/>
          <w:highlight w:val="none"/>
          <w:lang w:val="en-US" w:eastAsia="zh-CN"/>
        </w:rPr>
        <w:t>至维嘉港口，综合</w:t>
      </w:r>
      <w:r>
        <w:rPr>
          <w:rFonts w:hint="default" w:ascii="Times New Roman" w:hAnsi="Times New Roman" w:cs="Times New Roman"/>
          <w:szCs w:val="21"/>
          <w:highlight w:val="none"/>
        </w:rPr>
        <w:t>单价</w:t>
      </w:r>
      <w:r>
        <w:rPr>
          <w:rFonts w:hint="eastAsia" w:cs="Times New Roman"/>
          <w:szCs w:val="21"/>
          <w:highlight w:val="none"/>
          <w:lang w:val="en-US" w:eastAsia="zh-CN"/>
        </w:rPr>
        <w:t xml:space="preserve"> </w:t>
      </w:r>
      <w:r>
        <w:rPr>
          <w:rFonts w:hint="eastAsia" w:cs="Times New Roman"/>
          <w:szCs w:val="21"/>
          <w:highlight w:val="none"/>
          <w:u w:val="none"/>
          <w:lang w:val="en-US" w:eastAsia="zh-CN"/>
        </w:rPr>
        <w:t>x'x</w:t>
      </w:r>
      <w:r>
        <w:rPr>
          <w:rFonts w:hint="eastAsia" w:cs="Times New Roman"/>
          <w:szCs w:val="21"/>
          <w:highlight w:val="none"/>
          <w:lang w:val="en-US" w:eastAsia="zh-CN"/>
        </w:rPr>
        <w:t xml:space="preserve"> </w:t>
      </w:r>
      <w:r>
        <w:rPr>
          <w:rFonts w:hint="default" w:ascii="Times New Roman" w:hAnsi="Times New Roman" w:cs="Times New Roman"/>
          <w:szCs w:val="21"/>
          <w:highlight w:val="none"/>
          <w:u w:val="single"/>
        </w:rPr>
        <w:t>美元/吨</w:t>
      </w:r>
      <w:r>
        <w:rPr>
          <w:rFonts w:hint="default" w:ascii="Times New Roman" w:hAnsi="Times New Roman" w:cs="Times New Roman"/>
          <w:szCs w:val="21"/>
          <w:highlight w:val="none"/>
          <w:u w:val="single"/>
          <w:lang w:eastAsia="zh-CN"/>
        </w:rPr>
        <w:t>。</w:t>
      </w:r>
    </w:p>
    <w:p w14:paraId="32C428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default" w:ascii="Times New Roman" w:hAnsi="Times New Roman" w:cs="Times New Roman"/>
          <w:szCs w:val="21"/>
          <w:highlight w:val="none"/>
          <w:u w:val="none"/>
          <w:lang w:val="en-US" w:eastAsia="zh-CN"/>
        </w:rPr>
      </w:pPr>
      <w:r>
        <w:rPr>
          <w:rFonts w:hint="default" w:ascii="Times New Roman" w:hAnsi="Times New Roman" w:cs="Times New Roman"/>
          <w:szCs w:val="21"/>
          <w:highlight w:val="none"/>
          <w:u w:val="none"/>
          <w:lang w:val="en-US" w:eastAsia="zh-CN"/>
        </w:rPr>
        <w:t>Le Prestataire transporte la bauxite du gisement n°56 au Port de V</w:t>
      </w:r>
      <w:r>
        <w:rPr>
          <w:rFonts w:hint="eastAsia" w:ascii="Times New Roman" w:hAnsi="Times New Roman" w:cs="Times New Roman"/>
          <w:szCs w:val="21"/>
          <w:highlight w:val="none"/>
          <w:u w:val="none"/>
          <w:lang w:val="en-US" w:eastAsia="zh-CN"/>
        </w:rPr>
        <w:t>er</w:t>
      </w:r>
      <w:r>
        <w:rPr>
          <w:rFonts w:hint="default" w:ascii="Times New Roman" w:hAnsi="Times New Roman" w:cs="Times New Roman"/>
          <w:szCs w:val="21"/>
          <w:highlight w:val="none"/>
          <w:u w:val="none"/>
          <w:lang w:val="en-US" w:eastAsia="zh-CN"/>
        </w:rPr>
        <w:t>ga, avec un prix unitaire global de</w:t>
      </w:r>
      <w:r>
        <w:rPr>
          <w:rFonts w:hint="eastAsia" w:cs="Times New Roman"/>
          <w:szCs w:val="21"/>
          <w:highlight w:val="none"/>
          <w:u w:val="none"/>
          <w:lang w:val="en-US" w:eastAsia="zh-CN"/>
        </w:rPr>
        <w:t>x'x</w:t>
      </w:r>
      <w:r>
        <w:rPr>
          <w:rFonts w:hint="default" w:ascii="Times New Roman" w:hAnsi="Times New Roman" w:cs="Times New Roman"/>
          <w:szCs w:val="21"/>
          <w:highlight w:val="none"/>
          <w:u w:val="none"/>
          <w:lang w:val="en-US" w:eastAsia="zh-CN"/>
        </w:rPr>
        <w:t xml:space="preserve"> </w:t>
      </w:r>
      <w:r>
        <w:rPr>
          <w:rFonts w:hint="eastAsia" w:cs="Times New Roman"/>
          <w:szCs w:val="21"/>
          <w:highlight w:val="none"/>
          <w:u w:val="single"/>
          <w:lang w:val="en-US" w:eastAsia="zh-CN"/>
        </w:rPr>
        <w:t xml:space="preserve">   </w:t>
      </w:r>
      <w:r>
        <w:rPr>
          <w:rFonts w:hint="default" w:ascii="Times New Roman" w:hAnsi="Times New Roman" w:cs="Times New Roman"/>
          <w:szCs w:val="21"/>
          <w:highlight w:val="none"/>
          <w:u w:val="single"/>
          <w:lang w:val="en-US" w:eastAsia="zh-CN"/>
        </w:rPr>
        <w:t xml:space="preserve"> dollars par tonne</w:t>
      </w:r>
      <w:r>
        <w:rPr>
          <w:rFonts w:hint="default" w:ascii="Times New Roman" w:hAnsi="Times New Roman" w:cs="Times New Roman"/>
          <w:szCs w:val="21"/>
          <w:highlight w:val="none"/>
          <w:u w:val="none"/>
          <w:lang w:val="en-US" w:eastAsia="zh-CN"/>
        </w:rPr>
        <w:t xml:space="preserve"> ; et d</w:t>
      </w:r>
      <w:r>
        <w:rPr>
          <w:rFonts w:hint="eastAsia" w:ascii="Times New Roman" w:hAnsi="Times New Roman" w:cs="Times New Roman"/>
          <w:szCs w:val="21"/>
          <w:highlight w:val="none"/>
          <w:u w:val="none"/>
          <w:lang w:val="en-US" w:eastAsia="zh-CN"/>
        </w:rPr>
        <w:t xml:space="preserve">e </w:t>
      </w:r>
      <w:r>
        <w:rPr>
          <w:rFonts w:hint="default" w:ascii="Times New Roman" w:hAnsi="Times New Roman" w:cs="Times New Roman"/>
          <w:highlight w:val="none"/>
        </w:rPr>
        <w:t>la section miniè</w:t>
      </w:r>
      <w:r>
        <w:rPr>
          <w:rFonts w:hint="default" w:ascii="Times New Roman" w:hAnsi="Times New Roman" w:cs="Times New Roman"/>
          <w:highlight w:val="none"/>
          <w:lang w:val="en-US" w:eastAsia="zh-CN"/>
        </w:rPr>
        <w:t>re</w:t>
      </w:r>
      <w:r>
        <w:rPr>
          <w:rFonts w:hint="default" w:ascii="Times New Roman" w:hAnsi="Times New Roman" w:cs="Times New Roman"/>
          <w:highlight w:val="none"/>
        </w:rPr>
        <w:t xml:space="preserve"> sud</w:t>
      </w:r>
      <w:r>
        <w:rPr>
          <w:rFonts w:hint="default" w:ascii="Times New Roman" w:hAnsi="Times New Roman" w:cs="Times New Roman"/>
          <w:szCs w:val="21"/>
          <w:highlight w:val="none"/>
          <w:u w:val="none"/>
          <w:lang w:val="en-US" w:eastAsia="zh-CN"/>
        </w:rPr>
        <w:t xml:space="preserve"> au Port de V</w:t>
      </w:r>
      <w:r>
        <w:rPr>
          <w:rFonts w:hint="eastAsia" w:ascii="Times New Roman" w:hAnsi="Times New Roman" w:cs="Times New Roman"/>
          <w:szCs w:val="21"/>
          <w:highlight w:val="none"/>
          <w:u w:val="none"/>
          <w:lang w:val="en-US" w:eastAsia="zh-CN"/>
        </w:rPr>
        <w:t>er</w:t>
      </w:r>
      <w:r>
        <w:rPr>
          <w:rFonts w:hint="default" w:ascii="Times New Roman" w:hAnsi="Times New Roman" w:cs="Times New Roman"/>
          <w:szCs w:val="21"/>
          <w:highlight w:val="none"/>
          <w:u w:val="none"/>
          <w:lang w:val="en-US" w:eastAsia="zh-CN"/>
        </w:rPr>
        <w:t>ga, avec un prix unitaire global de</w:t>
      </w:r>
      <w:r>
        <w:rPr>
          <w:rFonts w:hint="eastAsia" w:cs="Times New Roman"/>
          <w:szCs w:val="21"/>
          <w:highlight w:val="none"/>
          <w:u w:val="none"/>
          <w:lang w:val="en-US" w:eastAsia="zh-CN"/>
        </w:rPr>
        <w:t>x'x</w:t>
      </w:r>
      <w:r>
        <w:rPr>
          <w:rFonts w:hint="default" w:ascii="Times New Roman" w:hAnsi="Times New Roman" w:cs="Times New Roman"/>
          <w:szCs w:val="21"/>
          <w:highlight w:val="none"/>
          <w:u w:val="single"/>
          <w:lang w:val="en-US" w:eastAsia="zh-CN"/>
        </w:rPr>
        <w:t>dollars par tonne</w:t>
      </w:r>
      <w:r>
        <w:rPr>
          <w:rFonts w:hint="default" w:ascii="Times New Roman" w:hAnsi="Times New Roman" w:cs="Times New Roman"/>
          <w:szCs w:val="21"/>
          <w:highlight w:val="none"/>
          <w:u w:val="none"/>
          <w:lang w:val="en-US" w:eastAsia="zh-CN"/>
        </w:rPr>
        <w:t>.</w:t>
      </w:r>
    </w:p>
    <w:tbl>
      <w:tblPr>
        <w:tblStyle w:val="31"/>
        <w:tblW w:w="82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80"/>
        <w:gridCol w:w="3413"/>
        <w:gridCol w:w="3727"/>
      </w:tblGrid>
      <w:tr w14:paraId="45FDE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3BB226">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rPr>
            </w:pPr>
            <w:r>
              <w:rPr>
                <w:rFonts w:hint="default" w:ascii="Times New Roman" w:hAnsi="Times New Roman" w:eastAsia="宋体" w:cs="Times New Roman"/>
                <w:i w:val="0"/>
                <w:color w:val="000000"/>
                <w:kern w:val="0"/>
                <w:sz w:val="21"/>
                <w:szCs w:val="21"/>
                <w:u w:val="none"/>
                <w:lang w:val="en-US" w:eastAsia="zh-CN"/>
              </w:rPr>
              <w:t>序号</w:t>
            </w:r>
          </w:p>
          <w:p w14:paraId="45E6D80D">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rPr>
              <w:t>N°</w:t>
            </w:r>
          </w:p>
        </w:tc>
        <w:tc>
          <w:tcPr>
            <w:tcW w:w="3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C9A0A4">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rPr>
            </w:pPr>
            <w:r>
              <w:rPr>
                <w:rFonts w:hint="default" w:ascii="Times New Roman" w:hAnsi="Times New Roman" w:eastAsia="宋体" w:cs="Times New Roman"/>
                <w:i w:val="0"/>
                <w:color w:val="000000"/>
                <w:kern w:val="0"/>
                <w:sz w:val="21"/>
                <w:szCs w:val="21"/>
                <w:u w:val="none"/>
                <w:lang w:val="en-US" w:eastAsia="zh-CN"/>
              </w:rPr>
              <w:t>运输区间</w:t>
            </w:r>
          </w:p>
          <w:p w14:paraId="728CA89A">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rPr>
              <w:t>Itinéraire de transport</w:t>
            </w:r>
          </w:p>
        </w:tc>
        <w:tc>
          <w:tcPr>
            <w:tcW w:w="37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BA1DB7">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rPr>
            </w:pPr>
            <w:r>
              <w:rPr>
                <w:rFonts w:hint="default" w:ascii="Times New Roman" w:hAnsi="Times New Roman" w:eastAsia="宋体" w:cs="Times New Roman"/>
                <w:i w:val="0"/>
                <w:color w:val="000000"/>
                <w:kern w:val="0"/>
                <w:sz w:val="21"/>
                <w:szCs w:val="21"/>
                <w:u w:val="none"/>
                <w:lang w:val="en-US" w:eastAsia="zh-CN"/>
              </w:rPr>
              <w:t>综合单价（美元/吨）</w:t>
            </w:r>
          </w:p>
          <w:p w14:paraId="3FE2A2C0">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rPr>
              <w:t>Prix unitaire global (dollars/tonne)</w:t>
            </w:r>
          </w:p>
        </w:tc>
      </w:tr>
      <w:tr w14:paraId="591A7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8DFD62">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rPr>
              <w:t>1</w:t>
            </w:r>
          </w:p>
        </w:tc>
        <w:tc>
          <w:tcPr>
            <w:tcW w:w="3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F87D54">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rPr>
            </w:pPr>
            <w:r>
              <w:rPr>
                <w:rFonts w:hint="default" w:ascii="Times New Roman" w:hAnsi="Times New Roman" w:eastAsia="宋体" w:cs="Times New Roman"/>
                <w:i w:val="0"/>
                <w:color w:val="000000"/>
                <w:kern w:val="0"/>
                <w:sz w:val="21"/>
                <w:szCs w:val="21"/>
                <w:u w:val="none"/>
                <w:lang w:val="en-US" w:eastAsia="zh-CN"/>
              </w:rPr>
              <w:t>56#矿体至维嘉港口</w:t>
            </w:r>
          </w:p>
          <w:p w14:paraId="41A111D1">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rPr>
            </w:pPr>
            <w:r>
              <w:rPr>
                <w:rFonts w:hint="default" w:ascii="Times New Roman" w:hAnsi="Times New Roman" w:eastAsia="宋体" w:cs="Times New Roman"/>
                <w:i w:val="0"/>
                <w:color w:val="000000"/>
                <w:kern w:val="0"/>
                <w:sz w:val="21"/>
                <w:szCs w:val="21"/>
                <w:u w:val="none"/>
                <w:lang w:val="en-US" w:eastAsia="zh-CN"/>
              </w:rPr>
              <w:t>Gisement n°56 au Port de V</w:t>
            </w:r>
            <w:r>
              <w:rPr>
                <w:rFonts w:hint="eastAsia" w:ascii="Times New Roman" w:hAnsi="Times New Roman" w:cs="Times New Roman"/>
                <w:i w:val="0"/>
                <w:color w:val="000000"/>
                <w:kern w:val="0"/>
                <w:sz w:val="21"/>
                <w:szCs w:val="21"/>
                <w:u w:val="none"/>
                <w:lang w:val="en-US" w:eastAsia="zh-CN"/>
              </w:rPr>
              <w:t>er</w:t>
            </w:r>
            <w:r>
              <w:rPr>
                <w:rFonts w:hint="default" w:ascii="Times New Roman" w:hAnsi="Times New Roman" w:eastAsia="宋体" w:cs="Times New Roman"/>
                <w:i w:val="0"/>
                <w:color w:val="000000"/>
                <w:kern w:val="0"/>
                <w:sz w:val="21"/>
                <w:szCs w:val="21"/>
                <w:u w:val="none"/>
                <w:lang w:val="en-US" w:eastAsia="zh-CN"/>
              </w:rPr>
              <w:t>ga</w:t>
            </w:r>
          </w:p>
        </w:tc>
        <w:tc>
          <w:tcPr>
            <w:tcW w:w="37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573A33">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p>
        </w:tc>
      </w:tr>
      <w:tr w14:paraId="239CF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3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E1EB5C">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rPr>
              <w:t>2</w:t>
            </w:r>
          </w:p>
        </w:tc>
        <w:tc>
          <w:tcPr>
            <w:tcW w:w="3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3B1D49">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rPr>
            </w:pPr>
            <w:r>
              <w:rPr>
                <w:rFonts w:hint="default" w:ascii="Times New Roman" w:hAnsi="Times New Roman" w:eastAsia="宋体" w:cs="Times New Roman"/>
                <w:i w:val="0"/>
                <w:color w:val="000000"/>
                <w:kern w:val="0"/>
                <w:sz w:val="21"/>
                <w:szCs w:val="21"/>
                <w:u w:val="none"/>
                <w:lang w:val="en-US" w:eastAsia="zh-CN"/>
              </w:rPr>
              <w:t>南矿段至维嘉港口</w:t>
            </w:r>
          </w:p>
          <w:p w14:paraId="11E53868">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rPr>
            </w:pPr>
            <w:r>
              <w:rPr>
                <w:rFonts w:hint="default" w:ascii="Times New Roman" w:hAnsi="Times New Roman" w:cs="Times New Roman"/>
                <w:highlight w:val="none"/>
              </w:rPr>
              <w:t>section miniè</w:t>
            </w:r>
            <w:r>
              <w:rPr>
                <w:rFonts w:hint="default" w:ascii="Times New Roman" w:hAnsi="Times New Roman" w:cs="Times New Roman"/>
                <w:highlight w:val="none"/>
                <w:lang w:val="en-US" w:eastAsia="zh-CN"/>
              </w:rPr>
              <w:t>re</w:t>
            </w:r>
            <w:r>
              <w:rPr>
                <w:rFonts w:hint="default" w:ascii="Times New Roman" w:hAnsi="Times New Roman" w:cs="Times New Roman"/>
                <w:highlight w:val="none"/>
              </w:rPr>
              <w:t xml:space="preserve"> sud</w:t>
            </w:r>
            <w:r>
              <w:rPr>
                <w:rFonts w:hint="default" w:ascii="Times New Roman" w:hAnsi="Times New Roman" w:cs="Times New Roman"/>
                <w:szCs w:val="21"/>
                <w:highlight w:val="none"/>
                <w:u w:val="none"/>
                <w:lang w:val="en-US" w:eastAsia="zh-CN"/>
              </w:rPr>
              <w:t xml:space="preserve"> au Port de V</w:t>
            </w:r>
            <w:r>
              <w:rPr>
                <w:rFonts w:hint="eastAsia" w:ascii="Times New Roman" w:hAnsi="Times New Roman" w:cs="Times New Roman"/>
                <w:szCs w:val="21"/>
                <w:highlight w:val="none"/>
                <w:u w:val="none"/>
                <w:lang w:val="en-US" w:eastAsia="zh-CN"/>
              </w:rPr>
              <w:t>er</w:t>
            </w:r>
            <w:r>
              <w:rPr>
                <w:rFonts w:hint="default" w:ascii="Times New Roman" w:hAnsi="Times New Roman" w:cs="Times New Roman"/>
                <w:szCs w:val="21"/>
                <w:highlight w:val="none"/>
                <w:u w:val="none"/>
                <w:lang w:val="en-US" w:eastAsia="zh-CN"/>
              </w:rPr>
              <w:t>ga</w:t>
            </w:r>
          </w:p>
        </w:tc>
        <w:tc>
          <w:tcPr>
            <w:tcW w:w="37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9A5476">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p>
        </w:tc>
      </w:tr>
    </w:tbl>
    <w:p w14:paraId="4C575A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default" w:ascii="Times New Roman" w:hAnsi="Times New Roman" w:cs="Times New Roman"/>
          <w:szCs w:val="21"/>
          <w:highlight w:val="none"/>
        </w:rPr>
      </w:pPr>
      <w:r>
        <w:rPr>
          <w:rFonts w:hint="default" w:ascii="Times New Roman" w:hAnsi="Times New Roman" w:eastAsia="宋体" w:cs="Times New Roman"/>
          <w:kern w:val="2"/>
          <w:sz w:val="21"/>
          <w:szCs w:val="21"/>
          <w:highlight w:val="none"/>
          <w:lang w:val="en-US" w:eastAsia="zh-CN" w:bidi="ar-SA"/>
        </w:rPr>
        <w:t>（</w:t>
      </w:r>
      <w:r>
        <w:rPr>
          <w:rFonts w:hint="default" w:ascii="Times New Roman" w:hAnsi="Times New Roman" w:cs="Times New Roman"/>
          <w:kern w:val="2"/>
          <w:sz w:val="21"/>
          <w:szCs w:val="21"/>
          <w:highlight w:val="none"/>
          <w:lang w:val="en-US" w:eastAsia="zh-CN" w:bidi="ar-SA"/>
        </w:rPr>
        <w:t>III</w:t>
      </w:r>
      <w:r>
        <w:rPr>
          <w:rFonts w:hint="default" w:ascii="Times New Roman" w:hAnsi="Times New Roman" w:eastAsia="宋体" w:cs="Times New Roman"/>
          <w:kern w:val="2"/>
          <w:sz w:val="21"/>
          <w:szCs w:val="21"/>
          <w:highlight w:val="none"/>
          <w:lang w:val="en-US" w:eastAsia="zh-CN" w:bidi="ar-SA"/>
        </w:rPr>
        <w:t>）</w:t>
      </w:r>
      <w:r>
        <w:rPr>
          <w:rFonts w:hint="default" w:ascii="Times New Roman" w:hAnsi="Times New Roman" w:cs="Times New Roman"/>
          <w:szCs w:val="21"/>
          <w:highlight w:val="none"/>
        </w:rPr>
        <w:t>本合同运输单价包括但不限于燃油费、维修费、协调费、人工费、手续费、折旧费、管理费、利润和规费、保险费及各项税费（增值税除外）等与本合同有关的所有费用。</w:t>
      </w:r>
    </w:p>
    <w:p w14:paraId="3095D9B3">
      <w:pPr>
        <w:numPr>
          <w:ilvl w:val="0"/>
          <w:numId w:val="0"/>
        </w:numPr>
        <w:spacing w:line="360" w:lineRule="auto"/>
        <w:ind w:leftChars="200" w:firstLine="630" w:firstLineChars="300"/>
        <w:rPr>
          <w:rFonts w:hint="default" w:ascii="Times New Roman" w:hAnsi="Times New Roman" w:cs="Times New Roman"/>
          <w:szCs w:val="21"/>
          <w:highlight w:val="none"/>
          <w:lang w:eastAsia="zh-CN"/>
        </w:rPr>
      </w:pPr>
      <w:r>
        <w:rPr>
          <w:rFonts w:hint="default" w:ascii="Times New Roman" w:hAnsi="Times New Roman" w:cs="Times New Roman"/>
          <w:szCs w:val="21"/>
          <w:highlight w:val="none"/>
          <w:lang w:eastAsia="zh-CN"/>
        </w:rPr>
        <w:t>Le prix unitaire de transport convenu dans le présent contrat inclut, sans s'y limiter, tous les frais liés à son exécution, tels que les coûts de carburant, d'entretien, de coordination, de main-d'œuvre, les frais administratifs, l'amortissement, les frais de gestion, les bénéfices, les frais réglementaires, les primes d'assurance ainsi que toutes les taxes et impôts (à l'exception de la Taxe sur la Valeur Ajoutée - TVA).</w:t>
      </w:r>
    </w:p>
    <w:p w14:paraId="036DA3F9">
      <w:pPr>
        <w:numPr>
          <w:ilvl w:val="0"/>
          <w:numId w:val="0"/>
        </w:numPr>
        <w:spacing w:line="360" w:lineRule="auto"/>
        <w:ind w:leftChars="200"/>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eastAsia="zh-CN"/>
        </w:rPr>
        <w:t>（</w:t>
      </w:r>
      <w:r>
        <w:rPr>
          <w:rFonts w:hint="default" w:ascii="Times New Roman" w:hAnsi="Times New Roman" w:cs="Times New Roman"/>
          <w:szCs w:val="21"/>
          <w:highlight w:val="none"/>
          <w:lang w:val="en-US" w:eastAsia="zh-CN"/>
        </w:rPr>
        <w:t>IV</w:t>
      </w:r>
      <w:r>
        <w:rPr>
          <w:rFonts w:hint="default" w:ascii="Times New Roman" w:hAnsi="Times New Roman" w:cs="Times New Roman"/>
          <w:szCs w:val="21"/>
          <w:highlight w:val="none"/>
          <w:lang w:eastAsia="zh-CN"/>
        </w:rPr>
        <w:t>）</w:t>
      </w:r>
      <w:r>
        <w:rPr>
          <w:rFonts w:hint="default" w:ascii="Times New Roman" w:hAnsi="Times New Roman" w:cs="Times New Roman"/>
          <w:szCs w:val="21"/>
          <w:highlight w:val="none"/>
          <w:lang w:val="en-US" w:eastAsia="zh-CN"/>
        </w:rPr>
        <w:t>运输合同执行期间，甲方采取的激励政策</w:t>
      </w:r>
      <w:r>
        <w:rPr>
          <w:rFonts w:hint="eastAsia" w:cs="Times New Roman"/>
          <w:szCs w:val="21"/>
          <w:highlight w:val="none"/>
          <w:lang w:val="en-US" w:eastAsia="zh-CN"/>
        </w:rPr>
        <w:t>为临时性政策。</w:t>
      </w:r>
      <w:r>
        <w:rPr>
          <w:rFonts w:hint="eastAsia" w:cs="Times New Roman"/>
          <w:b/>
          <w:bCs/>
          <w:szCs w:val="21"/>
          <w:highlight w:val="none"/>
          <w:lang w:val="en-US" w:eastAsia="zh-CN"/>
        </w:rPr>
        <w:t>（甲方有权随时对</w:t>
      </w:r>
      <w:r>
        <w:rPr>
          <w:rFonts w:hint="default" w:ascii="Times New Roman" w:hAnsi="Times New Roman" w:cs="Times New Roman"/>
          <w:b/>
          <w:bCs/>
          <w:szCs w:val="21"/>
          <w:highlight w:val="none"/>
          <w:lang w:val="en-US" w:eastAsia="zh-CN"/>
        </w:rPr>
        <w:t>激励政策</w:t>
      </w:r>
      <w:r>
        <w:rPr>
          <w:rFonts w:hint="eastAsia" w:cs="Times New Roman"/>
          <w:b/>
          <w:bCs/>
          <w:szCs w:val="21"/>
          <w:highlight w:val="none"/>
          <w:lang w:val="en-US" w:eastAsia="zh-CN"/>
        </w:rPr>
        <w:t>进行调整和取消）</w:t>
      </w:r>
      <w:r>
        <w:rPr>
          <w:rFonts w:hint="default" w:ascii="Times New Roman" w:hAnsi="Times New Roman" w:cs="Times New Roman"/>
          <w:szCs w:val="21"/>
          <w:highlight w:val="none"/>
          <w:lang w:val="en-US" w:eastAsia="zh-CN"/>
        </w:rPr>
        <w:t>。</w:t>
      </w:r>
    </w:p>
    <w:p w14:paraId="1947082A">
      <w:pPr>
        <w:numPr>
          <w:ilvl w:val="0"/>
          <w:numId w:val="0"/>
        </w:numPr>
        <w:spacing w:line="360" w:lineRule="auto"/>
        <w:ind w:leftChars="200" w:firstLine="630" w:firstLineChars="300"/>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Pendant la durée d</w:t>
      </w:r>
      <w:r>
        <w:rPr>
          <w:rFonts w:hint="eastAsia" w:ascii="Times New Roman" w:hAnsi="Times New Roman" w:cs="Times New Roman"/>
          <w:szCs w:val="21"/>
          <w:highlight w:val="none"/>
          <w:lang w:val="en-US" w:eastAsia="zh-CN"/>
        </w:rPr>
        <w:t>'</w:t>
      </w:r>
      <w:r>
        <w:rPr>
          <w:rFonts w:hint="default" w:ascii="Times New Roman" w:hAnsi="Times New Roman" w:cs="Times New Roman"/>
          <w:szCs w:val="21"/>
          <w:highlight w:val="none"/>
          <w:lang w:val="en-US" w:eastAsia="zh-CN"/>
        </w:rPr>
        <w:t>exécution du contrat de transport, toute politique d'incitation mise en place par le Client</w:t>
      </w:r>
      <w:r>
        <w:rPr>
          <w:rFonts w:hint="eastAsia" w:ascii="Times New Roman" w:hAnsi="Times New Roman" w:cs="Times New Roman"/>
          <w:szCs w:val="21"/>
          <w:highlight w:val="none"/>
          <w:lang w:val="en-US" w:eastAsia="zh-CN"/>
        </w:rPr>
        <w:t xml:space="preserve"> </w:t>
      </w:r>
      <w:r>
        <w:rPr>
          <w:rFonts w:hint="eastAsia" w:cs="Times New Roman"/>
          <w:szCs w:val="21"/>
          <w:highlight w:val="none"/>
          <w:lang w:val="en-US" w:eastAsia="zh-CN"/>
        </w:rPr>
        <w:t xml:space="preserve">est temporaire. </w:t>
      </w:r>
      <w:r>
        <w:rPr>
          <w:rFonts w:hint="eastAsia" w:cs="Times New Roman"/>
          <w:b/>
          <w:bCs/>
          <w:szCs w:val="21"/>
          <w:highlight w:val="none"/>
          <w:lang w:val="en-US" w:eastAsia="zh-CN"/>
        </w:rPr>
        <w:t>(Le Client a le droit d</w:t>
      </w:r>
      <w:r>
        <w:rPr>
          <w:rFonts w:hint="default" w:cs="Times New Roman"/>
          <w:b/>
          <w:bCs/>
          <w:szCs w:val="21"/>
          <w:highlight w:val="none"/>
          <w:lang w:val="en-US" w:eastAsia="zh-CN"/>
        </w:rPr>
        <w:t>’</w:t>
      </w:r>
      <w:r>
        <w:rPr>
          <w:rFonts w:hint="eastAsia" w:cs="Times New Roman"/>
          <w:b/>
          <w:bCs/>
          <w:szCs w:val="21"/>
          <w:highlight w:val="none"/>
          <w:lang w:val="en-US" w:eastAsia="zh-CN"/>
        </w:rPr>
        <w:t>ajuster ou d</w:t>
      </w:r>
      <w:r>
        <w:rPr>
          <w:rFonts w:hint="default" w:cs="Times New Roman"/>
          <w:b/>
          <w:bCs/>
          <w:szCs w:val="21"/>
          <w:highlight w:val="none"/>
          <w:lang w:val="en-US" w:eastAsia="zh-CN"/>
        </w:rPr>
        <w:t>’</w:t>
      </w:r>
      <w:r>
        <w:rPr>
          <w:rFonts w:hint="eastAsia" w:cs="Times New Roman"/>
          <w:b/>
          <w:bCs/>
          <w:szCs w:val="21"/>
          <w:highlight w:val="none"/>
          <w:lang w:val="en-US" w:eastAsia="zh-CN"/>
        </w:rPr>
        <w:t>annuler la politique d'incitation à tout moment)</w:t>
      </w:r>
      <w:r>
        <w:rPr>
          <w:rFonts w:hint="default" w:ascii="Times New Roman" w:hAnsi="Times New Roman" w:cs="Times New Roman"/>
          <w:szCs w:val="21"/>
          <w:highlight w:val="none"/>
          <w:lang w:val="en-US" w:eastAsia="zh-CN"/>
        </w:rPr>
        <w:t>.</w:t>
      </w:r>
    </w:p>
    <w:p w14:paraId="2C58CBC6">
      <w:pPr>
        <w:numPr>
          <w:ilvl w:val="0"/>
          <w:numId w:val="7"/>
        </w:numPr>
        <w:spacing w:line="360" w:lineRule="auto"/>
        <w:ind w:left="0" w:firstLine="422" w:firstLineChars="200"/>
        <w:rPr>
          <w:rFonts w:hint="default" w:ascii="Times New Roman" w:hAnsi="Times New Roman" w:cs="Times New Roman"/>
          <w:b/>
          <w:szCs w:val="21"/>
          <w:highlight w:val="none"/>
          <w:lang w:val="fr-FR"/>
        </w:rPr>
      </w:pPr>
      <w:r>
        <w:rPr>
          <w:rFonts w:hint="default" w:ascii="Times New Roman" w:hAnsi="Times New Roman" w:cs="Times New Roman"/>
          <w:b/>
          <w:szCs w:val="21"/>
          <w:highlight w:val="none"/>
        </w:rPr>
        <w:t>费用结算与支付</w:t>
      </w:r>
    </w:p>
    <w:p w14:paraId="620783AD">
      <w:pPr>
        <w:widowControl w:val="0"/>
        <w:numPr>
          <w:ilvl w:val="0"/>
          <w:numId w:val="0"/>
        </w:numPr>
        <w:spacing w:line="360" w:lineRule="auto"/>
        <w:ind w:firstLine="422" w:firstLineChars="200"/>
        <w:jc w:val="both"/>
        <w:rPr>
          <w:rFonts w:hint="default" w:ascii="Times New Roman" w:hAnsi="Times New Roman" w:cs="Times New Roman"/>
          <w:b/>
          <w:szCs w:val="21"/>
          <w:highlight w:val="none"/>
          <w:lang w:val="fr-FR"/>
        </w:rPr>
      </w:pPr>
      <w:r>
        <w:rPr>
          <w:b/>
          <w:color w:val="000000"/>
          <w:szCs w:val="21"/>
          <w:highlight w:val="none"/>
          <w:lang w:val="fr-FR"/>
        </w:rPr>
        <w:t xml:space="preserve">Article </w:t>
      </w:r>
      <w:r>
        <w:rPr>
          <w:rFonts w:hint="eastAsia"/>
          <w:b/>
          <w:color w:val="000000"/>
          <w:szCs w:val="21"/>
          <w:highlight w:val="none"/>
          <w:lang w:val="en-US" w:eastAsia="zh-CN"/>
        </w:rPr>
        <w:t>IV</w:t>
      </w:r>
      <w:r>
        <w:rPr>
          <w:b/>
          <w:color w:val="000000"/>
          <w:szCs w:val="21"/>
          <w:highlight w:val="none"/>
          <w:lang w:val="fr-FR"/>
        </w:rPr>
        <w:t xml:space="preserve"> </w:t>
      </w:r>
      <w:r>
        <w:rPr>
          <w:rFonts w:hint="eastAsia"/>
          <w:b/>
          <w:color w:val="000000"/>
          <w:szCs w:val="21"/>
          <w:highlight w:val="none"/>
          <w:lang w:val="en-US" w:eastAsia="zh-CN"/>
        </w:rPr>
        <w:t xml:space="preserve"> </w:t>
      </w:r>
      <w:r>
        <w:rPr>
          <w:b/>
          <w:color w:val="000000"/>
          <w:szCs w:val="21"/>
          <w:highlight w:val="none"/>
          <w:lang w:val="fr-FR"/>
        </w:rPr>
        <w:t>Règlement et paiement des frais</w:t>
      </w:r>
    </w:p>
    <w:p w14:paraId="0A03098C">
      <w:pPr>
        <w:numPr>
          <w:ilvl w:val="0"/>
          <w:numId w:val="10"/>
        </w:numPr>
        <w:spacing w:line="360" w:lineRule="auto"/>
        <w:ind w:left="0" w:leftChars="0" w:firstLine="420" w:firstLineChars="200"/>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rPr>
        <w:t>每月</w:t>
      </w:r>
      <w:r>
        <w:rPr>
          <w:rFonts w:hint="default" w:ascii="Times New Roman" w:hAnsi="Times New Roman" w:cs="Times New Roman"/>
          <w:szCs w:val="21"/>
          <w:highlight w:val="none"/>
          <w:u w:val="single"/>
        </w:rPr>
        <w:t>25日</w:t>
      </w:r>
      <w:r>
        <w:rPr>
          <w:rFonts w:hint="default" w:ascii="Times New Roman" w:hAnsi="Times New Roman" w:cs="Times New Roman"/>
          <w:szCs w:val="21"/>
          <w:highlight w:val="none"/>
        </w:rPr>
        <w:t>为结算日</w:t>
      </w:r>
      <w:r>
        <w:rPr>
          <w:rFonts w:hint="default" w:ascii="Times New Roman" w:hAnsi="Times New Roman" w:cs="Times New Roman"/>
          <w:szCs w:val="21"/>
          <w:highlight w:val="none"/>
          <w:lang w:eastAsia="zh-CN"/>
        </w:rPr>
        <w:t>，</w:t>
      </w:r>
      <w:r>
        <w:rPr>
          <w:rFonts w:hint="default" w:ascii="Times New Roman" w:hAnsi="Times New Roman" w:cs="Times New Roman"/>
          <w:szCs w:val="21"/>
          <w:highlight w:val="none"/>
          <w:lang w:val="en-US" w:eastAsia="zh-CN"/>
        </w:rPr>
        <w:t>当月根据运输量据实结算</w:t>
      </w:r>
      <w:r>
        <w:rPr>
          <w:rFonts w:hint="default" w:ascii="Times New Roman" w:hAnsi="Times New Roman" w:cs="Times New Roman"/>
          <w:szCs w:val="21"/>
          <w:highlight w:val="none"/>
        </w:rPr>
        <w:t>，由双方按实际过磅量×运输单价结算运输款</w:t>
      </w:r>
      <w:r>
        <w:rPr>
          <w:rFonts w:hint="default" w:ascii="Times New Roman" w:hAnsi="Times New Roman" w:cs="Times New Roman"/>
          <w:szCs w:val="21"/>
          <w:highlight w:val="none"/>
          <w:lang w:eastAsia="zh-CN"/>
        </w:rPr>
        <w:t>。</w:t>
      </w:r>
    </w:p>
    <w:p w14:paraId="14B493E1">
      <w:pPr>
        <w:numPr>
          <w:ilvl w:val="0"/>
          <w:numId w:val="0"/>
        </w:numPr>
        <w:spacing w:line="360" w:lineRule="auto"/>
        <w:ind w:left="0" w:leftChars="0" w:firstLine="420" w:firstLineChars="200"/>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Le 25 de chaque mois est la date de règlement. Le montant mensuel est calculé sur la base des volumes de transport réels. Le paiement est établi conjointement par les parties selon la formule : poids réel basculé × prix unitaire de transport.</w:t>
      </w:r>
    </w:p>
    <w:p w14:paraId="502F4DAD">
      <w:pPr>
        <w:numPr>
          <w:ilvl w:val="0"/>
          <w:numId w:val="0"/>
        </w:numPr>
        <w:spacing w:line="360" w:lineRule="auto"/>
        <w:ind w:left="0" w:leftChars="0" w:firstLine="420" w:firstLineChars="200"/>
        <w:rPr>
          <w:rFonts w:hint="default" w:ascii="Times New Roman" w:hAnsi="Times New Roman" w:cs="Times New Roman"/>
          <w:szCs w:val="21"/>
          <w:highlight w:val="none"/>
        </w:rPr>
      </w:pPr>
      <w:r>
        <w:rPr>
          <w:rFonts w:hint="default" w:ascii="Times New Roman" w:hAnsi="Times New Roman" w:eastAsia="宋体" w:cs="Times New Roman"/>
          <w:kern w:val="2"/>
          <w:sz w:val="21"/>
          <w:szCs w:val="21"/>
          <w:highlight w:val="none"/>
          <w:lang w:val="en-US" w:eastAsia="zh-CN" w:bidi="ar-SA"/>
        </w:rPr>
        <w:t>（</w:t>
      </w:r>
      <w:r>
        <w:rPr>
          <w:rFonts w:hint="default" w:ascii="Times New Roman" w:hAnsi="Times New Roman" w:cs="Times New Roman"/>
          <w:kern w:val="2"/>
          <w:sz w:val="21"/>
          <w:szCs w:val="21"/>
          <w:highlight w:val="none"/>
          <w:lang w:val="en-US" w:eastAsia="zh-CN" w:bidi="ar-SA"/>
        </w:rPr>
        <w:t>II</w:t>
      </w:r>
      <w:r>
        <w:rPr>
          <w:rFonts w:hint="default" w:ascii="Times New Roman" w:hAnsi="Times New Roman" w:eastAsia="宋体" w:cs="Times New Roman"/>
          <w:kern w:val="2"/>
          <w:sz w:val="21"/>
          <w:szCs w:val="21"/>
          <w:highlight w:val="none"/>
          <w:lang w:val="en-US" w:eastAsia="zh-CN" w:bidi="ar-SA"/>
        </w:rPr>
        <w:t>）</w:t>
      </w:r>
      <w:r>
        <w:rPr>
          <w:rFonts w:hint="default" w:ascii="Times New Roman" w:hAnsi="Times New Roman" w:cs="Times New Roman"/>
          <w:szCs w:val="21"/>
          <w:highlight w:val="none"/>
        </w:rPr>
        <w:t>结算时，乙方需向甲方提供符合法律及甲方需求的发票。</w:t>
      </w:r>
    </w:p>
    <w:p w14:paraId="1C4C514B">
      <w:pPr>
        <w:numPr>
          <w:ilvl w:val="0"/>
          <w:numId w:val="0"/>
        </w:numPr>
        <w:spacing w:line="360" w:lineRule="auto"/>
        <w:ind w:left="0" w:leftChars="0"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Lors du règlement, le Prestataire doit fournir au Client des factures conformes aux lois et aux exigences du Client.</w:t>
      </w:r>
    </w:p>
    <w:p w14:paraId="7A33409D">
      <w:pPr>
        <w:numPr>
          <w:ilvl w:val="0"/>
          <w:numId w:val="7"/>
        </w:numPr>
        <w:spacing w:line="360" w:lineRule="auto"/>
        <w:ind w:left="0" w:firstLine="422" w:firstLineChars="200"/>
        <w:rPr>
          <w:rFonts w:hint="default" w:ascii="Times New Roman" w:hAnsi="Times New Roman" w:cs="Times New Roman"/>
          <w:b/>
          <w:bCs/>
          <w:szCs w:val="21"/>
          <w:highlight w:val="none"/>
          <w:lang w:val="fr-FR"/>
        </w:rPr>
      </w:pPr>
      <w:r>
        <w:rPr>
          <w:rFonts w:hint="default" w:ascii="Times New Roman" w:hAnsi="Times New Roman" w:cs="Times New Roman"/>
          <w:b/>
          <w:bCs/>
          <w:szCs w:val="21"/>
          <w:highlight w:val="none"/>
        </w:rPr>
        <w:t>权利义务</w:t>
      </w:r>
    </w:p>
    <w:p w14:paraId="4D6C2268">
      <w:pPr>
        <w:numPr>
          <w:ilvl w:val="0"/>
          <w:numId w:val="0"/>
        </w:numPr>
        <w:spacing w:line="360" w:lineRule="auto"/>
        <w:ind w:left="0" w:leftChars="0" w:firstLine="422" w:firstLineChars="200"/>
        <w:rPr>
          <w:rFonts w:hint="default" w:ascii="Times New Roman" w:hAnsi="Times New Roman" w:eastAsia="宋体" w:cs="Times New Roman"/>
          <w:b w:val="0"/>
          <w:bCs w:val="0"/>
          <w:kern w:val="2"/>
          <w:sz w:val="21"/>
          <w:szCs w:val="21"/>
          <w:highlight w:val="none"/>
          <w:lang w:val="fr-FR" w:eastAsia="zh-CN" w:bidi="ar-SA"/>
        </w:rPr>
      </w:pPr>
      <w:r>
        <w:rPr>
          <w:b/>
          <w:color w:val="000000"/>
          <w:szCs w:val="21"/>
          <w:highlight w:val="none"/>
          <w:lang w:val="fr-FR"/>
        </w:rPr>
        <w:t xml:space="preserve">Article </w:t>
      </w:r>
      <w:r>
        <w:rPr>
          <w:rFonts w:hint="eastAsia"/>
          <w:b/>
          <w:color w:val="000000"/>
          <w:szCs w:val="21"/>
          <w:highlight w:val="none"/>
          <w:lang w:val="en-US" w:eastAsia="zh-CN"/>
        </w:rPr>
        <w:t>V</w:t>
      </w:r>
      <w:r>
        <w:rPr>
          <w:b/>
          <w:color w:val="000000"/>
          <w:szCs w:val="21"/>
          <w:highlight w:val="none"/>
          <w:lang w:val="fr-FR"/>
        </w:rPr>
        <w:t xml:space="preserve"> </w:t>
      </w:r>
      <w:r>
        <w:rPr>
          <w:rFonts w:hint="eastAsia"/>
          <w:b/>
          <w:color w:val="000000"/>
          <w:szCs w:val="21"/>
          <w:highlight w:val="none"/>
          <w:lang w:val="en-US" w:eastAsia="zh-CN"/>
        </w:rPr>
        <w:t xml:space="preserve"> </w:t>
      </w:r>
      <w:r>
        <w:rPr>
          <w:b/>
          <w:color w:val="000000"/>
          <w:szCs w:val="21"/>
          <w:highlight w:val="none"/>
          <w:lang w:val="fr-FR"/>
        </w:rPr>
        <w:t>Droits et obligations</w:t>
      </w:r>
    </w:p>
    <w:p w14:paraId="01A76CFC">
      <w:pPr>
        <w:numPr>
          <w:ilvl w:val="0"/>
          <w:numId w:val="0"/>
        </w:numPr>
        <w:spacing w:line="360" w:lineRule="auto"/>
        <w:ind w:left="0" w:leftChars="0" w:firstLine="420" w:firstLineChars="200"/>
        <w:rPr>
          <w:rFonts w:hint="default" w:ascii="Times New Roman" w:hAnsi="Times New Roman" w:cs="Times New Roman"/>
          <w:b w:val="0"/>
          <w:bCs w:val="0"/>
          <w:szCs w:val="21"/>
          <w:highlight w:val="none"/>
          <w:lang w:val="fr-FR"/>
        </w:rPr>
      </w:pPr>
      <w:r>
        <w:rPr>
          <w:rFonts w:hint="default" w:ascii="Times New Roman" w:hAnsi="Times New Roman" w:eastAsia="宋体" w:cs="Times New Roman"/>
          <w:b w:val="0"/>
          <w:bCs w:val="0"/>
          <w:kern w:val="2"/>
          <w:sz w:val="21"/>
          <w:szCs w:val="21"/>
          <w:highlight w:val="none"/>
          <w:lang w:val="fr-FR" w:eastAsia="zh-CN" w:bidi="ar-SA"/>
        </w:rPr>
        <w:t>（</w:t>
      </w:r>
      <w:r>
        <w:rPr>
          <w:rFonts w:hint="default" w:ascii="Times New Roman" w:hAnsi="Times New Roman" w:cs="Times New Roman"/>
          <w:b w:val="0"/>
          <w:bCs w:val="0"/>
          <w:kern w:val="2"/>
          <w:sz w:val="21"/>
          <w:szCs w:val="21"/>
          <w:highlight w:val="none"/>
          <w:lang w:val="en-US" w:eastAsia="zh-CN" w:bidi="ar-SA"/>
        </w:rPr>
        <w:t>I</w:t>
      </w:r>
      <w:r>
        <w:rPr>
          <w:rFonts w:hint="default" w:ascii="Times New Roman" w:hAnsi="Times New Roman" w:eastAsia="宋体" w:cs="Times New Roman"/>
          <w:b w:val="0"/>
          <w:bCs w:val="0"/>
          <w:kern w:val="2"/>
          <w:sz w:val="21"/>
          <w:szCs w:val="21"/>
          <w:highlight w:val="none"/>
          <w:lang w:val="fr-FR" w:eastAsia="zh-CN" w:bidi="ar-SA"/>
        </w:rPr>
        <w:t>）</w:t>
      </w:r>
      <w:r>
        <w:rPr>
          <w:rFonts w:hint="default" w:ascii="Times New Roman" w:hAnsi="Times New Roman" w:cs="Times New Roman"/>
          <w:b w:val="0"/>
          <w:bCs w:val="0"/>
          <w:szCs w:val="21"/>
          <w:highlight w:val="none"/>
        </w:rPr>
        <w:t>甲方权利义务</w:t>
      </w:r>
      <w:r>
        <w:rPr>
          <w:rFonts w:hint="eastAsia" w:ascii="Times New Roman" w:hAnsi="Times New Roman" w:cs="Times New Roman"/>
          <w:b w:val="0"/>
          <w:bCs w:val="0"/>
          <w:szCs w:val="21"/>
          <w:highlight w:val="none"/>
          <w:lang w:val="en-US" w:eastAsia="zh-CN"/>
        </w:rPr>
        <w:t xml:space="preserve"> </w:t>
      </w:r>
      <w:r>
        <w:rPr>
          <w:b w:val="0"/>
          <w:bCs w:val="0"/>
          <w:color w:val="000000"/>
          <w:szCs w:val="21"/>
          <w:highlight w:val="none"/>
          <w:lang w:val="fr-FR"/>
        </w:rPr>
        <w:t>Droits et obligations</w:t>
      </w:r>
      <w:r>
        <w:rPr>
          <w:rFonts w:hint="eastAsia"/>
          <w:b w:val="0"/>
          <w:bCs w:val="0"/>
          <w:color w:val="000000"/>
          <w:szCs w:val="21"/>
          <w:highlight w:val="none"/>
          <w:lang w:val="fr-FR" w:eastAsia="zh-CN"/>
        </w:rPr>
        <w:t xml:space="preserve"> du Client</w:t>
      </w:r>
      <w:r>
        <w:rPr>
          <w:rFonts w:hint="default" w:ascii="Times New Roman" w:hAnsi="Times New Roman" w:cs="Times New Roman"/>
          <w:b w:val="0"/>
          <w:bCs w:val="0"/>
          <w:szCs w:val="21"/>
          <w:highlight w:val="none"/>
        </w:rPr>
        <w:t>：</w:t>
      </w:r>
    </w:p>
    <w:p w14:paraId="65F99D2A">
      <w:pPr>
        <w:numPr>
          <w:ilvl w:val="0"/>
          <w:numId w:val="11"/>
        </w:numPr>
        <w:spacing w:line="360" w:lineRule="auto"/>
        <w:ind w:left="0" w:leftChars="0" w:firstLine="420" w:firstLineChars="200"/>
        <w:rPr>
          <w:rFonts w:hint="default" w:ascii="Times New Roman" w:hAnsi="Times New Roman" w:cs="Times New Roman"/>
          <w:szCs w:val="21"/>
          <w:highlight w:val="none"/>
          <w:lang w:val="fr-FR"/>
        </w:rPr>
      </w:pPr>
      <w:r>
        <w:rPr>
          <w:rFonts w:hint="default" w:ascii="Times New Roman" w:hAnsi="Times New Roman" w:cs="Times New Roman"/>
          <w:szCs w:val="21"/>
          <w:highlight w:val="none"/>
        </w:rPr>
        <w:t>甲方有权对乙方的合同执行过程进行检查、监督、考核。</w:t>
      </w:r>
    </w:p>
    <w:p w14:paraId="50D527C4">
      <w:pPr>
        <w:widowControl w:val="0"/>
        <w:numPr>
          <w:ilvl w:val="0"/>
          <w:numId w:val="0"/>
        </w:numPr>
        <w:spacing w:line="360" w:lineRule="auto"/>
        <w:ind w:firstLine="630" w:firstLineChars="300"/>
        <w:jc w:val="both"/>
        <w:rPr>
          <w:rFonts w:hint="default" w:ascii="Times New Roman" w:hAnsi="Times New Roman" w:cs="Times New Roman"/>
          <w:szCs w:val="21"/>
          <w:highlight w:val="none"/>
          <w:lang w:val="fr-FR"/>
        </w:rPr>
      </w:pPr>
      <w:r>
        <w:rPr>
          <w:rFonts w:hint="eastAsia"/>
          <w:bCs/>
          <w:color w:val="000000"/>
          <w:szCs w:val="21"/>
          <w:highlight w:val="none"/>
          <w:lang w:val="fr-FR" w:eastAsia="zh-CN"/>
        </w:rPr>
        <w:t>Le Client</w:t>
      </w:r>
      <w:r>
        <w:rPr>
          <w:bCs/>
          <w:color w:val="000000"/>
          <w:szCs w:val="21"/>
          <w:highlight w:val="none"/>
          <w:lang w:val="fr-FR"/>
        </w:rPr>
        <w:t xml:space="preserve"> a le droit d'inspecter, de superviser et d'évaluer le processus d'exécution du contrat</w:t>
      </w:r>
      <w:r>
        <w:rPr>
          <w:rFonts w:hint="eastAsia"/>
          <w:bCs/>
          <w:color w:val="000000"/>
          <w:szCs w:val="21"/>
          <w:highlight w:val="none"/>
          <w:lang w:val="fr-FR" w:eastAsia="zh-CN"/>
        </w:rPr>
        <w:t xml:space="preserve"> du Prestataire</w:t>
      </w:r>
      <w:r>
        <w:rPr>
          <w:bCs/>
          <w:color w:val="000000"/>
          <w:szCs w:val="21"/>
          <w:highlight w:val="none"/>
          <w:lang w:val="fr-FR"/>
        </w:rPr>
        <w:t>.</w:t>
      </w:r>
    </w:p>
    <w:p w14:paraId="0E979C92">
      <w:pPr>
        <w:numPr>
          <w:ilvl w:val="0"/>
          <w:numId w:val="11"/>
        </w:numPr>
        <w:spacing w:line="360" w:lineRule="auto"/>
        <w:ind w:left="0" w:leftChars="0" w:firstLine="420" w:firstLineChars="200"/>
        <w:rPr>
          <w:rFonts w:hint="default" w:ascii="Times New Roman" w:hAnsi="Times New Roman" w:cs="Times New Roman"/>
          <w:szCs w:val="21"/>
          <w:highlight w:val="none"/>
          <w:lang w:val="fr-FR"/>
        </w:rPr>
      </w:pPr>
      <w:r>
        <w:rPr>
          <w:rFonts w:hint="default" w:ascii="Times New Roman" w:hAnsi="Times New Roman" w:cs="Times New Roman"/>
          <w:szCs w:val="21"/>
          <w:highlight w:val="none"/>
        </w:rPr>
        <w:t>甲方有权要求乙方按照合同规定的时间、地点，将货物运输到合同约定的地点。</w:t>
      </w:r>
    </w:p>
    <w:p w14:paraId="65CF61D1">
      <w:pPr>
        <w:widowControl w:val="0"/>
        <w:numPr>
          <w:ilvl w:val="0"/>
          <w:numId w:val="0"/>
        </w:numPr>
        <w:spacing w:line="360" w:lineRule="auto"/>
        <w:ind w:firstLine="630" w:firstLineChars="300"/>
        <w:jc w:val="both"/>
        <w:rPr>
          <w:rFonts w:hint="default" w:ascii="Times New Roman" w:hAnsi="Times New Roman" w:cs="Times New Roman"/>
          <w:szCs w:val="21"/>
          <w:highlight w:val="none"/>
          <w:lang w:val="fr-FR"/>
        </w:rPr>
      </w:pPr>
      <w:r>
        <w:rPr>
          <w:rFonts w:hint="eastAsia"/>
          <w:bCs/>
          <w:color w:val="000000"/>
          <w:szCs w:val="21"/>
          <w:highlight w:val="none"/>
          <w:lang w:val="fr-FR" w:eastAsia="zh-CN"/>
        </w:rPr>
        <w:t>Le Client</w:t>
      </w:r>
      <w:r>
        <w:rPr>
          <w:bCs/>
          <w:color w:val="000000"/>
          <w:szCs w:val="21"/>
          <w:highlight w:val="none"/>
          <w:lang w:val="fr-FR"/>
        </w:rPr>
        <w:t xml:space="preserve"> a le droit de demander</w:t>
      </w:r>
      <w:r>
        <w:rPr>
          <w:rFonts w:hint="eastAsia"/>
          <w:bCs/>
          <w:color w:val="000000"/>
          <w:szCs w:val="21"/>
          <w:highlight w:val="none"/>
          <w:lang w:val="fr-FR" w:eastAsia="zh-CN"/>
        </w:rPr>
        <w:t xml:space="preserve"> au Prestataire</w:t>
      </w:r>
      <w:r>
        <w:rPr>
          <w:bCs/>
          <w:color w:val="000000"/>
          <w:szCs w:val="21"/>
          <w:highlight w:val="none"/>
          <w:lang w:val="fr-FR"/>
        </w:rPr>
        <w:t xml:space="preserve"> de transporter les marchandises au lieu et à l'heure spécifiés dans le contrat.</w:t>
      </w:r>
    </w:p>
    <w:p w14:paraId="496A99B5">
      <w:pPr>
        <w:numPr>
          <w:ilvl w:val="0"/>
          <w:numId w:val="11"/>
        </w:numPr>
        <w:spacing w:line="360" w:lineRule="auto"/>
        <w:ind w:left="0" w:leftChars="0" w:firstLine="420" w:firstLineChars="200"/>
        <w:rPr>
          <w:rFonts w:hint="default" w:ascii="Times New Roman" w:hAnsi="Times New Roman" w:cs="Times New Roman"/>
          <w:szCs w:val="21"/>
          <w:highlight w:val="none"/>
          <w:lang w:val="fr-FR"/>
        </w:rPr>
      </w:pPr>
      <w:r>
        <w:rPr>
          <w:rFonts w:hint="default" w:ascii="Times New Roman" w:hAnsi="Times New Roman" w:cs="Times New Roman"/>
          <w:szCs w:val="21"/>
          <w:highlight w:val="none"/>
        </w:rPr>
        <w:t>甲方有权对运输计划进行调整。</w:t>
      </w:r>
    </w:p>
    <w:p w14:paraId="52A5CB5D">
      <w:pPr>
        <w:widowControl w:val="0"/>
        <w:numPr>
          <w:ilvl w:val="0"/>
          <w:numId w:val="0"/>
        </w:numPr>
        <w:spacing w:line="360" w:lineRule="auto"/>
        <w:ind w:firstLine="630" w:firstLineChars="300"/>
        <w:jc w:val="both"/>
        <w:rPr>
          <w:rFonts w:hint="default" w:ascii="Times New Roman" w:hAnsi="Times New Roman" w:cs="Times New Roman"/>
          <w:szCs w:val="21"/>
          <w:highlight w:val="none"/>
          <w:lang w:val="fr-FR"/>
        </w:rPr>
      </w:pPr>
      <w:r>
        <w:rPr>
          <w:rFonts w:hint="eastAsia"/>
          <w:bCs/>
          <w:color w:val="000000"/>
          <w:szCs w:val="21"/>
          <w:highlight w:val="none"/>
          <w:lang w:val="fr-FR" w:eastAsia="zh-CN"/>
        </w:rPr>
        <w:t>Le Client</w:t>
      </w:r>
      <w:r>
        <w:rPr>
          <w:bCs/>
          <w:color w:val="000000"/>
          <w:szCs w:val="21"/>
          <w:highlight w:val="none"/>
          <w:lang w:val="fr-FR"/>
        </w:rPr>
        <w:t xml:space="preserve"> a le droit d'adapter le plan de transport.</w:t>
      </w:r>
    </w:p>
    <w:p w14:paraId="21486621">
      <w:pPr>
        <w:numPr>
          <w:ilvl w:val="0"/>
          <w:numId w:val="11"/>
        </w:numPr>
        <w:spacing w:line="360" w:lineRule="auto"/>
        <w:ind w:left="0" w:leftChars="0"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甲方应尊重乙方根据行业有关标准、规定进行工作的权利，不应提出与行业标准、规定相抵触的要求。</w:t>
      </w:r>
    </w:p>
    <w:p w14:paraId="446CC65D">
      <w:pPr>
        <w:widowControl w:val="0"/>
        <w:numPr>
          <w:ilvl w:val="0"/>
          <w:numId w:val="0"/>
        </w:numPr>
        <w:spacing w:line="360" w:lineRule="auto"/>
        <w:ind w:firstLine="630" w:firstLineChars="300"/>
        <w:jc w:val="both"/>
        <w:rPr>
          <w:rFonts w:hint="default" w:ascii="Times New Roman" w:hAnsi="Times New Roman" w:cs="Times New Roman"/>
          <w:szCs w:val="21"/>
          <w:highlight w:val="none"/>
        </w:rPr>
      </w:pPr>
      <w:r>
        <w:rPr>
          <w:rFonts w:hint="eastAsia"/>
          <w:bCs/>
          <w:color w:val="000000"/>
          <w:szCs w:val="21"/>
          <w:highlight w:val="none"/>
          <w:lang w:val="fr-FR" w:eastAsia="zh-CN"/>
        </w:rPr>
        <w:t>Le Client</w:t>
      </w:r>
      <w:r>
        <w:rPr>
          <w:bCs/>
          <w:color w:val="000000"/>
          <w:szCs w:val="21"/>
          <w:highlight w:val="none"/>
          <w:lang w:val="fr-FR"/>
        </w:rPr>
        <w:t xml:space="preserve"> doit respecter le droit</w:t>
      </w:r>
      <w:r>
        <w:rPr>
          <w:rFonts w:hint="eastAsia"/>
          <w:bCs/>
          <w:color w:val="000000"/>
          <w:szCs w:val="21"/>
          <w:highlight w:val="none"/>
          <w:lang w:val="fr-FR" w:eastAsia="zh-CN"/>
        </w:rPr>
        <w:t xml:space="preserve"> du Prestataire</w:t>
      </w:r>
      <w:r>
        <w:rPr>
          <w:bCs/>
          <w:color w:val="000000"/>
          <w:szCs w:val="21"/>
          <w:highlight w:val="none"/>
          <w:lang w:val="fr-FR"/>
        </w:rPr>
        <w:t xml:space="preserve"> d'effectuer des travaux conformément aux normes et réglementations </w:t>
      </w:r>
      <w:r>
        <w:rPr>
          <w:rFonts w:hint="eastAsia"/>
          <w:bCs/>
          <w:color w:val="000000"/>
          <w:szCs w:val="21"/>
          <w:highlight w:val="none"/>
          <w:lang w:val="fr-FR"/>
        </w:rPr>
        <w:t>en vigueur de la profession</w:t>
      </w:r>
      <w:r>
        <w:rPr>
          <w:bCs/>
          <w:color w:val="000000"/>
          <w:szCs w:val="21"/>
          <w:highlight w:val="none"/>
          <w:lang w:val="fr-FR"/>
        </w:rPr>
        <w:t xml:space="preserve">, et ne doit pas exiger les critères qui sont incompatibles avec les normes et réglementations </w:t>
      </w:r>
      <w:r>
        <w:rPr>
          <w:rFonts w:hint="eastAsia"/>
          <w:bCs/>
          <w:color w:val="000000"/>
          <w:szCs w:val="21"/>
          <w:highlight w:val="none"/>
          <w:lang w:val="fr-FR"/>
        </w:rPr>
        <w:t>de la profession</w:t>
      </w:r>
      <w:r>
        <w:rPr>
          <w:bCs/>
          <w:color w:val="000000"/>
          <w:szCs w:val="21"/>
          <w:highlight w:val="none"/>
          <w:lang w:val="fr-FR"/>
        </w:rPr>
        <w:t>.</w:t>
      </w:r>
    </w:p>
    <w:p w14:paraId="368D0BAA">
      <w:pPr>
        <w:numPr>
          <w:ilvl w:val="0"/>
          <w:numId w:val="11"/>
        </w:numPr>
        <w:spacing w:line="360" w:lineRule="auto"/>
        <w:ind w:left="0" w:leftChars="0"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甲方应按合同规定向乙方支付费用。</w:t>
      </w:r>
    </w:p>
    <w:p w14:paraId="23E8939E">
      <w:pPr>
        <w:widowControl w:val="0"/>
        <w:numPr>
          <w:ilvl w:val="0"/>
          <w:numId w:val="0"/>
        </w:numPr>
        <w:spacing w:line="360" w:lineRule="auto"/>
        <w:ind w:firstLine="630" w:firstLineChars="300"/>
        <w:jc w:val="both"/>
        <w:rPr>
          <w:rFonts w:hint="default" w:ascii="Times New Roman" w:hAnsi="Times New Roman" w:cs="Times New Roman"/>
          <w:szCs w:val="21"/>
          <w:highlight w:val="none"/>
        </w:rPr>
      </w:pPr>
      <w:r>
        <w:rPr>
          <w:rFonts w:hint="eastAsia"/>
          <w:bCs/>
          <w:color w:val="000000"/>
          <w:szCs w:val="21"/>
          <w:highlight w:val="none"/>
          <w:lang w:val="fr-FR" w:eastAsia="zh-CN"/>
        </w:rPr>
        <w:t>Le Client</w:t>
      </w:r>
      <w:r>
        <w:rPr>
          <w:bCs/>
          <w:color w:val="000000"/>
          <w:szCs w:val="21"/>
          <w:highlight w:val="none"/>
          <w:lang w:val="fr-FR"/>
        </w:rPr>
        <w:t xml:space="preserve"> doit payer</w:t>
      </w:r>
      <w:r>
        <w:rPr>
          <w:rFonts w:hint="eastAsia"/>
          <w:bCs/>
          <w:color w:val="000000"/>
          <w:szCs w:val="21"/>
          <w:highlight w:val="none"/>
          <w:lang w:val="fr-FR" w:eastAsia="zh-CN"/>
        </w:rPr>
        <w:t xml:space="preserve"> au Prestataire</w:t>
      </w:r>
      <w:r>
        <w:rPr>
          <w:bCs/>
          <w:color w:val="000000"/>
          <w:szCs w:val="21"/>
          <w:highlight w:val="none"/>
          <w:lang w:val="fr-FR"/>
        </w:rPr>
        <w:t xml:space="preserve"> conformément au contrat.</w:t>
      </w:r>
    </w:p>
    <w:p w14:paraId="0192C8FB">
      <w:pPr>
        <w:numPr>
          <w:ilvl w:val="0"/>
          <w:numId w:val="0"/>
        </w:numPr>
        <w:spacing w:line="360" w:lineRule="auto"/>
        <w:ind w:left="0" w:leftChars="0" w:firstLine="420" w:firstLineChars="0"/>
        <w:rPr>
          <w:rFonts w:hint="default" w:ascii="Times New Roman" w:hAnsi="Times New Roman" w:cs="Times New Roman"/>
          <w:b w:val="0"/>
          <w:bCs w:val="0"/>
          <w:szCs w:val="21"/>
          <w:highlight w:val="none"/>
          <w:lang w:val="fr-FR"/>
        </w:rPr>
      </w:pPr>
      <w:r>
        <w:rPr>
          <w:rFonts w:hint="default" w:ascii="Times New Roman" w:hAnsi="Times New Roman" w:eastAsia="宋体" w:cs="Times New Roman"/>
          <w:b w:val="0"/>
          <w:bCs w:val="0"/>
          <w:kern w:val="2"/>
          <w:sz w:val="21"/>
          <w:szCs w:val="21"/>
          <w:highlight w:val="none"/>
          <w:lang w:val="fr-FR" w:eastAsia="zh-CN" w:bidi="ar-SA"/>
        </w:rPr>
        <w:t>（</w:t>
      </w:r>
      <w:r>
        <w:rPr>
          <w:rFonts w:hint="default" w:ascii="Times New Roman" w:hAnsi="Times New Roman" w:cs="Times New Roman"/>
          <w:b w:val="0"/>
          <w:bCs w:val="0"/>
          <w:kern w:val="2"/>
          <w:sz w:val="21"/>
          <w:szCs w:val="21"/>
          <w:highlight w:val="none"/>
          <w:lang w:val="en-US" w:eastAsia="zh-CN" w:bidi="ar-SA"/>
        </w:rPr>
        <w:t>II</w:t>
      </w:r>
      <w:r>
        <w:rPr>
          <w:rFonts w:hint="default" w:ascii="Times New Roman" w:hAnsi="Times New Roman" w:eastAsia="宋体" w:cs="Times New Roman"/>
          <w:b w:val="0"/>
          <w:bCs w:val="0"/>
          <w:kern w:val="2"/>
          <w:sz w:val="21"/>
          <w:szCs w:val="21"/>
          <w:highlight w:val="none"/>
          <w:lang w:val="fr-FR" w:eastAsia="zh-CN" w:bidi="ar-SA"/>
        </w:rPr>
        <w:t>）</w:t>
      </w:r>
      <w:r>
        <w:rPr>
          <w:rFonts w:hint="default" w:ascii="Times New Roman" w:hAnsi="Times New Roman" w:cs="Times New Roman"/>
          <w:b w:val="0"/>
          <w:bCs w:val="0"/>
          <w:szCs w:val="21"/>
          <w:highlight w:val="none"/>
        </w:rPr>
        <w:t>乙方权利义务</w:t>
      </w:r>
      <w:r>
        <w:rPr>
          <w:rFonts w:hint="eastAsia" w:ascii="Times New Roman" w:hAnsi="Times New Roman" w:cs="Times New Roman"/>
          <w:b w:val="0"/>
          <w:bCs w:val="0"/>
          <w:szCs w:val="21"/>
          <w:highlight w:val="none"/>
          <w:lang w:val="en-US" w:eastAsia="zh-CN"/>
        </w:rPr>
        <w:t xml:space="preserve"> </w:t>
      </w:r>
      <w:r>
        <w:rPr>
          <w:b w:val="0"/>
          <w:bCs w:val="0"/>
          <w:color w:val="000000"/>
          <w:szCs w:val="21"/>
          <w:highlight w:val="none"/>
          <w:lang w:val="fr-FR"/>
        </w:rPr>
        <w:t>Droits et obligations d</w:t>
      </w:r>
      <w:r>
        <w:rPr>
          <w:rFonts w:hint="eastAsia"/>
          <w:b w:val="0"/>
          <w:bCs w:val="0"/>
          <w:color w:val="000000"/>
          <w:szCs w:val="21"/>
          <w:highlight w:val="none"/>
          <w:lang w:val="en-US" w:eastAsia="zh-CN"/>
        </w:rPr>
        <w:t>u Prestataire</w:t>
      </w:r>
      <w:r>
        <w:rPr>
          <w:rFonts w:hint="default" w:ascii="Times New Roman" w:hAnsi="Times New Roman" w:cs="Times New Roman"/>
          <w:b w:val="0"/>
          <w:bCs w:val="0"/>
          <w:szCs w:val="21"/>
          <w:highlight w:val="none"/>
        </w:rPr>
        <w:t>：</w:t>
      </w:r>
    </w:p>
    <w:p w14:paraId="0E385BA8">
      <w:pPr>
        <w:numPr>
          <w:ilvl w:val="0"/>
          <w:numId w:val="12"/>
        </w:numPr>
        <w:spacing w:line="360" w:lineRule="auto"/>
        <w:ind w:left="0" w:leftChars="0" w:firstLine="420" w:firstLineChars="200"/>
        <w:rPr>
          <w:rFonts w:hint="default" w:ascii="Times New Roman" w:hAnsi="Times New Roman" w:cs="Times New Roman"/>
          <w:szCs w:val="21"/>
          <w:highlight w:val="none"/>
          <w:lang w:val="fr-FR"/>
        </w:rPr>
      </w:pPr>
      <w:r>
        <w:rPr>
          <w:rFonts w:hint="default" w:ascii="Times New Roman" w:hAnsi="Times New Roman" w:cs="Times New Roman"/>
          <w:szCs w:val="21"/>
          <w:highlight w:val="none"/>
        </w:rPr>
        <w:t>乙方应做好运输前的各项准备工作，负责运输路线的实地勘察、制定运输计划。</w:t>
      </w:r>
    </w:p>
    <w:p w14:paraId="6D89F9CC">
      <w:pPr>
        <w:numPr>
          <w:ilvl w:val="0"/>
          <w:numId w:val="0"/>
        </w:numPr>
        <w:spacing w:line="360" w:lineRule="auto"/>
        <w:ind w:firstLine="630" w:firstLineChars="300"/>
        <w:rPr>
          <w:rFonts w:hint="default" w:ascii="Times New Roman" w:hAnsi="Times New Roman" w:cs="Times New Roman"/>
          <w:szCs w:val="21"/>
          <w:highlight w:val="none"/>
          <w:lang w:val="fr-FR"/>
        </w:rPr>
      </w:pPr>
      <w:r>
        <w:rPr>
          <w:rFonts w:hint="eastAsia"/>
          <w:bCs/>
          <w:color w:val="000000"/>
          <w:szCs w:val="21"/>
          <w:highlight w:val="none"/>
          <w:lang w:val="fr-FR" w:eastAsia="zh-CN"/>
        </w:rPr>
        <w:t>Le Prestataire</w:t>
      </w:r>
      <w:r>
        <w:rPr>
          <w:bCs/>
          <w:color w:val="000000"/>
          <w:szCs w:val="21"/>
          <w:highlight w:val="none"/>
          <w:lang w:val="fr-FR"/>
        </w:rPr>
        <w:t xml:space="preserve"> s</w:t>
      </w:r>
      <w:r>
        <w:rPr>
          <w:rFonts w:hint="eastAsia"/>
          <w:bCs/>
          <w:color w:val="000000"/>
          <w:szCs w:val="21"/>
          <w:highlight w:val="none"/>
          <w:lang w:val="fr-FR"/>
        </w:rPr>
        <w:t>'</w:t>
      </w:r>
      <w:r>
        <w:rPr>
          <w:bCs/>
          <w:color w:val="000000"/>
          <w:szCs w:val="21"/>
          <w:highlight w:val="none"/>
          <w:lang w:val="fr-FR"/>
        </w:rPr>
        <w:t>oblige d</w:t>
      </w:r>
      <w:r>
        <w:rPr>
          <w:rFonts w:hint="eastAsia"/>
          <w:bCs/>
          <w:color w:val="000000"/>
          <w:szCs w:val="21"/>
          <w:highlight w:val="none"/>
          <w:lang w:val="fr-FR"/>
        </w:rPr>
        <w:t>'</w:t>
      </w:r>
      <w:r>
        <w:rPr>
          <w:bCs/>
          <w:color w:val="000000"/>
          <w:szCs w:val="21"/>
          <w:highlight w:val="none"/>
          <w:lang w:val="fr-FR"/>
        </w:rPr>
        <w:t>effectuer tous les préparatifs avant le transport, est responsable de l'étude sur le terrain de l'itinéraire de transport et de l'élaboration des plans de transport.</w:t>
      </w:r>
    </w:p>
    <w:p w14:paraId="1D18B9E0">
      <w:pPr>
        <w:numPr>
          <w:ilvl w:val="0"/>
          <w:numId w:val="12"/>
        </w:numPr>
        <w:spacing w:line="360" w:lineRule="auto"/>
        <w:ind w:left="0" w:leftChars="0" w:firstLine="420" w:firstLineChars="200"/>
        <w:rPr>
          <w:rFonts w:hint="default" w:ascii="Times New Roman" w:hAnsi="Times New Roman" w:cs="Times New Roman"/>
          <w:szCs w:val="21"/>
          <w:highlight w:val="none"/>
          <w:lang w:val="fr-FR"/>
        </w:rPr>
      </w:pPr>
      <w:r>
        <w:rPr>
          <w:rFonts w:hint="default" w:ascii="Times New Roman" w:hAnsi="Times New Roman" w:cs="Times New Roman"/>
          <w:szCs w:val="21"/>
          <w:highlight w:val="none"/>
        </w:rPr>
        <w:t>乙方承诺在本项目投入自卸车辆</w:t>
      </w:r>
      <w:r>
        <w:rPr>
          <w:rFonts w:hint="default" w:ascii="Times New Roman" w:hAnsi="Times New Roman" w:cs="Times New Roman"/>
          <w:szCs w:val="21"/>
          <w:highlight w:val="none"/>
          <w:lang w:val="en-US" w:eastAsia="zh-CN"/>
        </w:rPr>
        <w:t>不低于</w:t>
      </w:r>
      <w:r>
        <w:rPr>
          <w:rFonts w:hint="default" w:ascii="Times New Roman" w:hAnsi="Times New Roman" w:cs="Times New Roman"/>
          <w:szCs w:val="21"/>
          <w:highlight w:val="none"/>
          <w:u w:val="single"/>
          <w:lang w:val="en-US" w:eastAsia="zh-CN"/>
        </w:rPr>
        <w:t xml:space="preserve"> </w:t>
      </w:r>
      <w:r>
        <w:rPr>
          <w:rFonts w:hint="eastAsia" w:cs="Times New Roman"/>
          <w:szCs w:val="21"/>
          <w:highlight w:val="none"/>
          <w:u w:val="single"/>
          <w:lang w:val="en-US" w:eastAsia="zh-CN"/>
        </w:rPr>
        <w:t>50</w:t>
      </w:r>
      <w:r>
        <w:rPr>
          <w:rFonts w:hint="default" w:ascii="Times New Roman" w:hAnsi="Times New Roman" w:cs="Times New Roman"/>
          <w:szCs w:val="21"/>
          <w:highlight w:val="none"/>
          <w:u w:val="single"/>
          <w:lang w:val="en-US" w:eastAsia="zh-CN"/>
        </w:rPr>
        <w:t xml:space="preserve"> </w:t>
      </w:r>
      <w:r>
        <w:rPr>
          <w:rFonts w:hint="default" w:ascii="Times New Roman" w:hAnsi="Times New Roman" w:cs="Times New Roman"/>
          <w:szCs w:val="21"/>
          <w:highlight w:val="none"/>
        </w:rPr>
        <w:t>辆，合同期内</w:t>
      </w:r>
      <w:r>
        <w:rPr>
          <w:rFonts w:hint="default" w:ascii="Times New Roman" w:hAnsi="Times New Roman" w:cs="Times New Roman"/>
          <w:szCs w:val="21"/>
          <w:highlight w:val="none"/>
          <w:lang w:val="en-US" w:eastAsia="zh-CN"/>
        </w:rPr>
        <w:t>月度</w:t>
      </w:r>
      <w:r>
        <w:rPr>
          <w:rFonts w:hint="default" w:ascii="Times New Roman" w:hAnsi="Times New Roman" w:cs="Times New Roman"/>
          <w:szCs w:val="21"/>
          <w:highlight w:val="none"/>
        </w:rPr>
        <w:t>平均出车率不低于</w:t>
      </w:r>
      <w:r>
        <w:rPr>
          <w:rFonts w:hint="default" w:ascii="Times New Roman" w:hAnsi="Times New Roman" w:cs="Times New Roman"/>
          <w:szCs w:val="21"/>
          <w:highlight w:val="none"/>
          <w:u w:val="single"/>
          <w:lang w:val="en-US" w:eastAsia="zh-CN"/>
        </w:rPr>
        <w:t>7</w:t>
      </w:r>
      <w:r>
        <w:rPr>
          <w:rFonts w:hint="default" w:ascii="Times New Roman" w:hAnsi="Times New Roman" w:cs="Times New Roman"/>
          <w:szCs w:val="21"/>
          <w:highlight w:val="none"/>
          <w:u w:val="single"/>
        </w:rPr>
        <w:t>0%</w:t>
      </w:r>
      <w:r>
        <w:rPr>
          <w:rFonts w:hint="eastAsia" w:cs="Times New Roman"/>
          <w:szCs w:val="21"/>
          <w:highlight w:val="none"/>
          <w:u w:val="single"/>
          <w:lang w:val="en-US" w:eastAsia="zh-CN"/>
        </w:rPr>
        <w:t xml:space="preserve"> (全部以去56号矿体运输数据为依据)</w:t>
      </w:r>
      <w:r>
        <w:rPr>
          <w:rFonts w:hint="default" w:ascii="Times New Roman" w:hAnsi="Times New Roman" w:cs="Times New Roman"/>
          <w:szCs w:val="21"/>
          <w:highlight w:val="none"/>
        </w:rPr>
        <w:t>。乙方应及时向甲方</w:t>
      </w:r>
      <w:r>
        <w:rPr>
          <w:rFonts w:hint="default" w:ascii="Times New Roman" w:hAnsi="Times New Roman" w:cs="Times New Roman"/>
          <w:szCs w:val="21"/>
          <w:highlight w:val="none"/>
          <w:lang w:val="en-US" w:eastAsia="zh-CN"/>
        </w:rPr>
        <w:t>报备车辆数量、车况等</w:t>
      </w:r>
      <w:r>
        <w:rPr>
          <w:rFonts w:hint="default" w:ascii="Times New Roman" w:hAnsi="Times New Roman" w:cs="Times New Roman"/>
          <w:szCs w:val="21"/>
          <w:highlight w:val="none"/>
        </w:rPr>
        <w:t>情况</w:t>
      </w:r>
      <w:r>
        <w:rPr>
          <w:rFonts w:hint="default" w:ascii="Times New Roman" w:hAnsi="Times New Roman" w:cs="Times New Roman"/>
          <w:szCs w:val="21"/>
          <w:highlight w:val="none"/>
          <w:lang w:eastAsia="zh-CN"/>
        </w:rPr>
        <w:t>；</w:t>
      </w:r>
      <w:r>
        <w:rPr>
          <w:rFonts w:hint="default" w:ascii="Times New Roman" w:hAnsi="Times New Roman" w:cs="Times New Roman"/>
          <w:szCs w:val="21"/>
          <w:highlight w:val="none"/>
        </w:rPr>
        <w:t>乙方不得擅自减少运输车辆</w:t>
      </w:r>
      <w:r>
        <w:rPr>
          <w:rFonts w:hint="default" w:ascii="Times New Roman" w:hAnsi="Times New Roman" w:cs="Times New Roman"/>
          <w:szCs w:val="21"/>
          <w:highlight w:val="none"/>
          <w:lang w:val="en-US" w:eastAsia="zh-CN"/>
        </w:rPr>
        <w:t>数量</w:t>
      </w:r>
      <w:r>
        <w:rPr>
          <w:rFonts w:hint="default" w:ascii="Times New Roman" w:hAnsi="Times New Roman" w:cs="Times New Roman"/>
          <w:szCs w:val="21"/>
          <w:highlight w:val="none"/>
        </w:rPr>
        <w:t>，对车辆的调整，应经过甲方允许。</w:t>
      </w:r>
    </w:p>
    <w:p w14:paraId="1E82E692">
      <w:pPr>
        <w:widowControl w:val="0"/>
        <w:numPr>
          <w:ilvl w:val="0"/>
          <w:numId w:val="0"/>
        </w:numPr>
        <w:spacing w:line="360" w:lineRule="auto"/>
        <w:ind w:firstLine="630" w:firstLineChars="300"/>
        <w:jc w:val="both"/>
        <w:rPr>
          <w:rFonts w:hint="default" w:ascii="Times New Roman" w:hAnsi="Times New Roman" w:cs="Times New Roman"/>
          <w:szCs w:val="21"/>
          <w:highlight w:val="none"/>
          <w:lang w:val="fr-FR"/>
        </w:rPr>
      </w:pPr>
      <w:r>
        <w:rPr>
          <w:rFonts w:hint="default" w:ascii="Times New Roman" w:hAnsi="Times New Roman" w:cs="Times New Roman"/>
          <w:szCs w:val="21"/>
          <w:highlight w:val="none"/>
          <w:lang w:val="fr-FR"/>
        </w:rPr>
        <w:t>Le Prestataire s</w:t>
      </w:r>
      <w:r>
        <w:rPr>
          <w:rFonts w:hint="eastAsia" w:ascii="Times New Roman" w:hAnsi="Times New Roman" w:cs="Times New Roman"/>
          <w:szCs w:val="21"/>
          <w:highlight w:val="none"/>
          <w:lang w:val="fr-FR" w:eastAsia="zh-CN"/>
        </w:rPr>
        <w:t>'</w:t>
      </w:r>
      <w:r>
        <w:rPr>
          <w:rFonts w:hint="default" w:ascii="Times New Roman" w:hAnsi="Times New Roman" w:cs="Times New Roman"/>
          <w:szCs w:val="21"/>
          <w:highlight w:val="none"/>
          <w:lang w:val="fr-FR"/>
        </w:rPr>
        <w:t xml:space="preserve">engage à mettre en œuvre au moins 50 camions benne pour le présent projet, et le taux moyen mensuel de mise en service des camions ne doit pas être inférieur à </w:t>
      </w:r>
      <w:r>
        <w:rPr>
          <w:rFonts w:hint="default" w:ascii="Times New Roman" w:hAnsi="Times New Roman" w:cs="Times New Roman"/>
          <w:szCs w:val="21"/>
          <w:highlight w:val="none"/>
          <w:u w:val="single"/>
          <w:lang w:val="fr-FR"/>
        </w:rPr>
        <w:t>70 %</w:t>
      </w:r>
      <w:r>
        <w:rPr>
          <w:rFonts w:hint="default" w:ascii="Times New Roman" w:hAnsi="Times New Roman" w:cs="Times New Roman"/>
          <w:szCs w:val="21"/>
          <w:highlight w:val="none"/>
          <w:lang w:val="fr-FR"/>
        </w:rPr>
        <w:t xml:space="preserve"> pendant la durée du contrat</w:t>
      </w:r>
      <w:r>
        <w:rPr>
          <w:rFonts w:hint="eastAsia" w:cs="Times New Roman"/>
          <w:szCs w:val="21"/>
          <w:highlight w:val="none"/>
          <w:lang w:val="en-US" w:eastAsia="zh-CN"/>
        </w:rPr>
        <w:t xml:space="preserve"> (ces données étant exclusivement basées sur le transport vers le gisement n°56)</w:t>
      </w:r>
      <w:r>
        <w:rPr>
          <w:rFonts w:hint="default" w:ascii="Times New Roman" w:hAnsi="Times New Roman" w:cs="Times New Roman"/>
          <w:szCs w:val="21"/>
          <w:highlight w:val="none"/>
          <w:lang w:val="fr-FR"/>
        </w:rPr>
        <w:t>. Il doit communiquer en temps voulu au Client la quantité de camions, l</w:t>
      </w:r>
      <w:r>
        <w:rPr>
          <w:rFonts w:hint="eastAsia" w:ascii="Times New Roman" w:hAnsi="Times New Roman" w:cs="Times New Roman"/>
          <w:szCs w:val="21"/>
          <w:highlight w:val="none"/>
          <w:lang w:val="fr-FR" w:eastAsia="zh-CN"/>
        </w:rPr>
        <w:t>'</w:t>
      </w:r>
      <w:r>
        <w:rPr>
          <w:rFonts w:hint="default" w:ascii="Times New Roman" w:hAnsi="Times New Roman" w:cs="Times New Roman"/>
          <w:szCs w:val="21"/>
          <w:highlight w:val="none"/>
          <w:lang w:val="fr-FR"/>
        </w:rPr>
        <w:t>état des camions</w:t>
      </w:r>
      <w:r>
        <w:rPr>
          <w:rFonts w:hint="eastAsia" w:cs="Times New Roman"/>
          <w:szCs w:val="21"/>
          <w:highlight w:val="none"/>
          <w:lang w:val="en-US" w:eastAsia="zh-CN"/>
        </w:rPr>
        <w:t xml:space="preserve"> </w:t>
      </w:r>
      <w:r>
        <w:rPr>
          <w:rFonts w:hint="default" w:ascii="Times New Roman" w:hAnsi="Times New Roman" w:cs="Times New Roman"/>
          <w:szCs w:val="21"/>
          <w:highlight w:val="none"/>
          <w:lang w:val="fr-FR"/>
        </w:rPr>
        <w:t>et autres informations relatives ; le Prestataire ne doit pas réduire sans autorisation préalable la quantité de véhicules de transport, et toute modification relative aux véhicules doit obtenir l</w:t>
      </w:r>
      <w:r>
        <w:rPr>
          <w:rFonts w:hint="eastAsia" w:ascii="Times New Roman" w:hAnsi="Times New Roman" w:cs="Times New Roman"/>
          <w:szCs w:val="21"/>
          <w:highlight w:val="none"/>
          <w:lang w:val="fr-FR" w:eastAsia="zh-CN"/>
        </w:rPr>
        <w:t>'</w:t>
      </w:r>
      <w:r>
        <w:rPr>
          <w:rFonts w:hint="default" w:ascii="Times New Roman" w:hAnsi="Times New Roman" w:cs="Times New Roman"/>
          <w:szCs w:val="21"/>
          <w:highlight w:val="none"/>
          <w:lang w:val="fr-FR"/>
        </w:rPr>
        <w:t>autorisation du Client.</w:t>
      </w:r>
    </w:p>
    <w:p w14:paraId="3FB0BF80">
      <w:pPr>
        <w:numPr>
          <w:ilvl w:val="0"/>
          <w:numId w:val="12"/>
        </w:numPr>
        <w:spacing w:line="360" w:lineRule="auto"/>
        <w:ind w:left="0" w:leftChars="0" w:firstLine="420" w:firstLineChars="200"/>
        <w:rPr>
          <w:rFonts w:hint="default" w:ascii="Times New Roman" w:hAnsi="Times New Roman" w:cs="Times New Roman"/>
          <w:szCs w:val="21"/>
          <w:highlight w:val="none"/>
          <w:lang w:val="fr-FR"/>
        </w:rPr>
      </w:pPr>
      <w:r>
        <w:rPr>
          <w:rFonts w:hint="default" w:ascii="Times New Roman" w:hAnsi="Times New Roman" w:cs="Times New Roman"/>
          <w:szCs w:val="21"/>
          <w:highlight w:val="none"/>
        </w:rPr>
        <w:t>乙方对自身（人员、设备）安全负责，包括运输准备、运输过程、运输到场及返程，乙方在运输过程中发生的交通事故，由乙方负全部责任，并负责事故处置及善后工作。乙方应与甲方及运输相关方另行签署安全环保协议</w:t>
      </w:r>
      <w:r>
        <w:rPr>
          <w:rFonts w:hint="default" w:ascii="Times New Roman" w:hAnsi="Times New Roman" w:cs="Times New Roman"/>
          <w:szCs w:val="21"/>
          <w:highlight w:val="none"/>
          <w:lang w:eastAsia="zh-CN"/>
        </w:rPr>
        <w:t>，</w:t>
      </w:r>
      <w:r>
        <w:rPr>
          <w:rFonts w:hint="default" w:ascii="Times New Roman" w:hAnsi="Times New Roman" w:cs="Times New Roman"/>
          <w:szCs w:val="21"/>
          <w:highlight w:val="none"/>
          <w:lang w:val="en-US" w:eastAsia="zh-CN"/>
        </w:rPr>
        <w:t>并按照协议要求配备安全管理人员。</w:t>
      </w:r>
    </w:p>
    <w:p w14:paraId="413F4AC9">
      <w:pPr>
        <w:widowControl w:val="0"/>
        <w:numPr>
          <w:ilvl w:val="0"/>
          <w:numId w:val="0"/>
        </w:numPr>
        <w:spacing w:line="360" w:lineRule="auto"/>
        <w:ind w:firstLine="630" w:firstLineChars="300"/>
        <w:jc w:val="both"/>
        <w:rPr>
          <w:rFonts w:hint="default" w:ascii="Times New Roman" w:hAnsi="Times New Roman" w:cs="Times New Roman"/>
          <w:szCs w:val="21"/>
          <w:highlight w:val="none"/>
          <w:lang w:val="fr-FR"/>
        </w:rPr>
      </w:pPr>
      <w:r>
        <w:rPr>
          <w:rFonts w:hint="default" w:ascii="Times New Roman" w:hAnsi="Times New Roman" w:cs="Times New Roman"/>
          <w:szCs w:val="21"/>
          <w:highlight w:val="none"/>
          <w:lang w:val="fr-FR"/>
        </w:rPr>
        <w:t>Le Prestataire est responsable de la sécurité de ses propres personnels et équipements, y compris la préparation au transport, le processus de transport, l</w:t>
      </w:r>
      <w:r>
        <w:rPr>
          <w:rFonts w:hint="eastAsia" w:ascii="Times New Roman" w:hAnsi="Times New Roman" w:cs="Times New Roman"/>
          <w:szCs w:val="21"/>
          <w:highlight w:val="none"/>
          <w:lang w:val="fr-FR" w:eastAsia="zh-CN"/>
        </w:rPr>
        <w:t>'</w:t>
      </w:r>
      <w:r>
        <w:rPr>
          <w:rFonts w:hint="default" w:ascii="Times New Roman" w:hAnsi="Times New Roman" w:cs="Times New Roman"/>
          <w:szCs w:val="21"/>
          <w:highlight w:val="none"/>
          <w:lang w:val="fr-FR"/>
        </w:rPr>
        <w:t>arrivée du transport sur le site ainsi que le trajet de retour. En cas de survenance d</w:t>
      </w:r>
      <w:r>
        <w:rPr>
          <w:rFonts w:hint="eastAsia" w:ascii="Times New Roman" w:hAnsi="Times New Roman" w:cs="Times New Roman"/>
          <w:szCs w:val="21"/>
          <w:highlight w:val="none"/>
          <w:lang w:val="fr-FR" w:eastAsia="zh-CN"/>
        </w:rPr>
        <w:t>'</w:t>
      </w:r>
      <w:r>
        <w:rPr>
          <w:rFonts w:hint="default" w:ascii="Times New Roman" w:hAnsi="Times New Roman" w:cs="Times New Roman"/>
          <w:szCs w:val="21"/>
          <w:highlight w:val="none"/>
          <w:lang w:val="fr-FR"/>
        </w:rPr>
        <w:t>un accident de transport pendant le trajet, le Prestataire porte l</w:t>
      </w:r>
      <w:r>
        <w:rPr>
          <w:rFonts w:hint="eastAsia" w:ascii="Times New Roman" w:hAnsi="Times New Roman" w:cs="Times New Roman"/>
          <w:szCs w:val="21"/>
          <w:highlight w:val="none"/>
          <w:lang w:val="fr-FR" w:eastAsia="zh-CN"/>
        </w:rPr>
        <w:t>'</w:t>
      </w:r>
      <w:r>
        <w:rPr>
          <w:rFonts w:hint="default" w:ascii="Times New Roman" w:hAnsi="Times New Roman" w:cs="Times New Roman"/>
          <w:szCs w:val="21"/>
          <w:highlight w:val="none"/>
          <w:lang w:val="fr-FR"/>
        </w:rPr>
        <w:t>entière responsabilité et s</w:t>
      </w:r>
      <w:r>
        <w:rPr>
          <w:rFonts w:hint="eastAsia" w:ascii="Times New Roman" w:hAnsi="Times New Roman" w:cs="Times New Roman"/>
          <w:szCs w:val="21"/>
          <w:highlight w:val="none"/>
          <w:lang w:val="fr-FR" w:eastAsia="zh-CN"/>
        </w:rPr>
        <w:t>'</w:t>
      </w:r>
      <w:r>
        <w:rPr>
          <w:rFonts w:hint="default" w:ascii="Times New Roman" w:hAnsi="Times New Roman" w:cs="Times New Roman"/>
          <w:szCs w:val="21"/>
          <w:highlight w:val="none"/>
          <w:lang w:val="fr-FR"/>
        </w:rPr>
        <w:t>occupe de la gestion de l</w:t>
      </w:r>
      <w:r>
        <w:rPr>
          <w:rFonts w:hint="eastAsia" w:ascii="Times New Roman" w:hAnsi="Times New Roman" w:cs="Times New Roman"/>
          <w:szCs w:val="21"/>
          <w:highlight w:val="none"/>
          <w:lang w:val="fr-FR" w:eastAsia="zh-CN"/>
        </w:rPr>
        <w:t>'</w:t>
      </w:r>
      <w:r>
        <w:rPr>
          <w:rFonts w:hint="default" w:ascii="Times New Roman" w:hAnsi="Times New Roman" w:cs="Times New Roman"/>
          <w:szCs w:val="21"/>
          <w:highlight w:val="none"/>
          <w:lang w:val="fr-FR"/>
        </w:rPr>
        <w:t>accident ainsi que des travaux de suivi. Il doit signer séparément un accord sur la sécurité et l</w:t>
      </w:r>
      <w:r>
        <w:rPr>
          <w:rFonts w:hint="eastAsia" w:ascii="Times New Roman" w:hAnsi="Times New Roman" w:cs="Times New Roman"/>
          <w:szCs w:val="21"/>
          <w:highlight w:val="none"/>
          <w:lang w:val="fr-FR" w:eastAsia="zh-CN"/>
        </w:rPr>
        <w:t>'</w:t>
      </w:r>
      <w:r>
        <w:rPr>
          <w:rFonts w:hint="default" w:ascii="Times New Roman" w:hAnsi="Times New Roman" w:cs="Times New Roman"/>
          <w:szCs w:val="21"/>
          <w:highlight w:val="none"/>
          <w:lang w:val="fr-FR"/>
        </w:rPr>
        <w:t>environnement avec le Client et les autres parties concernées par le transport, et doter de responsables de la sécurité conformément aux exigences de cet accord.</w:t>
      </w:r>
    </w:p>
    <w:p w14:paraId="5E1E868C">
      <w:pPr>
        <w:numPr>
          <w:ilvl w:val="0"/>
          <w:numId w:val="12"/>
        </w:numPr>
        <w:spacing w:line="360" w:lineRule="auto"/>
        <w:ind w:left="0" w:leftChars="0"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乙方负责全部与运输有关的协调工作，保障矿石安全运输到转载站，相关费用自理。</w:t>
      </w:r>
    </w:p>
    <w:p w14:paraId="6F6758FA">
      <w:pPr>
        <w:spacing w:line="360" w:lineRule="auto"/>
        <w:ind w:firstLine="630" w:firstLineChars="300"/>
        <w:rPr>
          <w:rFonts w:hint="default" w:ascii="Times New Roman" w:hAnsi="Times New Roman" w:cs="Times New Roman"/>
          <w:szCs w:val="21"/>
          <w:highlight w:val="none"/>
        </w:rPr>
      </w:pPr>
      <w:r>
        <w:rPr>
          <w:rFonts w:hint="eastAsia"/>
          <w:bCs/>
          <w:color w:val="000000"/>
          <w:szCs w:val="21"/>
          <w:highlight w:val="none"/>
          <w:lang w:val="fr-FR" w:eastAsia="zh-CN"/>
        </w:rPr>
        <w:t>Le Prestataire</w:t>
      </w:r>
      <w:r>
        <w:rPr>
          <w:bCs/>
          <w:color w:val="000000"/>
          <w:szCs w:val="21"/>
          <w:highlight w:val="none"/>
          <w:lang w:val="fr-FR"/>
        </w:rPr>
        <w:t xml:space="preserve"> assume la responsabilité de tout le travail de coordination lié au transport, afin d'assurer la sécurité du transport du minerai vers la station de transfert, à ses propres frais.</w:t>
      </w:r>
    </w:p>
    <w:p w14:paraId="2977BC48">
      <w:pPr>
        <w:numPr>
          <w:ilvl w:val="0"/>
          <w:numId w:val="12"/>
        </w:numPr>
        <w:spacing w:line="360" w:lineRule="auto"/>
        <w:ind w:left="0" w:leftChars="0"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乙方应按照几内亚劳动法等相关法律法规聘用当地员工，优先聘用道路沿线村民等人员，乙方应保证人员管理顺畅，不造成阻工、罢工等事件，如因乙方原因，发生上述事件，相应的损失由乙方自行承担，并承担对甲方及其他运输商的赔偿责任。</w:t>
      </w:r>
    </w:p>
    <w:p w14:paraId="56B06F1E">
      <w:pPr>
        <w:widowControl w:val="0"/>
        <w:numPr>
          <w:ilvl w:val="0"/>
          <w:numId w:val="0"/>
        </w:numPr>
        <w:spacing w:line="360" w:lineRule="auto"/>
        <w:ind w:firstLine="630" w:firstLineChars="300"/>
        <w:jc w:val="both"/>
        <w:rPr>
          <w:rFonts w:hint="default" w:ascii="Times New Roman" w:hAnsi="Times New Roman" w:cs="Times New Roman"/>
          <w:szCs w:val="21"/>
          <w:highlight w:val="none"/>
        </w:rPr>
      </w:pPr>
      <w:r>
        <w:rPr>
          <w:rFonts w:hint="eastAsia"/>
          <w:bCs/>
          <w:color w:val="000000"/>
          <w:szCs w:val="21"/>
          <w:highlight w:val="none"/>
          <w:lang w:val="fr-FR" w:eastAsia="zh-CN"/>
        </w:rPr>
        <w:t>Le Prestataire</w:t>
      </w:r>
      <w:r>
        <w:rPr>
          <w:bCs/>
          <w:color w:val="000000"/>
          <w:szCs w:val="21"/>
          <w:highlight w:val="none"/>
          <w:lang w:val="fr-FR"/>
        </w:rPr>
        <w:t xml:space="preserve"> doit recruter du personnel local conformément au droit du travail guinéen et aux autres lois et règlements pertinents en vigueur, en donnant la priorité aux villageois situés le long de la route</w:t>
      </w:r>
      <w:r>
        <w:rPr>
          <w:rFonts w:hint="eastAsia"/>
          <w:bCs/>
          <w:color w:val="000000"/>
          <w:szCs w:val="21"/>
          <w:highlight w:val="none"/>
          <w:lang w:val="en-US" w:eastAsia="zh-CN"/>
        </w:rPr>
        <w:t xml:space="preserve"> de transport</w:t>
      </w:r>
      <w:r>
        <w:rPr>
          <w:bCs/>
          <w:color w:val="000000"/>
          <w:szCs w:val="21"/>
          <w:highlight w:val="none"/>
          <w:lang w:val="fr-FR"/>
        </w:rPr>
        <w:t xml:space="preserve">. </w:t>
      </w:r>
      <w:r>
        <w:rPr>
          <w:rFonts w:hint="eastAsia"/>
          <w:bCs/>
          <w:color w:val="000000"/>
          <w:szCs w:val="21"/>
          <w:highlight w:val="none"/>
          <w:lang w:val="fr-FR" w:eastAsia="zh-CN"/>
        </w:rPr>
        <w:t>Le Prestataire</w:t>
      </w:r>
      <w:r>
        <w:rPr>
          <w:bCs/>
          <w:color w:val="000000"/>
          <w:szCs w:val="21"/>
          <w:highlight w:val="none"/>
          <w:lang w:val="fr-FR"/>
        </w:rPr>
        <w:t xml:space="preserve"> </w:t>
      </w:r>
      <w:r>
        <w:rPr>
          <w:rFonts w:hint="eastAsia"/>
          <w:bCs/>
          <w:color w:val="000000"/>
          <w:szCs w:val="21"/>
          <w:highlight w:val="none"/>
          <w:lang w:val="en-US" w:eastAsia="zh-CN"/>
        </w:rPr>
        <w:t>doit garantir une gestion du personnel fluide et efficace</w:t>
      </w:r>
      <w:r>
        <w:rPr>
          <w:bCs/>
          <w:color w:val="000000"/>
          <w:szCs w:val="21"/>
          <w:highlight w:val="none"/>
          <w:lang w:val="fr-FR"/>
        </w:rPr>
        <w:t>, de manière à ne pas provoquer d'arrêts de travail et de grèves. Si l'événement ci-dessus se produit à cause</w:t>
      </w:r>
      <w:r>
        <w:rPr>
          <w:rFonts w:hint="eastAsia"/>
          <w:bCs/>
          <w:color w:val="000000"/>
          <w:szCs w:val="21"/>
          <w:highlight w:val="none"/>
          <w:lang w:val="fr-FR" w:eastAsia="zh-CN"/>
        </w:rPr>
        <w:t xml:space="preserve"> du Prestataire</w:t>
      </w:r>
      <w:r>
        <w:rPr>
          <w:bCs/>
          <w:color w:val="000000"/>
          <w:szCs w:val="21"/>
          <w:highlight w:val="none"/>
          <w:lang w:val="fr-FR"/>
        </w:rPr>
        <w:t xml:space="preserve">, </w:t>
      </w:r>
      <w:r>
        <w:rPr>
          <w:rFonts w:hint="eastAsia"/>
          <w:bCs/>
          <w:color w:val="000000"/>
          <w:szCs w:val="21"/>
          <w:highlight w:val="none"/>
          <w:lang w:val="fr-FR" w:eastAsia="zh-CN"/>
        </w:rPr>
        <w:t>le Prestataire</w:t>
      </w:r>
      <w:r>
        <w:rPr>
          <w:bCs/>
          <w:color w:val="000000"/>
          <w:szCs w:val="21"/>
          <w:highlight w:val="none"/>
          <w:lang w:val="fr-FR"/>
        </w:rPr>
        <w:t xml:space="preserve"> supporte les pertes correspondantes, </w:t>
      </w:r>
      <w:r>
        <w:rPr>
          <w:rFonts w:hint="eastAsia"/>
          <w:bCs/>
          <w:color w:val="000000"/>
          <w:szCs w:val="21"/>
          <w:highlight w:val="none"/>
          <w:lang w:val="fr-FR"/>
        </w:rPr>
        <w:t>et assume l'obligation de dédommager le Client et les autres transporteurs.</w:t>
      </w:r>
    </w:p>
    <w:p w14:paraId="7E1DBBB0">
      <w:pPr>
        <w:numPr>
          <w:ilvl w:val="0"/>
          <w:numId w:val="12"/>
        </w:numPr>
        <w:spacing w:line="360" w:lineRule="auto"/>
        <w:ind w:left="0" w:leftChars="0"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lang w:val="en-US" w:eastAsia="zh-CN"/>
        </w:rPr>
        <w:t>乙方应在</w:t>
      </w:r>
      <w:r>
        <w:rPr>
          <w:rFonts w:hint="default" w:ascii="Times New Roman" w:hAnsi="Times New Roman" w:cs="Times New Roman"/>
          <w:szCs w:val="21"/>
          <w:highlight w:val="none"/>
          <w:u w:val="single"/>
          <w:lang w:val="en-US" w:eastAsia="zh-CN"/>
        </w:rPr>
        <w:t>7天</w:t>
      </w:r>
      <w:r>
        <w:rPr>
          <w:rFonts w:hint="default" w:ascii="Times New Roman" w:hAnsi="Times New Roman" w:cs="Times New Roman"/>
          <w:szCs w:val="21"/>
          <w:highlight w:val="none"/>
          <w:lang w:val="en-US" w:eastAsia="zh-CN"/>
        </w:rPr>
        <w:t>内将事故车辆或者报废车辆搬移运矿路，确保运矿道路畅通。</w:t>
      </w:r>
    </w:p>
    <w:p w14:paraId="5B85EEF1">
      <w:pPr>
        <w:widowControl w:val="0"/>
        <w:numPr>
          <w:ilvl w:val="0"/>
          <w:numId w:val="0"/>
        </w:numPr>
        <w:spacing w:line="360" w:lineRule="auto"/>
        <w:ind w:firstLine="630" w:firstLineChars="300"/>
        <w:jc w:val="both"/>
        <w:rPr>
          <w:rFonts w:hint="default" w:ascii="Times New Roman" w:hAnsi="Times New Roman" w:cs="Times New Roman"/>
          <w:szCs w:val="21"/>
          <w:highlight w:val="none"/>
        </w:rPr>
      </w:pPr>
      <w:r>
        <w:rPr>
          <w:rFonts w:hint="default" w:ascii="Times New Roman" w:hAnsi="Times New Roman" w:cs="Times New Roman"/>
          <w:szCs w:val="21"/>
          <w:highlight w:val="none"/>
        </w:rPr>
        <w:t>Le Prestataire doit évacuer les véhicules accidentés ou hors service de la route de transport de minerai dans un délai de 7 jours, afin de garantir la libre circulation sur ladite route.</w:t>
      </w:r>
    </w:p>
    <w:p w14:paraId="5682C4DE">
      <w:pPr>
        <w:numPr>
          <w:ilvl w:val="0"/>
          <w:numId w:val="7"/>
        </w:numPr>
        <w:spacing w:line="360" w:lineRule="auto"/>
        <w:ind w:left="0" w:firstLine="422" w:firstLineChars="200"/>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保密义务及违约责任</w:t>
      </w:r>
    </w:p>
    <w:p w14:paraId="3B5B79E7">
      <w:pPr>
        <w:spacing w:line="360" w:lineRule="auto"/>
        <w:ind w:firstLine="422" w:firstLineChars="200"/>
        <w:rPr>
          <w:rFonts w:hint="default" w:ascii="Times New Roman" w:hAnsi="Times New Roman" w:eastAsia="宋体" w:cs="Times New Roman"/>
          <w:b w:val="0"/>
          <w:bCs w:val="0"/>
          <w:kern w:val="2"/>
          <w:sz w:val="21"/>
          <w:szCs w:val="21"/>
          <w:highlight w:val="none"/>
          <w:lang w:val="en-US" w:eastAsia="zh-CN" w:bidi="ar-SA"/>
        </w:rPr>
      </w:pPr>
      <w:r>
        <w:rPr>
          <w:b/>
          <w:color w:val="000000"/>
          <w:szCs w:val="21"/>
          <w:highlight w:val="none"/>
          <w:lang w:val="fr-FR"/>
        </w:rPr>
        <w:t xml:space="preserve">Article </w:t>
      </w:r>
      <w:r>
        <w:rPr>
          <w:rFonts w:hint="eastAsia"/>
          <w:b/>
          <w:color w:val="000000"/>
          <w:szCs w:val="21"/>
          <w:highlight w:val="none"/>
          <w:lang w:val="en-US" w:eastAsia="zh-CN"/>
        </w:rPr>
        <w:t xml:space="preserve">VI  </w:t>
      </w:r>
      <w:r>
        <w:rPr>
          <w:b/>
          <w:color w:val="000000"/>
          <w:szCs w:val="21"/>
          <w:highlight w:val="none"/>
          <w:lang w:val="fr-FR" w:eastAsia="zh-CN"/>
        </w:rPr>
        <w:t>Obligation de confidentialité et responsabilité en cas de violation</w:t>
      </w:r>
    </w:p>
    <w:p w14:paraId="7E4C86F6">
      <w:pPr>
        <w:numPr>
          <w:ilvl w:val="0"/>
          <w:numId w:val="0"/>
        </w:numPr>
        <w:spacing w:line="360" w:lineRule="auto"/>
        <w:ind w:left="0" w:leftChars="0" w:firstLine="420" w:firstLineChars="200"/>
        <w:rPr>
          <w:rFonts w:hint="default" w:ascii="Times New Roman" w:hAnsi="Times New Roman" w:cs="Times New Roman"/>
          <w:b w:val="0"/>
          <w:bCs w:val="0"/>
          <w:szCs w:val="21"/>
          <w:highlight w:val="none"/>
          <w:lang w:val="en-US"/>
        </w:rPr>
      </w:pPr>
      <w:r>
        <w:rPr>
          <w:rFonts w:hint="default" w:ascii="Times New Roman" w:hAnsi="Times New Roman" w:eastAsia="宋体" w:cs="Times New Roman"/>
          <w:b w:val="0"/>
          <w:bCs w:val="0"/>
          <w:kern w:val="2"/>
          <w:sz w:val="21"/>
          <w:szCs w:val="21"/>
          <w:highlight w:val="none"/>
          <w:lang w:val="en-US" w:eastAsia="zh-CN" w:bidi="ar-SA"/>
        </w:rPr>
        <w:t>（</w:t>
      </w:r>
      <w:r>
        <w:rPr>
          <w:rFonts w:hint="default" w:ascii="Times New Roman" w:hAnsi="Times New Roman" w:cs="Times New Roman"/>
          <w:b w:val="0"/>
          <w:bCs w:val="0"/>
          <w:kern w:val="2"/>
          <w:sz w:val="21"/>
          <w:szCs w:val="21"/>
          <w:highlight w:val="none"/>
          <w:lang w:val="en-US" w:eastAsia="zh-CN" w:bidi="ar-SA"/>
        </w:rPr>
        <w:t>I</w:t>
      </w:r>
      <w:r>
        <w:rPr>
          <w:rFonts w:hint="default" w:ascii="Times New Roman" w:hAnsi="Times New Roman" w:eastAsia="宋体" w:cs="Times New Roman"/>
          <w:b w:val="0"/>
          <w:bCs w:val="0"/>
          <w:kern w:val="2"/>
          <w:sz w:val="21"/>
          <w:szCs w:val="21"/>
          <w:highlight w:val="none"/>
          <w:lang w:val="en-US" w:eastAsia="zh-CN" w:bidi="ar-SA"/>
        </w:rPr>
        <w:t>）</w:t>
      </w:r>
      <w:r>
        <w:rPr>
          <w:rFonts w:hint="default" w:ascii="Times New Roman" w:hAnsi="Times New Roman" w:cs="Times New Roman"/>
          <w:b w:val="0"/>
          <w:bCs w:val="0"/>
          <w:szCs w:val="21"/>
          <w:highlight w:val="none"/>
          <w:lang w:val="en-US" w:eastAsia="zh-CN"/>
        </w:rPr>
        <w:t>保密义务</w:t>
      </w:r>
      <w:r>
        <w:rPr>
          <w:rFonts w:hint="eastAsia" w:ascii="Times New Roman" w:hAnsi="Times New Roman" w:cs="Times New Roman"/>
          <w:b w:val="0"/>
          <w:bCs w:val="0"/>
          <w:szCs w:val="21"/>
          <w:highlight w:val="none"/>
          <w:lang w:val="en-US" w:eastAsia="zh-CN"/>
        </w:rPr>
        <w:t xml:space="preserve"> </w:t>
      </w:r>
      <w:r>
        <w:rPr>
          <w:rFonts w:ascii="Times New Roman" w:hAnsi="Times New Roman" w:eastAsia="宋体" w:cs="Times New Roman"/>
          <w:bCs/>
          <w:color w:val="000000"/>
          <w:kern w:val="2"/>
          <w:sz w:val="21"/>
          <w:szCs w:val="21"/>
          <w:highlight w:val="none"/>
          <w:lang w:val="fr-FR" w:eastAsia="zh-CN" w:bidi="ar-SA"/>
        </w:rPr>
        <w:t>Obligation de confidentialité</w:t>
      </w:r>
    </w:p>
    <w:p w14:paraId="1E8D8019">
      <w:pPr>
        <w:pStyle w:val="28"/>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outlineLvl w:val="9"/>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乙方承诺对在合同履行过程中获知的甲方一切信息（包括但不限于服务要求、服务范围、合同价格、技术资料、商业计划等）予以严格保密，未经甲方事先书面同意，不得以任何形式向第三方披露，亦不得公开于网络、报纸、刊物、社交媒体等任何公开平台或媒介。</w:t>
      </w:r>
    </w:p>
    <w:p w14:paraId="6F4FFB4E">
      <w:pPr>
        <w:numPr>
          <w:ilvl w:val="0"/>
          <w:numId w:val="0"/>
        </w:numPr>
        <w:spacing w:line="360" w:lineRule="auto"/>
        <w:ind w:left="0" w:leftChars="0" w:firstLine="420" w:firstLineChars="200"/>
        <w:rPr>
          <w:rFonts w:hint="default" w:ascii="Times New Roman" w:hAnsi="Times New Roman" w:eastAsia="宋体" w:cs="Times New Roman"/>
          <w:b w:val="0"/>
          <w:bCs w:val="0"/>
          <w:kern w:val="2"/>
          <w:sz w:val="21"/>
          <w:szCs w:val="21"/>
          <w:highlight w:val="none"/>
          <w:lang w:val="en-US" w:eastAsia="zh-CN" w:bidi="ar-SA"/>
        </w:rPr>
      </w:pPr>
      <w:r>
        <w:rPr>
          <w:rFonts w:hint="eastAsia" w:cs="Times New Roman"/>
          <w:bCs/>
          <w:color w:val="000000"/>
          <w:kern w:val="2"/>
          <w:sz w:val="21"/>
          <w:szCs w:val="21"/>
          <w:highlight w:val="none"/>
          <w:lang w:val="fr-FR" w:eastAsia="zh-CN" w:bidi="ar-SA"/>
        </w:rPr>
        <w:t>Le Prestataire</w:t>
      </w:r>
      <w:r>
        <w:rPr>
          <w:rFonts w:ascii="Times New Roman" w:hAnsi="Times New Roman" w:eastAsia="宋体" w:cs="Times New Roman"/>
          <w:bCs/>
          <w:color w:val="000000"/>
          <w:kern w:val="2"/>
          <w:sz w:val="21"/>
          <w:szCs w:val="21"/>
          <w:highlight w:val="none"/>
          <w:lang w:val="fr-FR" w:eastAsia="zh-CN" w:bidi="ar-SA"/>
        </w:rPr>
        <w:t xml:space="preserve"> s</w:t>
      </w:r>
      <w:r>
        <w:rPr>
          <w:rFonts w:hint="eastAsia" w:cs="Times New Roman"/>
          <w:bCs/>
          <w:color w:val="000000"/>
          <w:kern w:val="2"/>
          <w:sz w:val="21"/>
          <w:szCs w:val="21"/>
          <w:highlight w:val="none"/>
          <w:lang w:val="fr-FR" w:eastAsia="zh-CN" w:bidi="ar-SA"/>
        </w:rPr>
        <w:t>'</w:t>
      </w:r>
      <w:r>
        <w:rPr>
          <w:rFonts w:ascii="Times New Roman" w:hAnsi="Times New Roman" w:eastAsia="宋体" w:cs="Times New Roman"/>
          <w:bCs/>
          <w:color w:val="000000"/>
          <w:kern w:val="2"/>
          <w:sz w:val="21"/>
          <w:szCs w:val="21"/>
          <w:highlight w:val="none"/>
          <w:lang w:val="fr-FR" w:eastAsia="zh-CN" w:bidi="ar-SA"/>
        </w:rPr>
        <w:t>engage à garder strictement confidentielles toutes les informations obtenues dans le cadre de l</w:t>
      </w:r>
      <w:r>
        <w:rPr>
          <w:rFonts w:hint="eastAsia" w:cs="Times New Roman"/>
          <w:bCs/>
          <w:color w:val="000000"/>
          <w:kern w:val="2"/>
          <w:sz w:val="21"/>
          <w:szCs w:val="21"/>
          <w:highlight w:val="none"/>
          <w:lang w:val="fr-FR" w:eastAsia="zh-CN" w:bidi="ar-SA"/>
        </w:rPr>
        <w:t>'</w:t>
      </w:r>
      <w:r>
        <w:rPr>
          <w:rFonts w:ascii="Times New Roman" w:hAnsi="Times New Roman" w:eastAsia="宋体" w:cs="Times New Roman"/>
          <w:bCs/>
          <w:color w:val="000000"/>
          <w:kern w:val="2"/>
          <w:sz w:val="21"/>
          <w:szCs w:val="21"/>
          <w:highlight w:val="none"/>
          <w:lang w:val="fr-FR" w:eastAsia="zh-CN" w:bidi="ar-SA"/>
        </w:rPr>
        <w:t>exécution du présent contrat (y compris, mais sans s</w:t>
      </w:r>
      <w:r>
        <w:rPr>
          <w:rFonts w:hint="eastAsia" w:cs="Times New Roman"/>
          <w:bCs/>
          <w:color w:val="000000"/>
          <w:kern w:val="2"/>
          <w:sz w:val="21"/>
          <w:szCs w:val="21"/>
          <w:highlight w:val="none"/>
          <w:lang w:val="fr-FR" w:eastAsia="zh-CN" w:bidi="ar-SA"/>
        </w:rPr>
        <w:t>'</w:t>
      </w:r>
      <w:r>
        <w:rPr>
          <w:rFonts w:ascii="Times New Roman" w:hAnsi="Times New Roman" w:eastAsia="宋体" w:cs="Times New Roman"/>
          <w:bCs/>
          <w:color w:val="000000"/>
          <w:kern w:val="2"/>
          <w:sz w:val="21"/>
          <w:szCs w:val="21"/>
          <w:highlight w:val="none"/>
          <w:lang w:val="fr-FR" w:eastAsia="zh-CN" w:bidi="ar-SA"/>
        </w:rPr>
        <w:t>y limiter, les exigences de service, l</w:t>
      </w:r>
      <w:r>
        <w:rPr>
          <w:rFonts w:hint="eastAsia" w:cs="Times New Roman"/>
          <w:bCs/>
          <w:color w:val="000000"/>
          <w:kern w:val="2"/>
          <w:sz w:val="21"/>
          <w:szCs w:val="21"/>
          <w:highlight w:val="none"/>
          <w:lang w:val="en-US" w:eastAsia="zh-CN" w:bidi="ar-SA"/>
        </w:rPr>
        <w:t>'</w:t>
      </w:r>
      <w:r>
        <w:rPr>
          <w:rFonts w:hint="eastAsia" w:ascii="Times New Roman" w:hAnsi="Times New Roman" w:eastAsia="宋体" w:cs="Times New Roman"/>
          <w:bCs/>
          <w:color w:val="000000"/>
          <w:kern w:val="2"/>
          <w:sz w:val="21"/>
          <w:szCs w:val="21"/>
          <w:highlight w:val="none"/>
          <w:lang w:val="fr-FR" w:eastAsia="zh-CN" w:bidi="ar-SA"/>
        </w:rPr>
        <w:t>étendue de service</w:t>
      </w:r>
      <w:r>
        <w:rPr>
          <w:rFonts w:ascii="Times New Roman" w:hAnsi="Times New Roman" w:eastAsia="宋体" w:cs="Times New Roman"/>
          <w:bCs/>
          <w:color w:val="000000"/>
          <w:kern w:val="2"/>
          <w:sz w:val="21"/>
          <w:szCs w:val="21"/>
          <w:highlight w:val="none"/>
          <w:lang w:val="fr-FR" w:eastAsia="zh-CN" w:bidi="ar-SA"/>
        </w:rPr>
        <w:t>, le prix contractuel, les documents techniques, les plans commerciaux, etc.). Sans l</w:t>
      </w:r>
      <w:r>
        <w:rPr>
          <w:rFonts w:hint="eastAsia" w:cs="Times New Roman"/>
          <w:bCs/>
          <w:color w:val="000000"/>
          <w:kern w:val="2"/>
          <w:sz w:val="21"/>
          <w:szCs w:val="21"/>
          <w:highlight w:val="none"/>
          <w:lang w:val="fr-FR" w:eastAsia="zh-CN" w:bidi="ar-SA"/>
        </w:rPr>
        <w:t>'</w:t>
      </w:r>
      <w:r>
        <w:rPr>
          <w:rFonts w:ascii="Times New Roman" w:hAnsi="Times New Roman" w:eastAsia="宋体" w:cs="Times New Roman"/>
          <w:bCs/>
          <w:color w:val="000000"/>
          <w:kern w:val="2"/>
          <w:sz w:val="21"/>
          <w:szCs w:val="21"/>
          <w:highlight w:val="none"/>
          <w:lang w:val="fr-FR" w:eastAsia="zh-CN" w:bidi="ar-SA"/>
        </w:rPr>
        <w:t>accord écrit préalable</w:t>
      </w:r>
      <w:r>
        <w:rPr>
          <w:rFonts w:hint="eastAsia" w:cs="Times New Roman"/>
          <w:bCs/>
          <w:color w:val="000000"/>
          <w:kern w:val="2"/>
          <w:sz w:val="21"/>
          <w:szCs w:val="21"/>
          <w:highlight w:val="none"/>
          <w:lang w:val="fr-FR" w:eastAsia="zh-CN" w:bidi="ar-SA"/>
        </w:rPr>
        <w:t xml:space="preserve"> du Client</w:t>
      </w:r>
      <w:r>
        <w:rPr>
          <w:rFonts w:ascii="Times New Roman" w:hAnsi="Times New Roman" w:eastAsia="宋体" w:cs="Times New Roman"/>
          <w:bCs/>
          <w:color w:val="000000"/>
          <w:kern w:val="2"/>
          <w:sz w:val="21"/>
          <w:szCs w:val="21"/>
          <w:highlight w:val="none"/>
          <w:lang w:val="fr-FR" w:eastAsia="zh-CN" w:bidi="ar-SA"/>
        </w:rPr>
        <w:t xml:space="preserve">, </w:t>
      </w:r>
      <w:r>
        <w:rPr>
          <w:rFonts w:hint="eastAsia" w:cs="Times New Roman"/>
          <w:bCs/>
          <w:color w:val="000000"/>
          <w:kern w:val="2"/>
          <w:sz w:val="21"/>
          <w:szCs w:val="21"/>
          <w:highlight w:val="none"/>
          <w:lang w:val="fr-FR" w:eastAsia="zh-CN" w:bidi="ar-SA"/>
        </w:rPr>
        <w:t>le Prestataire</w:t>
      </w:r>
      <w:r>
        <w:rPr>
          <w:rFonts w:ascii="Times New Roman" w:hAnsi="Times New Roman" w:eastAsia="宋体" w:cs="Times New Roman"/>
          <w:bCs/>
          <w:color w:val="000000"/>
          <w:kern w:val="2"/>
          <w:sz w:val="21"/>
          <w:szCs w:val="21"/>
          <w:highlight w:val="none"/>
          <w:lang w:val="fr-FR" w:eastAsia="zh-CN" w:bidi="ar-SA"/>
        </w:rPr>
        <w:t xml:space="preserve"> ne divulguera ces informations à aucun tiers sous quelque forme que ce soit, ni ne les publiera sur des plateformes ou médias publics tels qu</w:t>
      </w:r>
      <w:r>
        <w:rPr>
          <w:rFonts w:hint="eastAsia" w:cs="Times New Roman"/>
          <w:bCs/>
          <w:color w:val="000000"/>
          <w:kern w:val="2"/>
          <w:sz w:val="21"/>
          <w:szCs w:val="21"/>
          <w:highlight w:val="none"/>
          <w:lang w:val="fr-FR" w:eastAsia="zh-CN" w:bidi="ar-SA"/>
        </w:rPr>
        <w:t>'</w:t>
      </w:r>
      <w:r>
        <w:rPr>
          <w:rFonts w:ascii="Times New Roman" w:hAnsi="Times New Roman" w:eastAsia="宋体" w:cs="Times New Roman"/>
          <w:bCs/>
          <w:color w:val="000000"/>
          <w:kern w:val="2"/>
          <w:sz w:val="21"/>
          <w:szCs w:val="21"/>
          <w:highlight w:val="none"/>
          <w:lang w:val="fr-FR" w:eastAsia="zh-CN" w:bidi="ar-SA"/>
        </w:rPr>
        <w:t>Internet, journaux, revues, réseaux sociaux, etc.</w:t>
      </w:r>
    </w:p>
    <w:p w14:paraId="3782D9CC">
      <w:pPr>
        <w:numPr>
          <w:ilvl w:val="0"/>
          <w:numId w:val="0"/>
        </w:numPr>
        <w:spacing w:line="360" w:lineRule="auto"/>
        <w:ind w:left="0" w:leftChars="0" w:firstLine="420" w:firstLineChars="200"/>
        <w:rPr>
          <w:rFonts w:hint="default" w:ascii="Times New Roman" w:hAnsi="Times New Roman" w:cs="Times New Roman"/>
          <w:b w:val="0"/>
          <w:bCs w:val="0"/>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bidi="ar-SA"/>
        </w:rPr>
        <w:t>（</w:t>
      </w:r>
      <w:r>
        <w:rPr>
          <w:rFonts w:hint="default" w:ascii="Times New Roman" w:hAnsi="Times New Roman" w:cs="Times New Roman"/>
          <w:b w:val="0"/>
          <w:bCs w:val="0"/>
          <w:kern w:val="2"/>
          <w:sz w:val="21"/>
          <w:szCs w:val="21"/>
          <w:highlight w:val="none"/>
          <w:lang w:val="en-US" w:eastAsia="zh-CN" w:bidi="ar-SA"/>
        </w:rPr>
        <w:t>II</w:t>
      </w:r>
      <w:r>
        <w:rPr>
          <w:rFonts w:hint="default" w:ascii="Times New Roman" w:hAnsi="Times New Roman" w:eastAsia="宋体" w:cs="Times New Roman"/>
          <w:b w:val="0"/>
          <w:bCs w:val="0"/>
          <w:kern w:val="2"/>
          <w:sz w:val="21"/>
          <w:szCs w:val="21"/>
          <w:highlight w:val="none"/>
          <w:lang w:val="en-US" w:eastAsia="zh-CN" w:bidi="ar-SA"/>
        </w:rPr>
        <w:t>）</w:t>
      </w:r>
      <w:r>
        <w:rPr>
          <w:rFonts w:hint="default" w:ascii="Times New Roman" w:hAnsi="Times New Roman" w:cs="Times New Roman"/>
          <w:b w:val="0"/>
          <w:bCs w:val="0"/>
          <w:szCs w:val="21"/>
          <w:highlight w:val="none"/>
          <w:lang w:val="en-US" w:eastAsia="zh-CN"/>
        </w:rPr>
        <w:t>禁止行为</w:t>
      </w:r>
      <w:r>
        <w:rPr>
          <w:rFonts w:hint="eastAsia" w:ascii="Times New Roman" w:hAnsi="Times New Roman" w:cs="Times New Roman"/>
          <w:b w:val="0"/>
          <w:bCs w:val="0"/>
          <w:szCs w:val="21"/>
          <w:highlight w:val="none"/>
          <w:lang w:val="en-US" w:eastAsia="zh-CN"/>
        </w:rPr>
        <w:t xml:space="preserve"> </w:t>
      </w:r>
      <w:r>
        <w:rPr>
          <w:rFonts w:ascii="Times New Roman" w:hAnsi="Times New Roman" w:eastAsia="宋体" w:cs="Times New Roman"/>
          <w:bCs/>
          <w:color w:val="000000"/>
          <w:kern w:val="2"/>
          <w:sz w:val="21"/>
          <w:szCs w:val="21"/>
          <w:highlight w:val="none"/>
          <w:lang w:val="fr-FR" w:eastAsia="zh-CN" w:bidi="ar-SA"/>
        </w:rPr>
        <w:t>Interdictions</w:t>
      </w:r>
    </w:p>
    <w:p w14:paraId="76EA78EF">
      <w:pPr>
        <w:pStyle w:val="28"/>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outlineLvl w:val="9"/>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乙方不得将保密信息用于本合同约定以外的任何目的，且应采取与保护自身商业秘密同等程度的保密措施（至少达到行业合理标准）防止信息泄露。</w:t>
      </w:r>
    </w:p>
    <w:p w14:paraId="78809106">
      <w:pPr>
        <w:numPr>
          <w:ilvl w:val="0"/>
          <w:numId w:val="0"/>
        </w:numPr>
        <w:spacing w:line="360" w:lineRule="auto"/>
        <w:ind w:left="0" w:leftChars="0" w:firstLine="420" w:firstLineChars="200"/>
        <w:rPr>
          <w:rFonts w:hint="default" w:ascii="Times New Roman" w:hAnsi="Times New Roman" w:eastAsia="宋体" w:cs="Times New Roman"/>
          <w:b w:val="0"/>
          <w:bCs w:val="0"/>
          <w:kern w:val="2"/>
          <w:sz w:val="21"/>
          <w:szCs w:val="21"/>
          <w:highlight w:val="none"/>
          <w:lang w:val="en-US" w:eastAsia="zh-CN" w:bidi="ar-SA"/>
        </w:rPr>
      </w:pPr>
      <w:r>
        <w:rPr>
          <w:rFonts w:hint="eastAsia" w:cs="Times New Roman"/>
          <w:bCs/>
          <w:color w:val="000000"/>
          <w:kern w:val="2"/>
          <w:sz w:val="21"/>
          <w:szCs w:val="21"/>
          <w:highlight w:val="none"/>
          <w:lang w:val="fr-FR" w:eastAsia="zh-CN" w:bidi="ar-SA"/>
        </w:rPr>
        <w:t>Le Prestataire</w:t>
      </w:r>
      <w:r>
        <w:rPr>
          <w:rFonts w:ascii="Times New Roman" w:hAnsi="Times New Roman" w:eastAsia="宋体" w:cs="Times New Roman"/>
          <w:bCs/>
          <w:color w:val="000000"/>
          <w:kern w:val="2"/>
          <w:sz w:val="21"/>
          <w:szCs w:val="21"/>
          <w:highlight w:val="none"/>
          <w:lang w:val="fr-FR" w:eastAsia="zh-CN" w:bidi="ar-SA"/>
        </w:rPr>
        <w:t xml:space="preserve"> ne peut utiliser les informations confidentielles à d</w:t>
      </w:r>
      <w:r>
        <w:rPr>
          <w:rFonts w:hint="eastAsia" w:cs="Times New Roman"/>
          <w:bCs/>
          <w:color w:val="000000"/>
          <w:kern w:val="2"/>
          <w:sz w:val="21"/>
          <w:szCs w:val="21"/>
          <w:highlight w:val="none"/>
          <w:lang w:val="fr-FR" w:eastAsia="zh-CN" w:bidi="ar-SA"/>
        </w:rPr>
        <w:t>'</w:t>
      </w:r>
      <w:r>
        <w:rPr>
          <w:rFonts w:ascii="Times New Roman" w:hAnsi="Times New Roman" w:eastAsia="宋体" w:cs="Times New Roman"/>
          <w:bCs/>
          <w:color w:val="000000"/>
          <w:kern w:val="2"/>
          <w:sz w:val="21"/>
          <w:szCs w:val="21"/>
          <w:highlight w:val="none"/>
          <w:lang w:val="fr-FR" w:eastAsia="zh-CN" w:bidi="ar-SA"/>
        </w:rPr>
        <w:t xml:space="preserve">autres fins que celles prévues par le présent contrat. </w:t>
      </w:r>
      <w:r>
        <w:rPr>
          <w:rFonts w:hint="eastAsia" w:cs="Times New Roman"/>
          <w:bCs/>
          <w:color w:val="000000"/>
          <w:kern w:val="2"/>
          <w:sz w:val="21"/>
          <w:szCs w:val="21"/>
          <w:highlight w:val="none"/>
          <w:lang w:val="en-US" w:eastAsia="zh-CN" w:bidi="ar-SA"/>
        </w:rPr>
        <w:t>Il</w:t>
      </w:r>
      <w:r>
        <w:rPr>
          <w:rFonts w:ascii="Times New Roman" w:hAnsi="Times New Roman" w:eastAsia="宋体" w:cs="Times New Roman"/>
          <w:bCs/>
          <w:color w:val="000000"/>
          <w:kern w:val="2"/>
          <w:sz w:val="21"/>
          <w:szCs w:val="21"/>
          <w:highlight w:val="none"/>
          <w:lang w:val="fr-FR" w:eastAsia="zh-CN" w:bidi="ar-SA"/>
        </w:rPr>
        <w:t xml:space="preserve"> doit prendre des mesures de protection équivalentes à celles appliquées à ses propres secrets commerciaux (au moins conformes aux standards raisonnables d</w:t>
      </w:r>
      <w:r>
        <w:rPr>
          <w:rFonts w:hint="eastAsia" w:cs="Times New Roman"/>
          <w:bCs/>
          <w:color w:val="000000"/>
          <w:kern w:val="2"/>
          <w:sz w:val="21"/>
          <w:szCs w:val="21"/>
          <w:highlight w:val="none"/>
          <w:lang w:val="en-US" w:eastAsia="zh-CN" w:bidi="ar-SA"/>
        </w:rPr>
        <w:t>e la profession</w:t>
      </w:r>
      <w:r>
        <w:rPr>
          <w:rFonts w:ascii="Times New Roman" w:hAnsi="Times New Roman" w:eastAsia="宋体" w:cs="Times New Roman"/>
          <w:bCs/>
          <w:color w:val="000000"/>
          <w:kern w:val="2"/>
          <w:sz w:val="21"/>
          <w:szCs w:val="21"/>
          <w:highlight w:val="none"/>
          <w:lang w:val="fr-FR" w:eastAsia="zh-CN" w:bidi="ar-SA"/>
        </w:rPr>
        <w:t>) pour prévenir toute divulgation.</w:t>
      </w:r>
    </w:p>
    <w:p w14:paraId="5F333048">
      <w:pPr>
        <w:numPr>
          <w:ilvl w:val="0"/>
          <w:numId w:val="0"/>
        </w:numPr>
        <w:spacing w:line="360" w:lineRule="auto"/>
        <w:ind w:left="0" w:leftChars="0" w:firstLine="420" w:firstLineChars="200"/>
        <w:rPr>
          <w:rFonts w:hint="default" w:ascii="Times New Roman" w:hAnsi="Times New Roman" w:cs="Times New Roman"/>
          <w:b w:val="0"/>
          <w:bCs w:val="0"/>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bidi="ar-SA"/>
        </w:rPr>
        <w:t>（</w:t>
      </w:r>
      <w:r>
        <w:rPr>
          <w:rFonts w:hint="default" w:ascii="Times New Roman" w:hAnsi="Times New Roman" w:cs="Times New Roman"/>
          <w:b w:val="0"/>
          <w:bCs w:val="0"/>
          <w:kern w:val="2"/>
          <w:sz w:val="21"/>
          <w:szCs w:val="21"/>
          <w:highlight w:val="none"/>
          <w:lang w:val="en-US" w:eastAsia="zh-CN" w:bidi="ar-SA"/>
        </w:rPr>
        <w:t>III</w:t>
      </w:r>
      <w:r>
        <w:rPr>
          <w:rFonts w:hint="default" w:ascii="Times New Roman" w:hAnsi="Times New Roman" w:eastAsia="宋体" w:cs="Times New Roman"/>
          <w:b w:val="0"/>
          <w:bCs w:val="0"/>
          <w:kern w:val="2"/>
          <w:sz w:val="21"/>
          <w:szCs w:val="21"/>
          <w:highlight w:val="none"/>
          <w:lang w:val="en-US" w:eastAsia="zh-CN" w:bidi="ar-SA"/>
        </w:rPr>
        <w:t>）</w:t>
      </w:r>
      <w:r>
        <w:rPr>
          <w:rFonts w:hint="default" w:ascii="Times New Roman" w:hAnsi="Times New Roman" w:cs="Times New Roman"/>
          <w:b w:val="0"/>
          <w:bCs w:val="0"/>
          <w:szCs w:val="21"/>
          <w:highlight w:val="none"/>
          <w:lang w:val="en-US" w:eastAsia="zh-CN"/>
        </w:rPr>
        <w:t>违约责任</w:t>
      </w:r>
      <w:r>
        <w:rPr>
          <w:rFonts w:hint="eastAsia" w:ascii="Times New Roman" w:hAnsi="Times New Roman" w:cs="Times New Roman"/>
          <w:b w:val="0"/>
          <w:bCs w:val="0"/>
          <w:szCs w:val="21"/>
          <w:highlight w:val="none"/>
          <w:lang w:val="en-US" w:eastAsia="zh-CN"/>
        </w:rPr>
        <w:t xml:space="preserve"> </w:t>
      </w:r>
      <w:r>
        <w:rPr>
          <w:rFonts w:ascii="Times New Roman" w:hAnsi="Times New Roman" w:eastAsia="宋体" w:cs="Times New Roman"/>
          <w:bCs/>
          <w:color w:val="000000"/>
          <w:kern w:val="2"/>
          <w:sz w:val="21"/>
          <w:szCs w:val="21"/>
          <w:highlight w:val="none"/>
          <w:lang w:val="fr-FR" w:eastAsia="zh-CN" w:bidi="ar-SA"/>
        </w:rPr>
        <w:t>Responsabilité en cas de violation</w:t>
      </w:r>
    </w:p>
    <w:p w14:paraId="0548F85E">
      <w:pPr>
        <w:pStyle w:val="28"/>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outlineLvl w:val="9"/>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如乙方违反本条保密义务，甲方有权立即采取以下措施：</w:t>
      </w:r>
    </w:p>
    <w:p w14:paraId="14AF6CF7">
      <w:pPr>
        <w:pStyle w:val="28"/>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outlineLvl w:val="9"/>
        <w:rPr>
          <w:rFonts w:hint="default" w:ascii="Times New Roman" w:hAnsi="Times New Roman" w:eastAsia="宋体" w:cs="Times New Roman"/>
          <w:kern w:val="2"/>
          <w:sz w:val="21"/>
          <w:szCs w:val="21"/>
          <w:highlight w:val="none"/>
          <w:lang w:val="en-US" w:eastAsia="zh-CN" w:bidi="ar-SA"/>
        </w:rPr>
      </w:pPr>
      <w:r>
        <w:rPr>
          <w:rFonts w:ascii="Times New Roman" w:hAnsi="Times New Roman" w:eastAsia="宋体" w:cs="Times New Roman"/>
          <w:bCs/>
          <w:color w:val="000000"/>
          <w:kern w:val="2"/>
          <w:sz w:val="21"/>
          <w:szCs w:val="21"/>
          <w:highlight w:val="none"/>
          <w:lang w:val="fr-FR" w:eastAsia="zh-CN" w:bidi="ar-SA"/>
        </w:rPr>
        <w:t xml:space="preserve">En cas de violation par </w:t>
      </w:r>
      <w:r>
        <w:rPr>
          <w:rFonts w:hint="eastAsia" w:cs="Times New Roman"/>
          <w:bCs/>
          <w:color w:val="000000"/>
          <w:kern w:val="2"/>
          <w:sz w:val="21"/>
          <w:szCs w:val="21"/>
          <w:highlight w:val="none"/>
          <w:lang w:val="fr-FR" w:eastAsia="zh-CN" w:bidi="ar-SA"/>
        </w:rPr>
        <w:t>le Prestataire</w:t>
      </w:r>
      <w:r>
        <w:rPr>
          <w:rFonts w:ascii="Times New Roman" w:hAnsi="Times New Roman" w:eastAsia="宋体" w:cs="Times New Roman"/>
          <w:bCs/>
          <w:color w:val="000000"/>
          <w:kern w:val="2"/>
          <w:sz w:val="21"/>
          <w:szCs w:val="21"/>
          <w:highlight w:val="none"/>
          <w:lang w:val="fr-FR" w:eastAsia="zh-CN" w:bidi="ar-SA"/>
        </w:rPr>
        <w:t xml:space="preserve"> des obligations de confidentialité stipulées dans le présent article, </w:t>
      </w:r>
      <w:r>
        <w:rPr>
          <w:rFonts w:hint="eastAsia" w:cs="Times New Roman"/>
          <w:bCs/>
          <w:color w:val="000000"/>
          <w:kern w:val="2"/>
          <w:sz w:val="21"/>
          <w:szCs w:val="21"/>
          <w:highlight w:val="none"/>
          <w:lang w:val="fr-FR" w:eastAsia="zh-CN" w:bidi="ar-SA"/>
        </w:rPr>
        <w:t>le Client</w:t>
      </w:r>
      <w:r>
        <w:rPr>
          <w:rFonts w:ascii="Times New Roman" w:hAnsi="Times New Roman" w:eastAsia="宋体" w:cs="Times New Roman"/>
          <w:bCs/>
          <w:color w:val="000000"/>
          <w:kern w:val="2"/>
          <w:sz w:val="21"/>
          <w:szCs w:val="21"/>
          <w:highlight w:val="none"/>
          <w:lang w:val="fr-FR" w:eastAsia="zh-CN" w:bidi="ar-SA"/>
        </w:rPr>
        <w:t xml:space="preserve"> a le droit de prendre immédiatement les mesures suivantes :</w:t>
      </w:r>
    </w:p>
    <w:p w14:paraId="572FA0F6">
      <w:pPr>
        <w:pStyle w:val="28"/>
        <w:keepNext w:val="0"/>
        <w:keepLines w:val="0"/>
        <w:pageBreakBefore w:val="0"/>
        <w:widowControl/>
        <w:numPr>
          <w:ilvl w:val="0"/>
          <w:numId w:val="13"/>
        </w:numPr>
        <w:suppressLineNumbers w:val="0"/>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outlineLvl w:val="9"/>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暂停乙方运输资格或合同约定的其他服务权限；</w:t>
      </w:r>
    </w:p>
    <w:p w14:paraId="24AD9950">
      <w:pPr>
        <w:pStyle w:val="28"/>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firstLine="630" w:firstLineChars="300"/>
        <w:jc w:val="both"/>
        <w:textAlignment w:val="auto"/>
        <w:outlineLvl w:val="9"/>
        <w:rPr>
          <w:rFonts w:hint="default" w:ascii="Times New Roman" w:hAnsi="Times New Roman" w:eastAsia="宋体" w:cs="Times New Roman"/>
          <w:kern w:val="2"/>
          <w:sz w:val="21"/>
          <w:szCs w:val="21"/>
          <w:highlight w:val="none"/>
          <w:lang w:val="en-US" w:eastAsia="zh-CN" w:bidi="ar-SA"/>
        </w:rPr>
      </w:pPr>
      <w:r>
        <w:rPr>
          <w:rFonts w:ascii="Times New Roman" w:hAnsi="Times New Roman" w:eastAsia="宋体" w:cs="Times New Roman"/>
          <w:bCs/>
          <w:color w:val="000000"/>
          <w:kern w:val="2"/>
          <w:sz w:val="21"/>
          <w:szCs w:val="21"/>
          <w:highlight w:val="none"/>
          <w:lang w:val="fr-FR" w:eastAsia="zh-CN" w:bidi="ar-SA"/>
        </w:rPr>
        <w:t>Suspendre la qualification de transport</w:t>
      </w:r>
      <w:r>
        <w:rPr>
          <w:rFonts w:hint="eastAsia" w:cs="Times New Roman"/>
          <w:bCs/>
          <w:color w:val="000000"/>
          <w:kern w:val="2"/>
          <w:sz w:val="21"/>
          <w:szCs w:val="21"/>
          <w:highlight w:val="none"/>
          <w:lang w:val="fr-FR" w:eastAsia="zh-CN" w:bidi="ar-SA"/>
        </w:rPr>
        <w:t xml:space="preserve"> du Prestataire</w:t>
      </w:r>
      <w:r>
        <w:rPr>
          <w:rFonts w:ascii="Times New Roman" w:hAnsi="Times New Roman" w:eastAsia="宋体" w:cs="Times New Roman"/>
          <w:bCs/>
          <w:color w:val="000000"/>
          <w:kern w:val="2"/>
          <w:sz w:val="21"/>
          <w:szCs w:val="21"/>
          <w:highlight w:val="none"/>
          <w:lang w:val="fr-FR" w:eastAsia="zh-CN" w:bidi="ar-SA"/>
        </w:rPr>
        <w:t xml:space="preserve"> ou tout autre droit de service convenu dans le contrat ;</w:t>
      </w:r>
    </w:p>
    <w:p w14:paraId="3EAA824C">
      <w:pPr>
        <w:pStyle w:val="28"/>
        <w:keepNext w:val="0"/>
        <w:keepLines w:val="0"/>
        <w:pageBreakBefore w:val="0"/>
        <w:widowControl/>
        <w:numPr>
          <w:ilvl w:val="0"/>
          <w:numId w:val="13"/>
        </w:numPr>
        <w:suppressLineNumbers w:val="0"/>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outlineLvl w:val="9"/>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要求乙方在7日内消除影响（如删除公开信息、发布撤回声明等）；</w:t>
      </w:r>
    </w:p>
    <w:p w14:paraId="42FE706D">
      <w:pPr>
        <w:pStyle w:val="28"/>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firstLine="630" w:firstLineChars="300"/>
        <w:jc w:val="both"/>
        <w:textAlignment w:val="auto"/>
        <w:outlineLvl w:val="9"/>
        <w:rPr>
          <w:rFonts w:hint="default" w:ascii="Times New Roman" w:hAnsi="Times New Roman" w:eastAsia="宋体" w:cs="Times New Roman"/>
          <w:kern w:val="2"/>
          <w:sz w:val="21"/>
          <w:szCs w:val="21"/>
          <w:highlight w:val="none"/>
          <w:lang w:val="en-US" w:eastAsia="zh-CN" w:bidi="ar-SA"/>
        </w:rPr>
      </w:pPr>
      <w:r>
        <w:rPr>
          <w:rFonts w:ascii="Times New Roman" w:hAnsi="Times New Roman" w:eastAsia="宋体" w:cs="Times New Roman"/>
          <w:bCs/>
          <w:color w:val="000000"/>
          <w:kern w:val="2"/>
          <w:sz w:val="21"/>
          <w:szCs w:val="21"/>
          <w:highlight w:val="none"/>
          <w:lang w:val="fr-FR" w:eastAsia="zh-CN" w:bidi="ar-SA"/>
        </w:rPr>
        <w:t xml:space="preserve">Exiger que </w:t>
      </w:r>
      <w:r>
        <w:rPr>
          <w:rFonts w:hint="eastAsia" w:cs="Times New Roman"/>
          <w:bCs/>
          <w:color w:val="000000"/>
          <w:kern w:val="2"/>
          <w:sz w:val="21"/>
          <w:szCs w:val="21"/>
          <w:highlight w:val="none"/>
          <w:lang w:val="fr-FR" w:eastAsia="zh-CN" w:bidi="ar-SA"/>
        </w:rPr>
        <w:t>le Prestataire</w:t>
      </w:r>
      <w:r>
        <w:rPr>
          <w:rFonts w:ascii="Times New Roman" w:hAnsi="Times New Roman" w:eastAsia="宋体" w:cs="Times New Roman"/>
          <w:bCs/>
          <w:color w:val="000000"/>
          <w:kern w:val="2"/>
          <w:sz w:val="21"/>
          <w:szCs w:val="21"/>
          <w:highlight w:val="none"/>
          <w:lang w:val="fr-FR" w:eastAsia="zh-CN" w:bidi="ar-SA"/>
        </w:rPr>
        <w:t xml:space="preserve"> supprime les impacts dans un délai de</w:t>
      </w:r>
      <w:r>
        <w:rPr>
          <w:rFonts w:hint="default" w:ascii="Times New Roman" w:hAnsi="Times New Roman" w:eastAsia="宋体" w:cs="Times New Roman"/>
          <w:bCs/>
          <w:color w:val="000000"/>
          <w:kern w:val="2"/>
          <w:sz w:val="21"/>
          <w:szCs w:val="21"/>
          <w:highlight w:val="none"/>
          <w:lang w:val="fr-FR" w:eastAsia="zh-CN" w:bidi="ar-SA"/>
        </w:rPr>
        <w:t> 7 jours (par exemple, retirer les informations publiées, publier une déclaration de rétractation, etc.)</w:t>
      </w:r>
    </w:p>
    <w:p w14:paraId="16BA7F54">
      <w:pPr>
        <w:pStyle w:val="28"/>
        <w:keepNext w:val="0"/>
        <w:keepLines w:val="0"/>
        <w:pageBreakBefore w:val="0"/>
        <w:widowControl/>
        <w:numPr>
          <w:ilvl w:val="0"/>
          <w:numId w:val="13"/>
        </w:numPr>
        <w:suppressLineNumbers w:val="0"/>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outlineLvl w:val="9"/>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kern w:val="2"/>
          <w:sz w:val="21"/>
          <w:szCs w:val="21"/>
          <w:highlight w:val="none"/>
          <w:lang w:val="en-US" w:eastAsia="zh-CN" w:bidi="ar-SA"/>
        </w:rPr>
        <w:t>考核当月结算</w:t>
      </w:r>
      <w:r>
        <w:rPr>
          <w:rFonts w:hint="default" w:ascii="Times New Roman" w:hAnsi="Times New Roman" w:eastAsia="宋体" w:cs="Times New Roman"/>
          <w:kern w:val="2"/>
          <w:sz w:val="21"/>
          <w:szCs w:val="21"/>
          <w:highlight w:val="none"/>
          <w:lang w:val="en-US" w:eastAsia="zh-CN" w:bidi="ar-SA"/>
        </w:rPr>
        <w:t>额</w:t>
      </w:r>
      <w:r>
        <w:rPr>
          <w:rFonts w:hint="default" w:ascii="Times New Roman" w:hAnsi="Times New Roman" w:cs="Times New Roman"/>
          <w:kern w:val="2"/>
          <w:sz w:val="21"/>
          <w:szCs w:val="21"/>
          <w:highlight w:val="none"/>
          <w:lang w:val="en-US" w:eastAsia="zh-CN" w:bidi="ar-SA"/>
        </w:rPr>
        <w:t>的</w:t>
      </w:r>
      <w:r>
        <w:rPr>
          <w:rFonts w:hint="default" w:ascii="Times New Roman" w:hAnsi="Times New Roman" w:eastAsia="宋体" w:cs="Times New Roman"/>
          <w:kern w:val="2"/>
          <w:sz w:val="21"/>
          <w:szCs w:val="21"/>
          <w:highlight w:val="none"/>
          <w:lang w:val="en-US" w:eastAsia="zh-CN" w:bidi="ar-SA"/>
        </w:rPr>
        <w:t>10%，或追偿因此给甲方造成的全部损失（包括直接损失、间接损失及维权费用）；</w:t>
      </w:r>
    </w:p>
    <w:p w14:paraId="5F4F7750">
      <w:pPr>
        <w:pStyle w:val="28"/>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firstLine="630" w:firstLineChars="300"/>
        <w:jc w:val="both"/>
        <w:textAlignment w:val="auto"/>
        <w:outlineLvl w:val="9"/>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kern w:val="2"/>
          <w:sz w:val="21"/>
          <w:szCs w:val="21"/>
          <w:highlight w:val="none"/>
          <w:lang w:val="en-US" w:eastAsia="zh-CN" w:bidi="ar-SA"/>
        </w:rPr>
        <w:t>D</w:t>
      </w:r>
      <w:r>
        <w:rPr>
          <w:rFonts w:hint="default" w:ascii="Times New Roman" w:hAnsi="Times New Roman" w:eastAsia="宋体" w:cs="Times New Roman"/>
          <w:kern w:val="2"/>
          <w:sz w:val="21"/>
          <w:szCs w:val="21"/>
          <w:highlight w:val="none"/>
          <w:lang w:val="en-US" w:eastAsia="zh-CN" w:bidi="ar-SA"/>
        </w:rPr>
        <w:t>éduire 10 % du montant de règlement du mois en cours, ou réclamer l</w:t>
      </w:r>
      <w:r>
        <w:rPr>
          <w:rFonts w:hint="eastAsia" w:ascii="Times New Roman" w:hAnsi="Times New Roman" w:cs="Times New Roman"/>
          <w:kern w:val="2"/>
          <w:sz w:val="21"/>
          <w:szCs w:val="21"/>
          <w:highlight w:val="none"/>
          <w:lang w:val="en-US" w:eastAsia="zh-CN" w:bidi="ar-SA"/>
        </w:rPr>
        <w:t>'</w:t>
      </w:r>
      <w:r>
        <w:rPr>
          <w:rFonts w:hint="default" w:ascii="Times New Roman" w:hAnsi="Times New Roman" w:eastAsia="宋体" w:cs="Times New Roman"/>
          <w:kern w:val="2"/>
          <w:sz w:val="21"/>
          <w:szCs w:val="21"/>
          <w:highlight w:val="none"/>
          <w:lang w:val="en-US" w:eastAsia="zh-CN" w:bidi="ar-SA"/>
        </w:rPr>
        <w:t>indemnisation de l</w:t>
      </w:r>
      <w:r>
        <w:rPr>
          <w:rFonts w:hint="eastAsia" w:ascii="Times New Roman" w:hAnsi="Times New Roman" w:cs="Times New Roman"/>
          <w:kern w:val="2"/>
          <w:sz w:val="21"/>
          <w:szCs w:val="21"/>
          <w:highlight w:val="none"/>
          <w:lang w:val="en-US" w:eastAsia="zh-CN" w:bidi="ar-SA"/>
        </w:rPr>
        <w:t>'</w:t>
      </w:r>
      <w:r>
        <w:rPr>
          <w:rFonts w:hint="default" w:ascii="Times New Roman" w:hAnsi="Times New Roman" w:eastAsia="宋体" w:cs="Times New Roman"/>
          <w:kern w:val="2"/>
          <w:sz w:val="21"/>
          <w:szCs w:val="21"/>
          <w:highlight w:val="none"/>
          <w:lang w:val="en-US" w:eastAsia="zh-CN" w:bidi="ar-SA"/>
        </w:rPr>
        <w:t>intégralité des dommages et pertes subis par le Client du fait de cela (y compris les dommages directs, les dommages indirects ainsi que les frais de défense légale et de recours) ;</w:t>
      </w:r>
    </w:p>
    <w:p w14:paraId="021D9684">
      <w:pPr>
        <w:pStyle w:val="28"/>
        <w:keepNext w:val="0"/>
        <w:keepLines w:val="0"/>
        <w:pageBreakBefore w:val="0"/>
        <w:widowControl/>
        <w:numPr>
          <w:ilvl w:val="0"/>
          <w:numId w:val="13"/>
        </w:numPr>
        <w:suppressLineNumbers w:val="0"/>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outlineLvl w:val="9"/>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情节严重者，甲方有权单方解除合同，并依法追究乙方法律责任。</w:t>
      </w:r>
    </w:p>
    <w:p w14:paraId="6257EEA2">
      <w:pPr>
        <w:pStyle w:val="28"/>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firstLine="630" w:firstLineChars="300"/>
        <w:jc w:val="both"/>
        <w:textAlignment w:val="auto"/>
        <w:outlineLvl w:val="9"/>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En cas de violation grave, le Client se réserve le droit de résilier unilatéralement le contrat et de poursuivre le Prestataire en responsabilité légale.</w:t>
      </w:r>
    </w:p>
    <w:p w14:paraId="428CB50E">
      <w:pPr>
        <w:numPr>
          <w:ilvl w:val="0"/>
          <w:numId w:val="7"/>
        </w:numPr>
        <w:spacing w:line="360" w:lineRule="auto"/>
        <w:ind w:left="0" w:firstLine="422" w:firstLineChars="200"/>
        <w:rPr>
          <w:rFonts w:hint="default" w:ascii="Times New Roman" w:hAnsi="Times New Roman" w:cs="Times New Roman"/>
          <w:b/>
          <w:bCs/>
          <w:szCs w:val="21"/>
          <w:highlight w:val="none"/>
          <w:lang w:val="fr-FR"/>
        </w:rPr>
      </w:pPr>
      <w:r>
        <w:rPr>
          <w:rFonts w:hint="default" w:ascii="Times New Roman" w:hAnsi="Times New Roman" w:cs="Times New Roman"/>
          <w:b/>
          <w:bCs/>
          <w:szCs w:val="21"/>
          <w:highlight w:val="none"/>
        </w:rPr>
        <w:t>合同的变更和终止</w:t>
      </w:r>
    </w:p>
    <w:p w14:paraId="6E4FC37B">
      <w:pPr>
        <w:widowControl w:val="0"/>
        <w:numPr>
          <w:ilvl w:val="0"/>
          <w:numId w:val="0"/>
        </w:numPr>
        <w:spacing w:line="360" w:lineRule="auto"/>
        <w:ind w:firstLine="422" w:firstLineChars="200"/>
        <w:jc w:val="both"/>
        <w:rPr>
          <w:rFonts w:hint="default" w:ascii="Times New Roman" w:hAnsi="Times New Roman" w:cs="Times New Roman"/>
          <w:b/>
          <w:bCs/>
          <w:szCs w:val="21"/>
          <w:highlight w:val="none"/>
          <w:lang w:val="fr-FR"/>
        </w:rPr>
      </w:pPr>
      <w:r>
        <w:rPr>
          <w:b/>
          <w:color w:val="000000"/>
          <w:szCs w:val="21"/>
          <w:highlight w:val="none"/>
          <w:lang w:val="fr-FR"/>
        </w:rPr>
        <w:t>Article</w:t>
      </w:r>
      <w:r>
        <w:rPr>
          <w:rFonts w:hint="eastAsia"/>
          <w:b/>
          <w:color w:val="000000"/>
          <w:szCs w:val="21"/>
          <w:highlight w:val="none"/>
          <w:lang w:val="en-US" w:eastAsia="zh-CN"/>
        </w:rPr>
        <w:t xml:space="preserve"> VII</w:t>
      </w:r>
      <w:r>
        <w:rPr>
          <w:b/>
          <w:color w:val="000000"/>
          <w:szCs w:val="21"/>
          <w:highlight w:val="none"/>
          <w:lang w:val="fr-FR"/>
        </w:rPr>
        <w:t xml:space="preserve"> </w:t>
      </w:r>
      <w:r>
        <w:rPr>
          <w:rFonts w:hint="eastAsia"/>
          <w:b/>
          <w:color w:val="000000"/>
          <w:szCs w:val="21"/>
          <w:highlight w:val="none"/>
          <w:lang w:val="en-US" w:eastAsia="zh-CN"/>
        </w:rPr>
        <w:t xml:space="preserve"> </w:t>
      </w:r>
      <w:r>
        <w:rPr>
          <w:b/>
          <w:color w:val="000000"/>
          <w:szCs w:val="21"/>
          <w:highlight w:val="none"/>
          <w:lang w:val="fr-FR"/>
        </w:rPr>
        <w:t>Modification et résiliation du contrat</w:t>
      </w:r>
    </w:p>
    <w:p w14:paraId="6EEA1C96">
      <w:pPr>
        <w:numPr>
          <w:ilvl w:val="0"/>
          <w:numId w:val="14"/>
        </w:numPr>
        <w:spacing w:line="360" w:lineRule="auto"/>
        <w:ind w:left="0" w:leftChars="0"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甲方和乙方协商一致，可以变更或终止合同。</w:t>
      </w:r>
    </w:p>
    <w:p w14:paraId="78771995">
      <w:pPr>
        <w:widowControl w:val="0"/>
        <w:numPr>
          <w:ilvl w:val="0"/>
          <w:numId w:val="0"/>
        </w:numPr>
        <w:spacing w:line="360" w:lineRule="auto"/>
        <w:ind w:firstLine="630" w:firstLineChars="300"/>
        <w:jc w:val="both"/>
        <w:rPr>
          <w:rFonts w:hint="default" w:ascii="Times New Roman" w:hAnsi="Times New Roman" w:cs="Times New Roman"/>
          <w:szCs w:val="21"/>
          <w:highlight w:val="none"/>
          <w:lang w:val="fr-FR"/>
        </w:rPr>
      </w:pPr>
      <w:r>
        <w:rPr>
          <w:rFonts w:hint="eastAsia"/>
          <w:bCs/>
          <w:color w:val="000000"/>
          <w:szCs w:val="21"/>
          <w:highlight w:val="none"/>
          <w:lang w:val="fr-FR" w:eastAsia="zh-CN"/>
        </w:rPr>
        <w:t>Le Client</w:t>
      </w:r>
      <w:r>
        <w:rPr>
          <w:bCs/>
          <w:color w:val="000000"/>
          <w:szCs w:val="21"/>
          <w:highlight w:val="none"/>
          <w:lang w:val="fr-FR"/>
        </w:rPr>
        <w:t xml:space="preserve"> et </w:t>
      </w:r>
      <w:r>
        <w:rPr>
          <w:rFonts w:hint="eastAsia"/>
          <w:bCs/>
          <w:color w:val="000000"/>
          <w:szCs w:val="21"/>
          <w:highlight w:val="none"/>
          <w:lang w:val="fr-FR" w:eastAsia="zh-CN"/>
        </w:rPr>
        <w:t>le Prestataire</w:t>
      </w:r>
      <w:r>
        <w:rPr>
          <w:bCs/>
          <w:color w:val="000000"/>
          <w:szCs w:val="21"/>
          <w:highlight w:val="none"/>
          <w:lang w:val="fr-FR"/>
        </w:rPr>
        <w:t xml:space="preserve"> peuvent modifier ou résilier le contrat par consensus.</w:t>
      </w:r>
    </w:p>
    <w:p w14:paraId="03EFC51A">
      <w:pPr>
        <w:numPr>
          <w:ilvl w:val="0"/>
          <w:numId w:val="14"/>
        </w:numPr>
        <w:spacing w:line="360" w:lineRule="auto"/>
        <w:ind w:left="0" w:leftChars="0"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任何一方要求变更或终止合同时，应</w:t>
      </w:r>
      <w:r>
        <w:rPr>
          <w:rFonts w:hint="default" w:ascii="Times New Roman" w:hAnsi="Times New Roman" w:cs="Times New Roman"/>
          <w:szCs w:val="21"/>
          <w:highlight w:val="none"/>
          <w:lang w:val="en-US" w:eastAsia="zh-CN"/>
        </w:rPr>
        <w:t>提前三</w:t>
      </w:r>
      <w:r>
        <w:rPr>
          <w:rFonts w:hint="default" w:ascii="Times New Roman" w:hAnsi="Times New Roman" w:cs="Times New Roman"/>
          <w:szCs w:val="21"/>
          <w:highlight w:val="none"/>
        </w:rPr>
        <w:t>个月前以书面形式通知对方，并承担第</w:t>
      </w:r>
      <w:r>
        <w:rPr>
          <w:rFonts w:hint="default" w:ascii="Times New Roman" w:hAnsi="Times New Roman" w:cs="Times New Roman"/>
          <w:szCs w:val="21"/>
          <w:highlight w:val="none"/>
          <w:lang w:val="en-US" w:eastAsia="zh-CN"/>
        </w:rPr>
        <w:t>八</w:t>
      </w:r>
      <w:r>
        <w:rPr>
          <w:rFonts w:hint="default" w:ascii="Times New Roman" w:hAnsi="Times New Roman" w:cs="Times New Roman"/>
          <w:szCs w:val="21"/>
          <w:highlight w:val="none"/>
        </w:rPr>
        <w:t>条约定的违约责任。</w:t>
      </w:r>
    </w:p>
    <w:p w14:paraId="1D9AD06F">
      <w:pPr>
        <w:spacing w:line="360" w:lineRule="auto"/>
        <w:ind w:firstLine="630" w:firstLineChars="300"/>
        <w:rPr>
          <w:rFonts w:hint="default" w:ascii="Times New Roman" w:hAnsi="Times New Roman" w:cs="Times New Roman"/>
          <w:szCs w:val="21"/>
          <w:highlight w:val="none"/>
          <w:lang w:val="fr-FR"/>
        </w:rPr>
      </w:pPr>
      <w:r>
        <w:rPr>
          <w:bCs/>
          <w:color w:val="000000"/>
          <w:szCs w:val="21"/>
          <w:highlight w:val="none"/>
          <w:lang w:val="fr-FR"/>
        </w:rPr>
        <w:t>Chaque partie doit donner un préavis écrit d</w:t>
      </w:r>
      <w:r>
        <w:rPr>
          <w:rFonts w:hint="eastAsia"/>
          <w:bCs/>
          <w:color w:val="000000"/>
          <w:szCs w:val="21"/>
          <w:highlight w:val="none"/>
          <w:lang w:val="en-US" w:eastAsia="zh-CN"/>
        </w:rPr>
        <w:t>e trois</w:t>
      </w:r>
      <w:r>
        <w:rPr>
          <w:bCs/>
          <w:color w:val="000000"/>
          <w:szCs w:val="21"/>
          <w:highlight w:val="none"/>
          <w:lang w:val="fr-FR"/>
        </w:rPr>
        <w:t xml:space="preserve"> mois en avance à l'autre partie pour toute demande de modification ou de résiliation du contrat et assume la responsabilité en cas de violation du contrat comme stipulé à l'Article </w:t>
      </w:r>
      <w:r>
        <w:rPr>
          <w:rFonts w:hint="eastAsia"/>
          <w:bCs/>
          <w:color w:val="000000"/>
          <w:szCs w:val="21"/>
          <w:highlight w:val="none"/>
          <w:lang w:val="fr-FR"/>
        </w:rPr>
        <w:t>VII</w:t>
      </w:r>
      <w:r>
        <w:rPr>
          <w:rFonts w:hint="eastAsia"/>
          <w:bCs/>
          <w:color w:val="000000"/>
          <w:szCs w:val="21"/>
          <w:highlight w:val="none"/>
          <w:lang w:val="en-US" w:eastAsia="zh-CN"/>
        </w:rPr>
        <w:t>I</w:t>
      </w:r>
      <w:r>
        <w:rPr>
          <w:bCs/>
          <w:color w:val="000000"/>
          <w:szCs w:val="21"/>
          <w:highlight w:val="none"/>
          <w:lang w:val="fr-FR"/>
        </w:rPr>
        <w:t>.</w:t>
      </w:r>
    </w:p>
    <w:p w14:paraId="54F0B5C4">
      <w:pPr>
        <w:numPr>
          <w:ilvl w:val="0"/>
          <w:numId w:val="14"/>
        </w:numPr>
        <w:spacing w:line="360" w:lineRule="auto"/>
        <w:ind w:left="0" w:leftChars="0"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变更或终止合同有争议的，按合同第</w:t>
      </w:r>
      <w:r>
        <w:rPr>
          <w:rFonts w:hint="default" w:ascii="Times New Roman" w:hAnsi="Times New Roman" w:cs="Times New Roman"/>
          <w:szCs w:val="21"/>
          <w:highlight w:val="none"/>
          <w:lang w:val="en-US" w:eastAsia="zh-CN"/>
        </w:rPr>
        <w:t>十</w:t>
      </w:r>
      <w:r>
        <w:rPr>
          <w:rFonts w:hint="default" w:ascii="Times New Roman" w:hAnsi="Times New Roman" w:cs="Times New Roman"/>
          <w:szCs w:val="21"/>
          <w:highlight w:val="none"/>
        </w:rPr>
        <w:t>条约定处理。</w:t>
      </w:r>
    </w:p>
    <w:p w14:paraId="4037F743">
      <w:pPr>
        <w:widowControl w:val="0"/>
        <w:numPr>
          <w:ilvl w:val="0"/>
          <w:numId w:val="0"/>
        </w:numPr>
        <w:spacing w:line="360" w:lineRule="auto"/>
        <w:ind w:firstLine="630" w:firstLineChars="300"/>
        <w:jc w:val="both"/>
        <w:rPr>
          <w:rFonts w:hint="default" w:ascii="Times New Roman" w:hAnsi="Times New Roman" w:cs="Times New Roman"/>
          <w:szCs w:val="21"/>
          <w:highlight w:val="none"/>
        </w:rPr>
      </w:pPr>
      <w:r>
        <w:rPr>
          <w:bCs/>
          <w:color w:val="000000"/>
          <w:szCs w:val="21"/>
          <w:highlight w:val="none"/>
          <w:lang w:val="fr-FR"/>
        </w:rPr>
        <w:t xml:space="preserve">Les litiges concernant la modification ou la résiliation du contrat sont traités conformément à l'Article </w:t>
      </w:r>
      <w:r>
        <w:rPr>
          <w:rFonts w:hint="eastAsia"/>
          <w:bCs/>
          <w:color w:val="000000"/>
          <w:szCs w:val="21"/>
          <w:highlight w:val="none"/>
          <w:lang w:val="en-US" w:eastAsia="zh-CN"/>
        </w:rPr>
        <w:t>X</w:t>
      </w:r>
      <w:r>
        <w:rPr>
          <w:rFonts w:hint="eastAsia"/>
          <w:bCs/>
          <w:color w:val="000000"/>
          <w:szCs w:val="21"/>
          <w:highlight w:val="none"/>
          <w:lang w:val="fr-FR"/>
        </w:rPr>
        <w:t xml:space="preserve"> </w:t>
      </w:r>
      <w:r>
        <w:rPr>
          <w:bCs/>
          <w:color w:val="000000"/>
          <w:szCs w:val="21"/>
          <w:highlight w:val="none"/>
          <w:lang w:val="fr-FR"/>
        </w:rPr>
        <w:t>du contrat.</w:t>
      </w:r>
    </w:p>
    <w:p w14:paraId="7074940D">
      <w:pPr>
        <w:numPr>
          <w:ilvl w:val="0"/>
          <w:numId w:val="7"/>
        </w:numPr>
        <w:spacing w:line="360" w:lineRule="auto"/>
        <w:ind w:left="0" w:firstLine="422" w:firstLineChars="200"/>
        <w:rPr>
          <w:rFonts w:hint="default" w:ascii="Times New Roman" w:hAnsi="Times New Roman" w:cs="Times New Roman"/>
          <w:b/>
          <w:bCs/>
          <w:szCs w:val="21"/>
          <w:highlight w:val="none"/>
          <w:lang w:val="fr-FR"/>
        </w:rPr>
      </w:pPr>
      <w:r>
        <w:rPr>
          <w:rFonts w:hint="default" w:ascii="Times New Roman" w:hAnsi="Times New Roman" w:cs="Times New Roman"/>
          <w:b/>
          <w:bCs/>
          <w:szCs w:val="21"/>
          <w:highlight w:val="none"/>
        </w:rPr>
        <w:t>违约责任</w:t>
      </w:r>
    </w:p>
    <w:p w14:paraId="4F21D510">
      <w:pPr>
        <w:widowControl w:val="0"/>
        <w:numPr>
          <w:ilvl w:val="0"/>
          <w:numId w:val="0"/>
        </w:numPr>
        <w:spacing w:line="360" w:lineRule="auto"/>
        <w:ind w:firstLine="422" w:firstLineChars="200"/>
        <w:jc w:val="both"/>
        <w:rPr>
          <w:rFonts w:hint="default" w:ascii="Times New Roman" w:hAnsi="Times New Roman" w:cs="Times New Roman"/>
          <w:b/>
          <w:bCs/>
          <w:szCs w:val="21"/>
          <w:highlight w:val="none"/>
          <w:lang w:val="fr-FR"/>
        </w:rPr>
      </w:pPr>
      <w:r>
        <w:rPr>
          <w:b/>
          <w:color w:val="000000"/>
          <w:szCs w:val="21"/>
          <w:highlight w:val="none"/>
          <w:lang w:val="fr-FR"/>
        </w:rPr>
        <w:t xml:space="preserve">Article </w:t>
      </w:r>
      <w:r>
        <w:rPr>
          <w:rFonts w:hint="eastAsia"/>
          <w:b/>
          <w:color w:val="000000"/>
          <w:szCs w:val="21"/>
          <w:highlight w:val="none"/>
          <w:lang w:val="en-US" w:eastAsia="zh-CN"/>
        </w:rPr>
        <w:t>VIII</w:t>
      </w:r>
      <w:r>
        <w:rPr>
          <w:b/>
          <w:color w:val="000000"/>
          <w:szCs w:val="21"/>
          <w:highlight w:val="none"/>
          <w:lang w:val="fr-FR"/>
        </w:rPr>
        <w:t xml:space="preserve">  Responsabilité de rupture du contrat</w:t>
      </w:r>
    </w:p>
    <w:p w14:paraId="507825B5">
      <w:pPr>
        <w:numPr>
          <w:ilvl w:val="0"/>
          <w:numId w:val="15"/>
        </w:numPr>
        <w:spacing w:line="360" w:lineRule="auto"/>
        <w:ind w:left="0" w:leftChars="0"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甲方违反合同规定应承担</w:t>
      </w:r>
      <w:r>
        <w:rPr>
          <w:rFonts w:hint="default" w:ascii="Times New Roman" w:hAnsi="Times New Roman" w:cs="Times New Roman"/>
          <w:szCs w:val="21"/>
          <w:highlight w:val="none"/>
          <w:lang w:val="en-US" w:eastAsia="zh-CN"/>
        </w:rPr>
        <w:t>相应</w:t>
      </w:r>
      <w:r>
        <w:rPr>
          <w:rFonts w:hint="default" w:ascii="Times New Roman" w:hAnsi="Times New Roman" w:cs="Times New Roman"/>
          <w:szCs w:val="21"/>
          <w:highlight w:val="none"/>
        </w:rPr>
        <w:t>的违约责任</w:t>
      </w:r>
    </w:p>
    <w:p w14:paraId="2D9004BC">
      <w:pPr>
        <w:widowControl w:val="0"/>
        <w:numPr>
          <w:ilvl w:val="0"/>
          <w:numId w:val="0"/>
        </w:numPr>
        <w:spacing w:line="360" w:lineRule="auto"/>
        <w:ind w:firstLine="840" w:firstLineChars="400"/>
        <w:jc w:val="both"/>
        <w:rPr>
          <w:rFonts w:hint="default" w:ascii="Times New Roman" w:hAnsi="Times New Roman" w:cs="Times New Roman"/>
          <w:szCs w:val="21"/>
          <w:highlight w:val="none"/>
          <w:lang w:val="fr-FR"/>
        </w:rPr>
      </w:pPr>
      <w:r>
        <w:rPr>
          <w:rFonts w:hint="default" w:ascii="Times New Roman" w:hAnsi="Times New Roman" w:cs="Times New Roman"/>
          <w:szCs w:val="21"/>
          <w:highlight w:val="none"/>
          <w:lang w:val="fr-FR"/>
        </w:rPr>
        <w:t>Le Client, s</w:t>
      </w:r>
      <w:r>
        <w:rPr>
          <w:rFonts w:hint="eastAsia" w:ascii="Times New Roman" w:hAnsi="Times New Roman" w:cs="Times New Roman"/>
          <w:szCs w:val="21"/>
          <w:highlight w:val="none"/>
          <w:lang w:val="fr-FR" w:eastAsia="zh-CN"/>
        </w:rPr>
        <w:t>'</w:t>
      </w:r>
      <w:r>
        <w:rPr>
          <w:rFonts w:hint="default" w:ascii="Times New Roman" w:hAnsi="Times New Roman" w:cs="Times New Roman"/>
          <w:szCs w:val="21"/>
          <w:highlight w:val="none"/>
          <w:lang w:val="fr-FR"/>
        </w:rPr>
        <w:t>il viole les dispositions du présent contrat, doit assumer la responsabilité correspondante pour violation du contrat.</w:t>
      </w:r>
    </w:p>
    <w:p w14:paraId="7D11DBCC">
      <w:pPr>
        <w:numPr>
          <w:ilvl w:val="0"/>
          <w:numId w:val="15"/>
        </w:numPr>
        <w:spacing w:line="360" w:lineRule="auto"/>
        <w:ind w:left="0" w:leftChars="0"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乙方违反合同规定应承担</w:t>
      </w:r>
      <w:r>
        <w:rPr>
          <w:rFonts w:hint="default" w:ascii="Times New Roman" w:hAnsi="Times New Roman" w:cs="Times New Roman"/>
          <w:szCs w:val="21"/>
          <w:highlight w:val="none"/>
          <w:lang w:val="en-US" w:eastAsia="zh-CN"/>
        </w:rPr>
        <w:t>以下</w:t>
      </w:r>
      <w:r>
        <w:rPr>
          <w:rFonts w:hint="default" w:ascii="Times New Roman" w:hAnsi="Times New Roman" w:cs="Times New Roman"/>
          <w:szCs w:val="21"/>
          <w:highlight w:val="none"/>
        </w:rPr>
        <w:t>违约责任</w:t>
      </w:r>
    </w:p>
    <w:p w14:paraId="7497E3E7">
      <w:pPr>
        <w:widowControl w:val="0"/>
        <w:numPr>
          <w:ilvl w:val="0"/>
          <w:numId w:val="0"/>
        </w:numPr>
        <w:spacing w:line="360" w:lineRule="auto"/>
        <w:ind w:firstLine="840" w:firstLineChars="400"/>
        <w:jc w:val="both"/>
        <w:rPr>
          <w:rFonts w:hint="default" w:ascii="Times New Roman" w:hAnsi="Times New Roman" w:cs="Times New Roman"/>
          <w:szCs w:val="21"/>
          <w:highlight w:val="none"/>
          <w:lang w:val="fr-FR"/>
        </w:rPr>
      </w:pPr>
      <w:r>
        <w:rPr>
          <w:rFonts w:hint="default" w:ascii="Times New Roman" w:hAnsi="Times New Roman" w:cs="Times New Roman"/>
          <w:szCs w:val="21"/>
          <w:highlight w:val="none"/>
          <w:lang w:val="fr-FR"/>
        </w:rPr>
        <w:t>Si le Prestataire viole les dispositions du présent contrat, il doit assumer les responsabilités de violation du contrat suivantes :</w:t>
      </w:r>
    </w:p>
    <w:p w14:paraId="6B70740A">
      <w:pPr>
        <w:numPr>
          <w:ilvl w:val="0"/>
          <w:numId w:val="0"/>
        </w:numPr>
        <w:spacing w:line="360" w:lineRule="auto"/>
        <w:ind w:leftChars="200"/>
        <w:rPr>
          <w:rFonts w:hint="default" w:ascii="Times New Roman" w:hAnsi="Times New Roman" w:cs="Times New Roman"/>
          <w:szCs w:val="21"/>
          <w:highlight w:val="none"/>
          <w:lang w:val="fr-FR"/>
        </w:rPr>
      </w:pPr>
      <w:r>
        <w:rPr>
          <w:rFonts w:hint="default" w:ascii="Times New Roman" w:hAnsi="Times New Roman" w:cs="Times New Roman"/>
          <w:szCs w:val="21"/>
          <w:highlight w:val="none"/>
          <w:lang w:val="en-US" w:eastAsia="zh-CN"/>
        </w:rPr>
        <w:t>1.</w:t>
      </w:r>
      <w:r>
        <w:rPr>
          <w:rFonts w:hint="default" w:ascii="Times New Roman" w:hAnsi="Times New Roman" w:cs="Times New Roman"/>
          <w:szCs w:val="21"/>
          <w:highlight w:val="none"/>
        </w:rPr>
        <w:t>因乙方违约而造成合同终止，扣除乙方全部合同履约保证金。</w:t>
      </w:r>
    </w:p>
    <w:p w14:paraId="0F75D4B9">
      <w:pPr>
        <w:adjustRightInd w:val="0"/>
        <w:snapToGrid w:val="0"/>
        <w:spacing w:line="360" w:lineRule="auto"/>
        <w:ind w:firstLine="420" w:firstLineChars="200"/>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En cas de résiliation du contrat du fait de la violation du contrat par le Prestataire, tout le dépôt de garantie de l</w:t>
      </w:r>
      <w:r>
        <w:rPr>
          <w:rFonts w:hint="eastAsia" w:ascii="Times New Roman" w:hAnsi="Times New Roman" w:cs="Times New Roman"/>
          <w:szCs w:val="21"/>
          <w:highlight w:val="none"/>
          <w:lang w:val="en-US" w:eastAsia="zh-CN"/>
        </w:rPr>
        <w:t>'</w:t>
      </w:r>
      <w:r>
        <w:rPr>
          <w:rFonts w:hint="default" w:ascii="Times New Roman" w:hAnsi="Times New Roman" w:cs="Times New Roman"/>
          <w:szCs w:val="21"/>
          <w:highlight w:val="none"/>
          <w:lang w:val="en-US" w:eastAsia="zh-CN"/>
        </w:rPr>
        <w:t>exécution du contrat du Prestataire sera déduit.</w:t>
      </w:r>
    </w:p>
    <w:p w14:paraId="51A47C82">
      <w:pPr>
        <w:adjustRightInd w:val="0"/>
        <w:snapToGrid w:val="0"/>
        <w:spacing w:line="360" w:lineRule="auto"/>
        <w:ind w:firstLine="420" w:firstLineChars="200"/>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2.因</w:t>
      </w:r>
      <w:r>
        <w:rPr>
          <w:rFonts w:hint="default" w:ascii="Times New Roman" w:hAnsi="Times New Roman" w:cs="Times New Roman"/>
          <w:szCs w:val="21"/>
          <w:highlight w:val="none"/>
        </w:rPr>
        <w:t>乙方的原因未能按甲方规定的时间将货物运到规定的目的地，</w:t>
      </w:r>
      <w:r>
        <w:rPr>
          <w:rFonts w:hint="default" w:ascii="Times New Roman" w:hAnsi="Times New Roman" w:cs="Times New Roman"/>
          <w:szCs w:val="21"/>
          <w:highlight w:val="none"/>
          <w:lang w:val="en-US" w:eastAsia="zh-CN"/>
        </w:rPr>
        <w:t>乙方运输车辆获取矿山发货单后，</w:t>
      </w:r>
      <w:r>
        <w:rPr>
          <w:rFonts w:hint="default" w:ascii="Times New Roman" w:hAnsi="Times New Roman" w:cs="Times New Roman"/>
          <w:szCs w:val="21"/>
          <w:highlight w:val="none"/>
          <w:lang w:eastAsia="zh-CN"/>
        </w:rPr>
        <w:t>56#矿体</w:t>
      </w:r>
      <w:r>
        <w:rPr>
          <w:rFonts w:hint="default" w:ascii="Times New Roman" w:hAnsi="Times New Roman" w:cs="Times New Roman"/>
          <w:szCs w:val="21"/>
          <w:highlight w:val="none"/>
        </w:rPr>
        <w:t>运输</w:t>
      </w:r>
      <w:r>
        <w:rPr>
          <w:rFonts w:hint="default" w:ascii="Times New Roman" w:hAnsi="Times New Roman" w:cs="Times New Roman"/>
          <w:szCs w:val="21"/>
          <w:highlight w:val="none"/>
          <w:lang w:val="en-US" w:eastAsia="zh-CN"/>
        </w:rPr>
        <w:t>至维嘉港单程运输时间不得超过8小时，</w:t>
      </w:r>
      <w:r>
        <w:rPr>
          <w:rFonts w:hint="default" w:ascii="Times New Roman" w:hAnsi="Times New Roman" w:cs="Times New Roman"/>
          <w:szCs w:val="21"/>
          <w:highlight w:val="none"/>
        </w:rPr>
        <w:t>南矿段</w:t>
      </w:r>
      <w:r>
        <w:rPr>
          <w:rFonts w:hint="default" w:ascii="Times New Roman" w:hAnsi="Times New Roman" w:cs="Times New Roman"/>
          <w:szCs w:val="21"/>
          <w:highlight w:val="none"/>
          <w:lang w:val="en-US" w:eastAsia="zh-CN"/>
        </w:rPr>
        <w:t>至维嘉港单程运输时间不得超过4小时，超过规定时间运输将判定为异常车辆，乙方必须在1小时内向甲方报备，并说明超时原因。未及时报备和说明原因，考核</w:t>
      </w:r>
      <w:r>
        <w:rPr>
          <w:rFonts w:hint="default" w:ascii="Times New Roman" w:hAnsi="Times New Roman" w:cs="Times New Roman"/>
          <w:szCs w:val="21"/>
          <w:highlight w:val="none"/>
        </w:rPr>
        <w:t>100美元/</w:t>
      </w:r>
      <w:r>
        <w:rPr>
          <w:rFonts w:hint="default" w:ascii="Times New Roman" w:hAnsi="Times New Roman" w:cs="Times New Roman"/>
          <w:szCs w:val="21"/>
          <w:highlight w:val="none"/>
          <w:lang w:val="en-US" w:eastAsia="zh-CN"/>
        </w:rPr>
        <w:t>次</w:t>
      </w:r>
      <w:r>
        <w:rPr>
          <w:rFonts w:hint="default" w:ascii="Times New Roman" w:hAnsi="Times New Roman" w:cs="Times New Roman"/>
          <w:szCs w:val="21"/>
          <w:highlight w:val="none"/>
        </w:rPr>
        <w:t> </w:t>
      </w:r>
      <w:r>
        <w:rPr>
          <w:rFonts w:hint="default" w:ascii="Times New Roman" w:hAnsi="Times New Roman" w:cs="Times New Roman"/>
          <w:szCs w:val="21"/>
          <w:highlight w:val="none"/>
          <w:lang w:val="fr-FR"/>
        </w:rPr>
        <w:t>/</w:t>
      </w:r>
      <w:r>
        <w:rPr>
          <w:rFonts w:hint="default" w:ascii="Times New Roman" w:hAnsi="Times New Roman" w:cs="Times New Roman"/>
          <w:szCs w:val="21"/>
          <w:highlight w:val="none"/>
        </w:rPr>
        <w:t>车</w:t>
      </w:r>
      <w:r>
        <w:rPr>
          <w:rFonts w:hint="default" w:ascii="Times New Roman" w:hAnsi="Times New Roman" w:cs="Times New Roman"/>
          <w:szCs w:val="21"/>
          <w:highlight w:val="none"/>
          <w:lang w:eastAsia="zh-CN"/>
        </w:rPr>
        <w:t>。</w:t>
      </w:r>
    </w:p>
    <w:p w14:paraId="6D10DDB7">
      <w:pPr>
        <w:adjustRightInd w:val="0"/>
        <w:snapToGrid w:val="0"/>
        <w:spacing w:line="360" w:lineRule="auto"/>
        <w:ind w:firstLine="420" w:firstLineChars="200"/>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Si le Prestataire ne parvient pas à livrer les marchandises à</w:t>
      </w:r>
      <w:r>
        <w:rPr>
          <w:rFonts w:hint="eastAsia" w:cs="Times New Roman"/>
          <w:szCs w:val="21"/>
          <w:highlight w:val="none"/>
          <w:lang w:val="en-US" w:eastAsia="zh-CN"/>
        </w:rPr>
        <w:t xml:space="preserve"> la</w:t>
      </w:r>
      <w:r>
        <w:rPr>
          <w:rFonts w:hint="default" w:ascii="Times New Roman" w:hAnsi="Times New Roman" w:cs="Times New Roman"/>
          <w:szCs w:val="21"/>
          <w:highlight w:val="none"/>
          <w:lang w:val="en-US" w:eastAsia="zh-CN"/>
        </w:rPr>
        <w:t xml:space="preserve"> destination prescrit dans le délai fixé par le Client du fait de sa propre faute : après que les véhicules de transport du Prestataire aient obtenu le bon de livraison de la mine, le temps de transport unitaire de la bauxite du gisement n°56 au Port de V</w:t>
      </w:r>
      <w:r>
        <w:rPr>
          <w:rFonts w:hint="eastAsia" w:ascii="Times New Roman" w:hAnsi="Times New Roman" w:cs="Times New Roman"/>
          <w:szCs w:val="21"/>
          <w:highlight w:val="none"/>
          <w:lang w:val="en-US" w:eastAsia="zh-CN"/>
        </w:rPr>
        <w:t>er</w:t>
      </w:r>
      <w:r>
        <w:rPr>
          <w:rFonts w:hint="default" w:ascii="Times New Roman" w:hAnsi="Times New Roman" w:cs="Times New Roman"/>
          <w:szCs w:val="21"/>
          <w:highlight w:val="none"/>
          <w:lang w:val="en-US" w:eastAsia="zh-CN"/>
        </w:rPr>
        <w:t>ga ne doit pas dépasser 8 heures, et celui d</w:t>
      </w:r>
      <w:r>
        <w:rPr>
          <w:rFonts w:hint="eastAsia" w:ascii="Times New Roman" w:hAnsi="Times New Roman" w:cs="Times New Roman"/>
          <w:szCs w:val="21"/>
          <w:highlight w:val="none"/>
          <w:lang w:val="en-US" w:eastAsia="zh-CN"/>
        </w:rPr>
        <w:t xml:space="preserve">e </w:t>
      </w:r>
      <w:r>
        <w:rPr>
          <w:rFonts w:hint="default" w:ascii="Times New Roman" w:hAnsi="Times New Roman" w:cs="Times New Roman"/>
          <w:highlight w:val="none"/>
        </w:rPr>
        <w:t>la section miniè</w:t>
      </w:r>
      <w:r>
        <w:rPr>
          <w:rFonts w:hint="default" w:ascii="Times New Roman" w:hAnsi="Times New Roman" w:cs="Times New Roman"/>
          <w:highlight w:val="none"/>
          <w:lang w:val="en-US" w:eastAsia="zh-CN"/>
        </w:rPr>
        <w:t>re</w:t>
      </w:r>
      <w:r>
        <w:rPr>
          <w:rFonts w:hint="default" w:ascii="Times New Roman" w:hAnsi="Times New Roman" w:cs="Times New Roman"/>
          <w:highlight w:val="none"/>
        </w:rPr>
        <w:t xml:space="preserve"> sud</w:t>
      </w:r>
      <w:r>
        <w:rPr>
          <w:rFonts w:hint="default" w:ascii="Times New Roman" w:hAnsi="Times New Roman" w:cs="Times New Roman"/>
          <w:szCs w:val="21"/>
          <w:highlight w:val="none"/>
          <w:lang w:val="en-US" w:eastAsia="zh-CN"/>
        </w:rPr>
        <w:t xml:space="preserve"> au Port de V</w:t>
      </w:r>
      <w:r>
        <w:rPr>
          <w:rFonts w:hint="eastAsia" w:ascii="Times New Roman" w:hAnsi="Times New Roman" w:cs="Times New Roman"/>
          <w:szCs w:val="21"/>
          <w:highlight w:val="none"/>
          <w:lang w:val="en-US" w:eastAsia="zh-CN"/>
        </w:rPr>
        <w:t>er</w:t>
      </w:r>
      <w:r>
        <w:rPr>
          <w:rFonts w:hint="default" w:ascii="Times New Roman" w:hAnsi="Times New Roman" w:cs="Times New Roman"/>
          <w:szCs w:val="21"/>
          <w:highlight w:val="none"/>
          <w:lang w:val="en-US" w:eastAsia="zh-CN"/>
        </w:rPr>
        <w:t>ga ne doit pas dépasser 4 heures. Tout dépassement du délai prescrit sera considéré comme un véhicule anormal, et le Prestataire doit communiquer au Client et expliquer les raisons du retard dans un délai de 1 heure. En cas de non-communication opportune ou de non-explication des raisons, une sanction de 100 dollars par véhicule et par occurrence sera appliquée.</w:t>
      </w:r>
    </w:p>
    <w:p w14:paraId="4E7A01D7">
      <w:pPr>
        <w:adjustRightInd w:val="0"/>
        <w:snapToGrid w:val="0"/>
        <w:spacing w:line="360" w:lineRule="auto"/>
        <w:ind w:firstLine="420" w:firstLineChars="200"/>
        <w:rPr>
          <w:rFonts w:hint="default" w:ascii="Times New Roman" w:hAnsi="Times New Roman" w:cs="Times New Roman"/>
          <w:szCs w:val="21"/>
          <w:highlight w:val="none"/>
          <w:lang w:val="fr-FR"/>
        </w:rPr>
      </w:pPr>
      <w:r>
        <w:rPr>
          <w:rFonts w:hint="default" w:ascii="Times New Roman" w:hAnsi="Times New Roman" w:cs="Times New Roman"/>
          <w:szCs w:val="21"/>
          <w:highlight w:val="none"/>
          <w:lang w:val="en-US" w:eastAsia="zh-CN"/>
        </w:rPr>
        <w:t>3.</w:t>
      </w:r>
      <w:r>
        <w:rPr>
          <w:rFonts w:hint="default" w:ascii="Times New Roman" w:hAnsi="Times New Roman" w:cs="Times New Roman"/>
          <w:szCs w:val="21"/>
          <w:highlight w:val="none"/>
        </w:rPr>
        <w:t>因乙方原因，连续2个月</w:t>
      </w:r>
      <w:r>
        <w:rPr>
          <w:rFonts w:hint="default" w:ascii="Times New Roman" w:hAnsi="Times New Roman" w:cs="Times New Roman"/>
          <w:szCs w:val="21"/>
          <w:highlight w:val="none"/>
          <w:lang w:val="en-US" w:eastAsia="zh-CN"/>
        </w:rPr>
        <w:t>不能完成</w:t>
      </w:r>
      <w:r>
        <w:rPr>
          <w:rFonts w:hint="default" w:ascii="Times New Roman" w:hAnsi="Times New Roman" w:cs="Times New Roman"/>
          <w:szCs w:val="21"/>
          <w:highlight w:val="none"/>
        </w:rPr>
        <w:t>运输计划，甲方有权终止合同。</w:t>
      </w:r>
    </w:p>
    <w:p w14:paraId="74718FBB">
      <w:pPr>
        <w:numPr>
          <w:ilvl w:val="0"/>
          <w:numId w:val="0"/>
        </w:numPr>
        <w:spacing w:line="360" w:lineRule="auto"/>
        <w:ind w:firstLine="420" w:firstLineChars="200"/>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Si le Prestataire ne parvient pas à accomplir le plan de transport pendant 2 mois consécutifs du fait de sa propre faute, le Client a le droit de résilier le contrat.</w:t>
      </w:r>
    </w:p>
    <w:p w14:paraId="46EB4C14">
      <w:pPr>
        <w:numPr>
          <w:ilvl w:val="0"/>
          <w:numId w:val="0"/>
        </w:num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lang w:val="en-US" w:eastAsia="zh-CN"/>
        </w:rPr>
        <w:t>4.</w:t>
      </w:r>
      <w:r>
        <w:rPr>
          <w:rFonts w:hint="default" w:ascii="Times New Roman" w:hAnsi="Times New Roman" w:cs="Times New Roman"/>
          <w:szCs w:val="21"/>
          <w:highlight w:val="none"/>
        </w:rPr>
        <w:t>乙方</w:t>
      </w:r>
      <w:r>
        <w:rPr>
          <w:rFonts w:hint="default" w:ascii="Times New Roman" w:hAnsi="Times New Roman" w:cs="Times New Roman"/>
          <w:szCs w:val="21"/>
          <w:highlight w:val="none"/>
          <w:lang w:val="en-US" w:eastAsia="zh-CN"/>
        </w:rPr>
        <w:t>在</w:t>
      </w:r>
      <w:r>
        <w:rPr>
          <w:rFonts w:hint="default" w:ascii="Times New Roman" w:hAnsi="Times New Roman" w:cs="Times New Roman"/>
          <w:szCs w:val="21"/>
          <w:highlight w:val="none"/>
        </w:rPr>
        <w:t>运输过程中不得掺假或调换矿石，如发现除按市场价格3倍从运费中扣罚赔偿损失外，甲方有权中止合同履行并要求乙方纠正错误行为，甲方有权视乙方整改情况决定是否继续履行或中止合同。</w:t>
      </w:r>
    </w:p>
    <w:p w14:paraId="0EC2B3F3">
      <w:pPr>
        <w:numPr>
          <w:ilvl w:val="0"/>
          <w:numId w:val="0"/>
        </w:numPr>
        <w:spacing w:line="360" w:lineRule="auto"/>
        <w:ind w:firstLine="420" w:firstLineChars="200"/>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Le Prestataire est interdit de mélanger des impuretés ou de remplacer la bauxite pendant le processus de transport. En cas de découverte, en plus de déduire des frais de transport une indemnité égale à 3 fois le prix de marché pour compenser les dommages, le Client a le droit de suspendre l</w:t>
      </w:r>
      <w:r>
        <w:rPr>
          <w:rFonts w:hint="eastAsia" w:ascii="Times New Roman" w:hAnsi="Times New Roman" w:cs="Times New Roman"/>
          <w:szCs w:val="21"/>
          <w:highlight w:val="none"/>
          <w:lang w:val="en-US" w:eastAsia="zh-CN"/>
        </w:rPr>
        <w:t>'</w:t>
      </w:r>
      <w:r>
        <w:rPr>
          <w:rFonts w:hint="default" w:ascii="Times New Roman" w:hAnsi="Times New Roman" w:cs="Times New Roman"/>
          <w:szCs w:val="21"/>
          <w:highlight w:val="none"/>
          <w:lang w:val="en-US" w:eastAsia="zh-CN"/>
        </w:rPr>
        <w:t>exécution du contrat et de demander au Prestataire de corriger sa faute. Le Client est autorisé à décider de poursuivre ou de résilier définitivement l</w:t>
      </w:r>
      <w:r>
        <w:rPr>
          <w:rFonts w:hint="eastAsia" w:ascii="Times New Roman" w:hAnsi="Times New Roman" w:cs="Times New Roman"/>
          <w:szCs w:val="21"/>
          <w:highlight w:val="none"/>
          <w:lang w:val="en-US" w:eastAsia="zh-CN"/>
        </w:rPr>
        <w:t>'</w:t>
      </w:r>
      <w:r>
        <w:rPr>
          <w:rFonts w:hint="default" w:ascii="Times New Roman" w:hAnsi="Times New Roman" w:cs="Times New Roman"/>
          <w:szCs w:val="21"/>
          <w:highlight w:val="none"/>
          <w:lang w:val="en-US" w:eastAsia="zh-CN"/>
        </w:rPr>
        <w:t>exécution du contrat selon la situation de rectification du Prestataire.</w:t>
      </w:r>
    </w:p>
    <w:p w14:paraId="48B530AF">
      <w:pPr>
        <w:numPr>
          <w:ilvl w:val="0"/>
          <w:numId w:val="0"/>
        </w:numPr>
        <w:spacing w:line="360" w:lineRule="auto"/>
        <w:ind w:firstLine="420" w:firstLineChars="200"/>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5.乙方月度</w:t>
      </w:r>
      <w:r>
        <w:rPr>
          <w:rFonts w:hint="default" w:ascii="Times New Roman" w:hAnsi="Times New Roman" w:cs="Times New Roman"/>
          <w:szCs w:val="21"/>
          <w:highlight w:val="none"/>
        </w:rPr>
        <w:t>平均出车率低于</w:t>
      </w:r>
      <w:r>
        <w:rPr>
          <w:rFonts w:hint="default" w:ascii="Times New Roman" w:hAnsi="Times New Roman" w:cs="Times New Roman"/>
          <w:szCs w:val="21"/>
          <w:highlight w:val="none"/>
          <w:u w:val="single"/>
          <w:lang w:val="en-US" w:eastAsia="zh-CN"/>
        </w:rPr>
        <w:t>7</w:t>
      </w:r>
      <w:r>
        <w:rPr>
          <w:rFonts w:hint="default" w:ascii="Times New Roman" w:hAnsi="Times New Roman" w:cs="Times New Roman"/>
          <w:szCs w:val="21"/>
          <w:highlight w:val="none"/>
          <w:u w:val="single"/>
        </w:rPr>
        <w:t>0%</w:t>
      </w:r>
      <w:r>
        <w:rPr>
          <w:rFonts w:hint="default" w:ascii="Times New Roman" w:hAnsi="Times New Roman" w:cs="Times New Roman"/>
          <w:szCs w:val="21"/>
          <w:highlight w:val="none"/>
          <w:lang w:eastAsia="zh-CN"/>
        </w:rPr>
        <w:t>，</w:t>
      </w:r>
      <w:r>
        <w:rPr>
          <w:rFonts w:hint="default" w:ascii="Times New Roman" w:hAnsi="Times New Roman" w:cs="Times New Roman"/>
          <w:szCs w:val="21"/>
          <w:highlight w:val="none"/>
          <w:lang w:val="en-US" w:eastAsia="zh-CN"/>
        </w:rPr>
        <w:t>每低于</w:t>
      </w:r>
      <w:r>
        <w:rPr>
          <w:rFonts w:hint="default" w:ascii="Times New Roman" w:hAnsi="Times New Roman" w:cs="Times New Roman"/>
          <w:szCs w:val="21"/>
          <w:highlight w:val="none"/>
          <w:u w:val="single"/>
          <w:lang w:val="en-US" w:eastAsia="zh-CN"/>
        </w:rPr>
        <w:t>1个百分点</w:t>
      </w:r>
      <w:r>
        <w:rPr>
          <w:rFonts w:hint="default" w:ascii="Times New Roman" w:hAnsi="Times New Roman" w:cs="Times New Roman"/>
          <w:szCs w:val="21"/>
          <w:highlight w:val="none"/>
          <w:lang w:val="en-US" w:eastAsia="zh-CN"/>
        </w:rPr>
        <w:t>，考核</w:t>
      </w:r>
      <w:r>
        <w:rPr>
          <w:rFonts w:hint="default" w:ascii="Times New Roman" w:hAnsi="Times New Roman" w:cs="Times New Roman"/>
          <w:szCs w:val="21"/>
          <w:highlight w:val="none"/>
          <w:u w:val="single"/>
          <w:lang w:val="en-US" w:eastAsia="zh-CN"/>
        </w:rPr>
        <w:t>3</w:t>
      </w:r>
      <w:r>
        <w:rPr>
          <w:rFonts w:hint="default" w:ascii="Times New Roman" w:hAnsi="Times New Roman" w:cs="Times New Roman"/>
          <w:szCs w:val="21"/>
          <w:highlight w:val="none"/>
          <w:u w:val="single"/>
        </w:rPr>
        <w:t>0</w:t>
      </w:r>
      <w:r>
        <w:rPr>
          <w:rFonts w:hint="default" w:ascii="Times New Roman" w:hAnsi="Times New Roman" w:cs="Times New Roman"/>
          <w:szCs w:val="21"/>
          <w:highlight w:val="none"/>
          <w:u w:val="single"/>
          <w:lang w:val="en-US" w:eastAsia="zh-CN"/>
        </w:rPr>
        <w:t>0</w:t>
      </w:r>
      <w:r>
        <w:rPr>
          <w:rFonts w:hint="default" w:ascii="Times New Roman" w:hAnsi="Times New Roman" w:cs="Times New Roman"/>
          <w:szCs w:val="21"/>
          <w:highlight w:val="none"/>
          <w:u w:val="single"/>
        </w:rPr>
        <w:t>美元</w:t>
      </w:r>
      <w:r>
        <w:rPr>
          <w:rFonts w:hint="default" w:ascii="Times New Roman" w:hAnsi="Times New Roman" w:cs="Times New Roman"/>
          <w:szCs w:val="21"/>
          <w:highlight w:val="none"/>
          <w:lang w:eastAsia="zh-CN"/>
        </w:rPr>
        <w:t>；</w:t>
      </w:r>
      <w:r>
        <w:rPr>
          <w:rFonts w:hint="default" w:ascii="Times New Roman" w:hAnsi="Times New Roman" w:cs="Times New Roman"/>
          <w:szCs w:val="21"/>
          <w:highlight w:val="none"/>
          <w:lang w:val="en-US" w:eastAsia="zh-CN"/>
        </w:rPr>
        <w:t>当连续2个月出车率低于</w:t>
      </w:r>
      <w:r>
        <w:rPr>
          <w:rFonts w:hint="default" w:ascii="Times New Roman" w:hAnsi="Times New Roman" w:cs="Times New Roman"/>
          <w:szCs w:val="21"/>
          <w:highlight w:val="none"/>
          <w:u w:val="single"/>
          <w:lang w:val="en-US" w:eastAsia="zh-CN"/>
        </w:rPr>
        <w:t>50%</w:t>
      </w:r>
      <w:r>
        <w:rPr>
          <w:rFonts w:hint="default" w:ascii="Times New Roman" w:hAnsi="Times New Roman" w:cs="Times New Roman"/>
          <w:szCs w:val="21"/>
          <w:highlight w:val="none"/>
          <w:lang w:val="en-US" w:eastAsia="zh-CN"/>
        </w:rPr>
        <w:t>时，甲方有权解除合同。</w:t>
      </w:r>
    </w:p>
    <w:p w14:paraId="43EF699C">
      <w:pPr>
        <w:spacing w:line="360" w:lineRule="auto"/>
        <w:ind w:firstLine="420" w:firstLineChars="200"/>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 xml:space="preserve">Si le taux moyen mensuel de mise en service des véhicules du Prestataire est inférieur à </w:t>
      </w:r>
      <w:r>
        <w:rPr>
          <w:rFonts w:hint="default" w:ascii="Times New Roman" w:hAnsi="Times New Roman" w:cs="Times New Roman"/>
          <w:szCs w:val="21"/>
          <w:highlight w:val="none"/>
          <w:u w:val="single"/>
          <w:lang w:val="en-US" w:eastAsia="zh-CN"/>
        </w:rPr>
        <w:t>70 %</w:t>
      </w:r>
      <w:r>
        <w:rPr>
          <w:rFonts w:hint="default" w:ascii="Times New Roman" w:hAnsi="Times New Roman" w:cs="Times New Roman"/>
          <w:szCs w:val="21"/>
          <w:highlight w:val="none"/>
          <w:lang w:val="en-US" w:eastAsia="zh-CN"/>
        </w:rPr>
        <w:t xml:space="preserve">, une sanction de </w:t>
      </w:r>
      <w:r>
        <w:rPr>
          <w:rFonts w:hint="default" w:ascii="Times New Roman" w:hAnsi="Times New Roman" w:cs="Times New Roman"/>
          <w:szCs w:val="21"/>
          <w:highlight w:val="none"/>
          <w:u w:val="single"/>
          <w:lang w:val="en-US" w:eastAsia="zh-CN"/>
        </w:rPr>
        <w:t>300 dollars</w:t>
      </w:r>
      <w:r>
        <w:rPr>
          <w:rFonts w:hint="default" w:ascii="Times New Roman" w:hAnsi="Times New Roman" w:cs="Times New Roman"/>
          <w:szCs w:val="21"/>
          <w:highlight w:val="none"/>
          <w:lang w:val="en-US" w:eastAsia="zh-CN"/>
        </w:rPr>
        <w:t xml:space="preserve"> sera appliquée pour </w:t>
      </w:r>
      <w:r>
        <w:rPr>
          <w:rFonts w:hint="default" w:ascii="Times New Roman" w:hAnsi="Times New Roman" w:cs="Times New Roman"/>
          <w:szCs w:val="21"/>
          <w:highlight w:val="none"/>
          <w:u w:val="single"/>
          <w:lang w:val="en-US" w:eastAsia="zh-CN"/>
        </w:rPr>
        <w:t>chaque point de pourcentage</w:t>
      </w:r>
      <w:r>
        <w:rPr>
          <w:rFonts w:hint="default" w:ascii="Times New Roman" w:hAnsi="Times New Roman" w:cs="Times New Roman"/>
          <w:szCs w:val="21"/>
          <w:highlight w:val="none"/>
          <w:lang w:val="en-US" w:eastAsia="zh-CN"/>
        </w:rPr>
        <w:t xml:space="preserve"> en dessous de ce taux ; si le taux de mise en service est inférieur à </w:t>
      </w:r>
      <w:r>
        <w:rPr>
          <w:rFonts w:hint="default" w:ascii="Times New Roman" w:hAnsi="Times New Roman" w:cs="Times New Roman"/>
          <w:szCs w:val="21"/>
          <w:highlight w:val="none"/>
          <w:u w:val="single"/>
          <w:lang w:val="en-US" w:eastAsia="zh-CN"/>
        </w:rPr>
        <w:t>50 %</w:t>
      </w:r>
      <w:r>
        <w:rPr>
          <w:rFonts w:hint="default" w:ascii="Times New Roman" w:hAnsi="Times New Roman" w:cs="Times New Roman"/>
          <w:szCs w:val="21"/>
          <w:highlight w:val="none"/>
          <w:lang w:val="en-US" w:eastAsia="zh-CN"/>
        </w:rPr>
        <w:t xml:space="preserve"> pendant 2 mois consécutifs, le Client a le droit de résilier le contrat.</w:t>
      </w:r>
    </w:p>
    <w:p w14:paraId="74A971B2">
      <w:pPr>
        <w:spacing w:line="360" w:lineRule="auto"/>
        <w:ind w:firstLine="420" w:firstLineChars="200"/>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6.</w:t>
      </w:r>
      <w:r>
        <w:rPr>
          <w:rFonts w:hint="default" w:ascii="Times New Roman" w:hAnsi="Times New Roman" w:cs="Times New Roman"/>
          <w:szCs w:val="21"/>
          <w:highlight w:val="none"/>
        </w:rPr>
        <w:t>乙方车辆在</w:t>
      </w:r>
      <w:r>
        <w:rPr>
          <w:rFonts w:hint="default" w:ascii="Times New Roman" w:hAnsi="Times New Roman" w:cs="Times New Roman"/>
          <w:szCs w:val="21"/>
          <w:highlight w:val="none"/>
          <w:lang w:val="en-US" w:eastAsia="zh-CN"/>
        </w:rPr>
        <w:t>运输期间违反</w:t>
      </w:r>
      <w:r>
        <w:rPr>
          <w:rFonts w:hint="default" w:ascii="Times New Roman" w:hAnsi="Times New Roman" w:cs="Times New Roman"/>
          <w:szCs w:val="21"/>
          <w:highlight w:val="none"/>
        </w:rPr>
        <w:t>甲方</w:t>
      </w:r>
      <w:r>
        <w:rPr>
          <w:rFonts w:hint="default" w:ascii="Times New Roman" w:hAnsi="Times New Roman" w:cs="Times New Roman"/>
          <w:szCs w:val="21"/>
          <w:highlight w:val="none"/>
          <w:lang w:val="en-US" w:eastAsia="zh-CN"/>
        </w:rPr>
        <w:t>运输管理</w:t>
      </w:r>
      <w:r>
        <w:rPr>
          <w:rFonts w:hint="default" w:ascii="Times New Roman" w:hAnsi="Times New Roman" w:cs="Times New Roman"/>
          <w:szCs w:val="21"/>
          <w:highlight w:val="none"/>
        </w:rPr>
        <w:t>规定</w:t>
      </w:r>
      <w:r>
        <w:rPr>
          <w:rFonts w:hint="default" w:ascii="Times New Roman" w:hAnsi="Times New Roman" w:cs="Times New Roman"/>
          <w:szCs w:val="21"/>
          <w:highlight w:val="none"/>
          <w:lang w:eastAsia="zh-CN"/>
        </w:rPr>
        <w:t>，</w:t>
      </w:r>
      <w:r>
        <w:rPr>
          <w:rFonts w:hint="default" w:ascii="Times New Roman" w:hAnsi="Times New Roman" w:cs="Times New Roman"/>
          <w:szCs w:val="21"/>
          <w:highlight w:val="none"/>
          <w:lang w:val="en-US" w:eastAsia="zh-CN"/>
        </w:rPr>
        <w:t>按照制度执行考核。</w:t>
      </w:r>
    </w:p>
    <w:p w14:paraId="1F6A9180">
      <w:pPr>
        <w:spacing w:line="360" w:lineRule="auto"/>
        <w:ind w:firstLine="420" w:firstLineChars="200"/>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Si les véhicules du Prestataire violent les règles de gestion du transport établies par le Client pendant le processus de transport, des sanctions seront appliquées conformément à ces règles.</w:t>
      </w:r>
    </w:p>
    <w:p w14:paraId="4B072136">
      <w:pPr>
        <w:spacing w:line="360" w:lineRule="auto"/>
        <w:ind w:firstLine="420" w:firstLineChars="200"/>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7.乙方要保证车载GPS正常运行，因乙方原因（如欠费或者卡损坏等）导致不能正常使用的，考核</w:t>
      </w:r>
      <w:r>
        <w:rPr>
          <w:rFonts w:hint="default" w:ascii="Times New Roman" w:hAnsi="Times New Roman" w:cs="Times New Roman"/>
          <w:szCs w:val="21"/>
          <w:highlight w:val="none"/>
          <w:u w:val="single"/>
          <w:lang w:val="en-US" w:eastAsia="zh-CN"/>
        </w:rPr>
        <w:t>50美元/次</w:t>
      </w:r>
      <w:r>
        <w:rPr>
          <w:rFonts w:hint="default" w:ascii="Times New Roman" w:hAnsi="Times New Roman" w:cs="Times New Roman"/>
          <w:szCs w:val="21"/>
          <w:highlight w:val="none"/>
          <w:lang w:val="en-US" w:eastAsia="zh-CN"/>
        </w:rPr>
        <w:t>；故意损坏的，考核</w:t>
      </w:r>
      <w:r>
        <w:rPr>
          <w:rFonts w:hint="default" w:ascii="Times New Roman" w:hAnsi="Times New Roman" w:cs="Times New Roman"/>
          <w:szCs w:val="21"/>
          <w:highlight w:val="none"/>
          <w:u w:val="single"/>
          <w:lang w:val="en-US" w:eastAsia="zh-CN"/>
        </w:rPr>
        <w:t>100美元/个</w:t>
      </w:r>
      <w:r>
        <w:rPr>
          <w:rFonts w:hint="default" w:ascii="Times New Roman" w:hAnsi="Times New Roman" w:cs="Times New Roman"/>
          <w:szCs w:val="21"/>
          <w:highlight w:val="none"/>
          <w:lang w:val="en-US" w:eastAsia="zh-CN"/>
        </w:rPr>
        <w:t>。</w:t>
      </w:r>
    </w:p>
    <w:p w14:paraId="562FD314">
      <w:pPr>
        <w:spacing w:line="360" w:lineRule="auto"/>
        <w:ind w:firstLine="420" w:firstLineChars="200"/>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 xml:space="preserve">Le Prestataire doit garantir le fonctionnement normal des équipements GPS embarqués. Si ceux-ci ne fonctionnent pas normalement du fait du Prestataire (tels que non-paiement des frais, dommage de la carte, etc.), une sanction de </w:t>
      </w:r>
      <w:r>
        <w:rPr>
          <w:rFonts w:hint="default" w:ascii="Times New Roman" w:hAnsi="Times New Roman" w:cs="Times New Roman"/>
          <w:szCs w:val="21"/>
          <w:highlight w:val="none"/>
          <w:u w:val="single"/>
          <w:lang w:val="en-US" w:eastAsia="zh-CN"/>
        </w:rPr>
        <w:t>50 dollars par occurrence</w:t>
      </w:r>
      <w:r>
        <w:rPr>
          <w:rFonts w:hint="default" w:ascii="Times New Roman" w:hAnsi="Times New Roman" w:cs="Times New Roman"/>
          <w:szCs w:val="21"/>
          <w:highlight w:val="none"/>
          <w:lang w:val="en-US" w:eastAsia="zh-CN"/>
        </w:rPr>
        <w:t xml:space="preserve"> sera appliquée ; en cas de dommage volontaire, la sanction sera de </w:t>
      </w:r>
      <w:r>
        <w:rPr>
          <w:rFonts w:hint="default" w:ascii="Times New Roman" w:hAnsi="Times New Roman" w:cs="Times New Roman"/>
          <w:szCs w:val="21"/>
          <w:highlight w:val="none"/>
          <w:u w:val="single"/>
          <w:lang w:val="en-US" w:eastAsia="zh-CN"/>
        </w:rPr>
        <w:t>100 dollars par appareil</w:t>
      </w:r>
      <w:r>
        <w:rPr>
          <w:rFonts w:hint="default" w:ascii="Times New Roman" w:hAnsi="Times New Roman" w:cs="Times New Roman"/>
          <w:szCs w:val="21"/>
          <w:highlight w:val="none"/>
          <w:lang w:val="en-US" w:eastAsia="zh-CN"/>
        </w:rPr>
        <w:t>.</w:t>
      </w:r>
    </w:p>
    <w:p w14:paraId="528EDE03">
      <w:pPr>
        <w:spacing w:line="360" w:lineRule="auto"/>
        <w:ind w:firstLine="420" w:firstLineChars="200"/>
        <w:rPr>
          <w:rFonts w:hint="default" w:ascii="Times New Roman" w:hAnsi="Times New Roman" w:cs="Times New Roman"/>
          <w:szCs w:val="21"/>
          <w:highlight w:val="none"/>
          <w:u w:val="none"/>
          <w:lang w:val="en-US" w:eastAsia="zh-CN"/>
        </w:rPr>
      </w:pPr>
      <w:r>
        <w:rPr>
          <w:rFonts w:hint="default" w:ascii="Times New Roman" w:hAnsi="Times New Roman" w:cs="Times New Roman"/>
          <w:szCs w:val="21"/>
          <w:highlight w:val="none"/>
          <w:lang w:val="en-US" w:eastAsia="zh-CN"/>
        </w:rPr>
        <w:t>8.乙方运输车辆在运输途中侧翻导致矿石损失的，考核</w:t>
      </w:r>
      <w:r>
        <w:rPr>
          <w:rFonts w:hint="default" w:ascii="Times New Roman" w:hAnsi="Times New Roman" w:cs="Times New Roman"/>
          <w:szCs w:val="21"/>
          <w:highlight w:val="none"/>
          <w:u w:val="single"/>
          <w:lang w:val="en-US" w:eastAsia="zh-CN"/>
        </w:rPr>
        <w:t>500</w:t>
      </w:r>
      <w:r>
        <w:rPr>
          <w:rFonts w:hint="default" w:ascii="Times New Roman" w:hAnsi="Times New Roman" w:cs="Times New Roman"/>
          <w:szCs w:val="21"/>
          <w:highlight w:val="none"/>
          <w:u w:val="single"/>
        </w:rPr>
        <w:t>美元/ 车</w:t>
      </w:r>
      <w:r>
        <w:rPr>
          <w:rFonts w:hint="default" w:ascii="Times New Roman" w:hAnsi="Times New Roman" w:cs="Times New Roman"/>
          <w:szCs w:val="21"/>
          <w:highlight w:val="none"/>
          <w:lang w:eastAsia="zh-CN"/>
        </w:rPr>
        <w:t>；</w:t>
      </w:r>
      <w:r>
        <w:rPr>
          <w:rFonts w:hint="default" w:ascii="Times New Roman" w:hAnsi="Times New Roman" w:cs="Times New Roman"/>
          <w:szCs w:val="21"/>
          <w:highlight w:val="none"/>
          <w:lang w:val="en-US" w:eastAsia="zh-CN"/>
        </w:rPr>
        <w:t>运输途中车辆脱离运输路线造成矿石流失或倒卖</w:t>
      </w:r>
      <w:r>
        <w:rPr>
          <w:rFonts w:hint="default" w:ascii="Times New Roman" w:hAnsi="Times New Roman" w:cs="Times New Roman"/>
          <w:szCs w:val="21"/>
        </w:rPr>
        <w:t>或偷换</w:t>
      </w:r>
      <w:r>
        <w:rPr>
          <w:rFonts w:hint="default" w:ascii="Times New Roman" w:hAnsi="Times New Roman" w:cs="Times New Roman"/>
          <w:szCs w:val="21"/>
          <w:highlight w:val="none"/>
          <w:lang w:val="en-US" w:eastAsia="zh-CN"/>
        </w:rPr>
        <w:t>矿石的，考核</w:t>
      </w:r>
      <w:r>
        <w:rPr>
          <w:rFonts w:hint="default" w:ascii="Times New Roman" w:hAnsi="Times New Roman" w:cs="Times New Roman"/>
          <w:szCs w:val="21"/>
          <w:highlight w:val="none"/>
          <w:u w:val="single"/>
          <w:lang w:val="en-US" w:eastAsia="zh-CN"/>
        </w:rPr>
        <w:t>20000</w:t>
      </w:r>
      <w:r>
        <w:rPr>
          <w:rFonts w:hint="default" w:ascii="Times New Roman" w:hAnsi="Times New Roman" w:cs="Times New Roman"/>
          <w:szCs w:val="21"/>
          <w:highlight w:val="none"/>
          <w:u w:val="single"/>
        </w:rPr>
        <w:t>美元/ 车</w:t>
      </w:r>
      <w:r>
        <w:rPr>
          <w:rFonts w:hint="default" w:ascii="Times New Roman" w:hAnsi="Times New Roman" w:cs="Times New Roman"/>
          <w:szCs w:val="21"/>
          <w:highlight w:val="none"/>
          <w:u w:val="none"/>
          <w:lang w:val="en-US" w:eastAsia="zh-CN"/>
        </w:rPr>
        <w:t>。</w:t>
      </w:r>
    </w:p>
    <w:p w14:paraId="7DF8EE6E">
      <w:pPr>
        <w:spacing w:line="360" w:lineRule="auto"/>
        <w:ind w:firstLine="420" w:firstLineChars="200"/>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 xml:space="preserve">En cas de renversement des véhicules de transport du Prestataire pendant le trajet entraînant une perte de bauxite, une sanction de </w:t>
      </w:r>
      <w:r>
        <w:rPr>
          <w:rFonts w:hint="default" w:ascii="Times New Roman" w:hAnsi="Times New Roman" w:cs="Times New Roman"/>
          <w:szCs w:val="21"/>
          <w:highlight w:val="none"/>
          <w:u w:val="single"/>
          <w:lang w:val="en-US" w:eastAsia="zh-CN"/>
        </w:rPr>
        <w:t>500 dollars par véhicule</w:t>
      </w:r>
      <w:r>
        <w:rPr>
          <w:rFonts w:hint="default" w:ascii="Times New Roman" w:hAnsi="Times New Roman" w:cs="Times New Roman"/>
          <w:szCs w:val="21"/>
          <w:highlight w:val="none"/>
          <w:lang w:val="en-US" w:eastAsia="zh-CN"/>
        </w:rPr>
        <w:t xml:space="preserve"> sera appliquée ; si un véhicule s</w:t>
      </w:r>
      <w:r>
        <w:rPr>
          <w:rFonts w:hint="eastAsia" w:ascii="Times New Roman" w:hAnsi="Times New Roman" w:cs="Times New Roman"/>
          <w:szCs w:val="21"/>
          <w:highlight w:val="none"/>
          <w:lang w:val="en-US" w:eastAsia="zh-CN"/>
        </w:rPr>
        <w:t>'</w:t>
      </w:r>
      <w:r>
        <w:rPr>
          <w:rFonts w:hint="default" w:ascii="Times New Roman" w:hAnsi="Times New Roman" w:cs="Times New Roman"/>
          <w:szCs w:val="21"/>
          <w:highlight w:val="none"/>
          <w:lang w:val="en-US" w:eastAsia="zh-CN"/>
        </w:rPr>
        <w:t>écarte de l</w:t>
      </w:r>
      <w:r>
        <w:rPr>
          <w:rFonts w:hint="eastAsia" w:ascii="Times New Roman" w:hAnsi="Times New Roman" w:cs="Times New Roman"/>
          <w:szCs w:val="21"/>
          <w:highlight w:val="none"/>
          <w:lang w:val="en-US" w:eastAsia="zh-CN"/>
        </w:rPr>
        <w:t>'</w:t>
      </w:r>
      <w:r>
        <w:rPr>
          <w:rFonts w:hint="default" w:ascii="Times New Roman" w:hAnsi="Times New Roman" w:cs="Times New Roman"/>
          <w:szCs w:val="21"/>
          <w:highlight w:val="none"/>
          <w:lang w:val="en-US" w:eastAsia="zh-CN"/>
        </w:rPr>
        <w:t xml:space="preserve">itinéraire de transport prescrit pendant le trajet, entraînant la perte, la revente ou le remplacement de la bauxite, une sanction de </w:t>
      </w:r>
      <w:r>
        <w:rPr>
          <w:rFonts w:hint="default" w:ascii="Times New Roman" w:hAnsi="Times New Roman" w:cs="Times New Roman"/>
          <w:szCs w:val="21"/>
          <w:highlight w:val="none"/>
          <w:u w:val="single"/>
          <w:lang w:val="en-US" w:eastAsia="zh-CN"/>
        </w:rPr>
        <w:t>20 000 dollars par véhicule</w:t>
      </w:r>
      <w:r>
        <w:rPr>
          <w:rFonts w:hint="default" w:ascii="Times New Roman" w:hAnsi="Times New Roman" w:cs="Times New Roman"/>
          <w:szCs w:val="21"/>
          <w:highlight w:val="none"/>
          <w:lang w:val="en-US" w:eastAsia="zh-CN"/>
        </w:rPr>
        <w:t xml:space="preserve"> sera appliquée.</w:t>
      </w:r>
    </w:p>
    <w:p w14:paraId="69B84F6F">
      <w:pPr>
        <w:spacing w:line="360" w:lineRule="auto"/>
        <w:ind w:firstLine="420" w:firstLineChars="200"/>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9.乙方事故车辆或者报废车辆未在</w:t>
      </w:r>
      <w:r>
        <w:rPr>
          <w:rFonts w:hint="default" w:ascii="Times New Roman" w:hAnsi="Times New Roman" w:cs="Times New Roman"/>
          <w:szCs w:val="21"/>
          <w:highlight w:val="none"/>
          <w:u w:val="single"/>
          <w:lang w:val="en-US" w:eastAsia="zh-CN"/>
        </w:rPr>
        <w:t>7天内</w:t>
      </w:r>
      <w:r>
        <w:rPr>
          <w:rFonts w:hint="default" w:ascii="Times New Roman" w:hAnsi="Times New Roman" w:cs="Times New Roman"/>
          <w:szCs w:val="21"/>
          <w:highlight w:val="none"/>
          <w:lang w:val="en-US" w:eastAsia="zh-CN"/>
        </w:rPr>
        <w:t>搬移运矿路，甲方强制搬移的费用从当月结算款中按照</w:t>
      </w:r>
      <w:r>
        <w:rPr>
          <w:rFonts w:hint="default" w:ascii="Times New Roman" w:hAnsi="Times New Roman" w:cs="Times New Roman"/>
          <w:szCs w:val="21"/>
          <w:highlight w:val="none"/>
          <w:u w:val="single"/>
          <w:lang w:val="en-US" w:eastAsia="zh-CN"/>
        </w:rPr>
        <w:t>每辆车2000美元</w:t>
      </w:r>
      <w:r>
        <w:rPr>
          <w:rFonts w:hint="default" w:ascii="Times New Roman" w:hAnsi="Times New Roman" w:cs="Times New Roman"/>
          <w:szCs w:val="21"/>
          <w:highlight w:val="none"/>
          <w:lang w:val="en-US" w:eastAsia="zh-CN"/>
        </w:rPr>
        <w:t>扣除。</w:t>
      </w:r>
    </w:p>
    <w:p w14:paraId="4039CFC4">
      <w:pPr>
        <w:spacing w:line="360" w:lineRule="auto"/>
        <w:ind w:firstLine="420" w:firstLineChars="200"/>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 xml:space="preserve">Si les véhicules accidentés ou hors service du Prestataire ne sont pas évacués de la route de transport de minerai dans un délai de </w:t>
      </w:r>
      <w:r>
        <w:rPr>
          <w:rFonts w:hint="default" w:ascii="Times New Roman" w:hAnsi="Times New Roman" w:cs="Times New Roman"/>
          <w:szCs w:val="21"/>
          <w:highlight w:val="none"/>
          <w:u w:val="single"/>
          <w:lang w:val="en-US" w:eastAsia="zh-CN"/>
        </w:rPr>
        <w:t>7 jours</w:t>
      </w:r>
      <w:r>
        <w:rPr>
          <w:rFonts w:hint="default" w:ascii="Times New Roman" w:hAnsi="Times New Roman" w:cs="Times New Roman"/>
          <w:szCs w:val="21"/>
          <w:highlight w:val="none"/>
          <w:lang w:val="en-US" w:eastAsia="zh-CN"/>
        </w:rPr>
        <w:t>, les frais d</w:t>
      </w:r>
      <w:r>
        <w:rPr>
          <w:rFonts w:hint="eastAsia" w:ascii="Times New Roman" w:hAnsi="Times New Roman" w:cs="Times New Roman"/>
          <w:szCs w:val="21"/>
          <w:highlight w:val="none"/>
          <w:lang w:val="en-US" w:eastAsia="zh-CN"/>
        </w:rPr>
        <w:t>'</w:t>
      </w:r>
      <w:r>
        <w:rPr>
          <w:rFonts w:hint="default" w:ascii="Times New Roman" w:hAnsi="Times New Roman" w:cs="Times New Roman"/>
          <w:szCs w:val="21"/>
          <w:highlight w:val="none"/>
          <w:lang w:val="en-US" w:eastAsia="zh-CN"/>
        </w:rPr>
        <w:t xml:space="preserve">évacuation forcée organisée par le Client seront déduits du montant de règlement du mois en cours au taux de </w:t>
      </w:r>
      <w:r>
        <w:rPr>
          <w:rFonts w:hint="default" w:ascii="Times New Roman" w:hAnsi="Times New Roman" w:cs="Times New Roman"/>
          <w:szCs w:val="21"/>
          <w:highlight w:val="none"/>
          <w:u w:val="single"/>
          <w:lang w:val="en-US" w:eastAsia="zh-CN"/>
        </w:rPr>
        <w:t>2 000 dollars par véhicule</w:t>
      </w:r>
      <w:r>
        <w:rPr>
          <w:rFonts w:hint="default" w:ascii="Times New Roman" w:hAnsi="Times New Roman" w:cs="Times New Roman"/>
          <w:szCs w:val="21"/>
          <w:highlight w:val="none"/>
          <w:lang w:val="en-US" w:eastAsia="zh-CN"/>
        </w:rPr>
        <w:t>.</w:t>
      </w:r>
    </w:p>
    <w:p w14:paraId="0780BC1F">
      <w:pPr>
        <w:numPr>
          <w:ilvl w:val="0"/>
          <w:numId w:val="7"/>
        </w:numPr>
        <w:spacing w:line="360" w:lineRule="auto"/>
        <w:ind w:left="0" w:firstLine="422" w:firstLineChars="200"/>
        <w:rPr>
          <w:rFonts w:hint="default" w:ascii="Times New Roman" w:hAnsi="Times New Roman" w:cs="Times New Roman"/>
          <w:b/>
          <w:bCs/>
          <w:szCs w:val="21"/>
          <w:highlight w:val="none"/>
          <w:lang w:val="fr-FR"/>
        </w:rPr>
      </w:pPr>
      <w:r>
        <w:rPr>
          <w:rFonts w:hint="default" w:ascii="Times New Roman" w:hAnsi="Times New Roman" w:cs="Times New Roman"/>
          <w:b/>
          <w:bCs/>
          <w:szCs w:val="21"/>
          <w:highlight w:val="none"/>
        </w:rPr>
        <w:t>不可抗力</w:t>
      </w:r>
    </w:p>
    <w:p w14:paraId="7550C77E">
      <w:pPr>
        <w:widowControl w:val="0"/>
        <w:numPr>
          <w:ilvl w:val="0"/>
          <w:numId w:val="0"/>
        </w:numPr>
        <w:spacing w:line="360" w:lineRule="auto"/>
        <w:ind w:firstLine="422" w:firstLineChars="200"/>
        <w:jc w:val="both"/>
        <w:rPr>
          <w:rFonts w:hint="default" w:ascii="Times New Roman" w:hAnsi="Times New Roman" w:cs="Times New Roman"/>
          <w:b/>
          <w:bCs/>
          <w:szCs w:val="21"/>
          <w:highlight w:val="none"/>
          <w:lang w:val="fr-FR"/>
        </w:rPr>
      </w:pPr>
      <w:r>
        <w:rPr>
          <w:b/>
          <w:color w:val="000000"/>
          <w:szCs w:val="21"/>
          <w:highlight w:val="none"/>
          <w:lang w:val="fr-FR"/>
        </w:rPr>
        <w:t xml:space="preserve">Article </w:t>
      </w:r>
      <w:r>
        <w:rPr>
          <w:rFonts w:hint="eastAsia"/>
          <w:b/>
          <w:color w:val="000000"/>
          <w:szCs w:val="21"/>
          <w:highlight w:val="none"/>
          <w:lang w:val="en-US" w:eastAsia="zh-CN"/>
        </w:rPr>
        <w:t xml:space="preserve">IX </w:t>
      </w:r>
      <w:r>
        <w:rPr>
          <w:b/>
          <w:color w:val="000000"/>
          <w:szCs w:val="21"/>
          <w:highlight w:val="none"/>
          <w:lang w:val="fr-FR"/>
        </w:rPr>
        <w:t xml:space="preserve"> Force majeure</w:t>
      </w:r>
    </w:p>
    <w:p w14:paraId="122AAE1A">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本合同所称不可抗力是指不能预见、不能克服、不能避免并对一方当事人造成重大影响的客观事件，包括但不限于自然灾害如洪水、地震、火灾和风暴等以及社会事件如战争、动乱、政府行为等。</w:t>
      </w:r>
    </w:p>
    <w:p w14:paraId="52E0860E">
      <w:pPr>
        <w:spacing w:line="360" w:lineRule="auto"/>
        <w:ind w:firstLine="420" w:firstLineChars="200"/>
        <w:rPr>
          <w:rFonts w:hint="default" w:ascii="Times New Roman" w:hAnsi="Times New Roman" w:cs="Times New Roman"/>
          <w:szCs w:val="21"/>
          <w:highlight w:val="none"/>
        </w:rPr>
      </w:pPr>
      <w:r>
        <w:rPr>
          <w:bCs/>
          <w:color w:val="000000"/>
          <w:szCs w:val="21"/>
          <w:highlight w:val="none"/>
          <w:lang w:val="fr-FR"/>
        </w:rPr>
        <w:t>Le terme de force majeure dans le présent contrat fait référence à des événements objectifs qui ne peuvent être prévus, surmontés, évités et qui ont un impact significatif sur une partie, sans limite, les catastrophes naturelles telles que les inondations, les tremblements de terre, les incendies et les tempêtes, ainsi que les événements sociaux tels que les guerres, les troubles et les actions gouvernementales.</w:t>
      </w:r>
    </w:p>
    <w:p w14:paraId="2122F992">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因不可抗力的原因，致使合同履行受阻时，双方当事人应及时协商解决，并视不可抗力存在的时间推迟履行合同义务；因不可抗力造成的人身伤害、财产损失，各自承担。</w:t>
      </w:r>
    </w:p>
    <w:p w14:paraId="02217575">
      <w:pPr>
        <w:spacing w:line="360" w:lineRule="auto"/>
        <w:ind w:firstLine="420" w:firstLineChars="200"/>
        <w:rPr>
          <w:rFonts w:hint="default" w:ascii="Times New Roman" w:hAnsi="Times New Roman" w:cs="Times New Roman"/>
          <w:szCs w:val="21"/>
          <w:highlight w:val="none"/>
        </w:rPr>
      </w:pPr>
      <w:r>
        <w:rPr>
          <w:bCs/>
          <w:color w:val="000000"/>
          <w:szCs w:val="21"/>
          <w:highlight w:val="none"/>
          <w:lang w:val="fr-FR"/>
        </w:rPr>
        <w:t>Lorsque l'exécution du contrat est entravée par un cas de force majeure, les parties doivent rapidement négocier une solution et, en fonction de l'existence de la force majeure, différer l'exécution des obligations contractuelles ; en cas de force majeure causant des dommages corporels et matériels, chaque partie supporte ses propres pertes respectivement.</w:t>
      </w:r>
    </w:p>
    <w:p w14:paraId="60B640E9">
      <w:pPr>
        <w:numPr>
          <w:ilvl w:val="0"/>
          <w:numId w:val="7"/>
        </w:numPr>
        <w:spacing w:line="360" w:lineRule="auto"/>
        <w:ind w:left="0" w:firstLine="422" w:firstLineChars="200"/>
        <w:rPr>
          <w:rFonts w:hint="default" w:ascii="Times New Roman" w:hAnsi="Times New Roman" w:cs="Times New Roman"/>
          <w:b/>
          <w:bCs/>
          <w:szCs w:val="21"/>
          <w:highlight w:val="none"/>
          <w:lang w:val="fr-FR"/>
        </w:rPr>
      </w:pPr>
      <w:r>
        <w:rPr>
          <w:rFonts w:hint="default" w:ascii="Times New Roman" w:hAnsi="Times New Roman" w:cs="Times New Roman"/>
          <w:b/>
          <w:bCs/>
          <w:szCs w:val="21"/>
          <w:highlight w:val="none"/>
        </w:rPr>
        <w:t>争议的解决方法</w:t>
      </w:r>
      <w:r>
        <w:rPr>
          <w:rFonts w:hint="default" w:ascii="Times New Roman" w:hAnsi="Times New Roman" w:cs="Times New Roman"/>
          <w:b/>
          <w:bCs/>
          <w:szCs w:val="21"/>
          <w:highlight w:val="none"/>
          <w:lang w:val="en-US" w:eastAsia="zh-CN"/>
        </w:rPr>
        <w:t xml:space="preserve">  </w:t>
      </w:r>
    </w:p>
    <w:p w14:paraId="4FB4FEE8">
      <w:pPr>
        <w:numPr>
          <w:ilvl w:val="0"/>
          <w:numId w:val="0"/>
        </w:numPr>
        <w:spacing w:line="360" w:lineRule="auto"/>
        <w:ind w:leftChars="200"/>
        <w:rPr>
          <w:rFonts w:hint="default" w:ascii="Times New Roman" w:hAnsi="Times New Roman" w:cs="Times New Roman"/>
          <w:b/>
          <w:bCs/>
          <w:szCs w:val="21"/>
          <w:highlight w:val="none"/>
          <w:lang w:val="fr-FR"/>
        </w:rPr>
      </w:pPr>
      <w:r>
        <w:rPr>
          <w:b/>
          <w:color w:val="000000"/>
          <w:szCs w:val="21"/>
          <w:highlight w:val="none"/>
          <w:lang w:val="fr-FR"/>
        </w:rPr>
        <w:t xml:space="preserve">Article </w:t>
      </w:r>
      <w:r>
        <w:rPr>
          <w:rFonts w:hint="eastAsia"/>
          <w:b/>
          <w:color w:val="000000"/>
          <w:szCs w:val="21"/>
          <w:highlight w:val="none"/>
          <w:lang w:val="en-US" w:eastAsia="zh-CN"/>
        </w:rPr>
        <w:t xml:space="preserve">X </w:t>
      </w:r>
      <w:r>
        <w:rPr>
          <w:b/>
          <w:color w:val="000000"/>
          <w:szCs w:val="21"/>
          <w:highlight w:val="none"/>
          <w:lang w:val="fr-FR"/>
        </w:rPr>
        <w:t xml:space="preserve"> Solution de litige</w:t>
      </w:r>
    </w:p>
    <w:p w14:paraId="7EAE0B7B">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本合同在履行过程中发生的争议，双方应本着公平、合理的原则，及时协商处理，也可由有关部门调解，协商或调解不成的，可依法向</w:t>
      </w:r>
      <w:r>
        <w:rPr>
          <w:rFonts w:hint="default" w:ascii="Times New Roman" w:hAnsi="Times New Roman" w:cs="Times New Roman"/>
          <w:szCs w:val="21"/>
          <w:highlight w:val="none"/>
          <w:lang w:val="en-US" w:eastAsia="zh-CN"/>
        </w:rPr>
        <w:t>项目所在地</w:t>
      </w:r>
      <w:r>
        <w:rPr>
          <w:rFonts w:hint="default" w:ascii="Times New Roman" w:hAnsi="Times New Roman" w:cs="Times New Roman"/>
          <w:szCs w:val="21"/>
          <w:highlight w:val="none"/>
        </w:rPr>
        <w:t>仲裁</w:t>
      </w:r>
      <w:r>
        <w:rPr>
          <w:rFonts w:hint="default" w:ascii="Times New Roman" w:hAnsi="Times New Roman" w:cs="Times New Roman"/>
          <w:szCs w:val="21"/>
          <w:highlight w:val="none"/>
          <w:lang w:val="en-US" w:eastAsia="zh-CN"/>
        </w:rPr>
        <w:t>机构</w:t>
      </w:r>
      <w:r>
        <w:rPr>
          <w:rFonts w:hint="default" w:ascii="Times New Roman" w:hAnsi="Times New Roman" w:cs="Times New Roman"/>
          <w:szCs w:val="21"/>
          <w:highlight w:val="none"/>
        </w:rPr>
        <w:t>申请仲裁。</w:t>
      </w:r>
    </w:p>
    <w:p w14:paraId="27176882">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En cas de différend lié à l'exécution du présent contrat, les parties doivent tenter de le régler dans les meilleurs délais par voie de négociation, en respectant les principes d'équité et de raison. Elles peuvent également recourir à une médiation par les organismes compétents. Si la négociation ou la médiation échoue, le différend sera soumis à l'arbitrage de l'institution compétente du lieu du projet, conformément à la loi.</w:t>
      </w:r>
    </w:p>
    <w:p w14:paraId="3010D349">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协商或</w:t>
      </w:r>
      <w:r>
        <w:rPr>
          <w:rFonts w:hint="default" w:ascii="Times New Roman" w:hAnsi="Times New Roman" w:cs="Times New Roman"/>
          <w:szCs w:val="21"/>
          <w:highlight w:val="none"/>
          <w:lang w:val="en-US" w:eastAsia="zh-CN"/>
        </w:rPr>
        <w:t>仲裁</w:t>
      </w:r>
      <w:r>
        <w:rPr>
          <w:rFonts w:hint="default" w:ascii="Times New Roman" w:hAnsi="Times New Roman" w:cs="Times New Roman"/>
          <w:szCs w:val="21"/>
          <w:highlight w:val="none"/>
        </w:rPr>
        <w:t>期间，除与争议有关的部分外，双方应继续履行合同规定的各自的义务。</w:t>
      </w:r>
    </w:p>
    <w:p w14:paraId="5599E14C">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Pendant la durée de la négociation ou de l'arbitrage, les parties continueront d'exécuter leurs obligations respectives stipulées dans le contrat, à l'exception de la partie faisant l'objet du différend.</w:t>
      </w:r>
    </w:p>
    <w:p w14:paraId="7150941E">
      <w:pPr>
        <w:numPr>
          <w:ilvl w:val="0"/>
          <w:numId w:val="7"/>
        </w:numPr>
        <w:spacing w:line="360" w:lineRule="auto"/>
        <w:ind w:left="0" w:firstLine="422" w:firstLineChars="200"/>
        <w:rPr>
          <w:rFonts w:hint="default" w:ascii="Times New Roman" w:hAnsi="Times New Roman" w:cs="Times New Roman"/>
          <w:b/>
          <w:bCs/>
          <w:szCs w:val="21"/>
          <w:highlight w:val="none"/>
          <w:lang w:val="fr-FR"/>
        </w:rPr>
      </w:pPr>
      <w:r>
        <w:rPr>
          <w:rFonts w:hint="default" w:ascii="Times New Roman" w:hAnsi="Times New Roman" w:cs="Times New Roman"/>
          <w:b/>
          <w:bCs/>
          <w:szCs w:val="21"/>
          <w:highlight w:val="none"/>
        </w:rPr>
        <w:t>附则</w:t>
      </w:r>
    </w:p>
    <w:p w14:paraId="280E87E4">
      <w:pPr>
        <w:widowControl w:val="0"/>
        <w:numPr>
          <w:ilvl w:val="0"/>
          <w:numId w:val="0"/>
        </w:numPr>
        <w:spacing w:line="360" w:lineRule="auto"/>
        <w:ind w:firstLine="422" w:firstLineChars="200"/>
        <w:jc w:val="both"/>
        <w:rPr>
          <w:rFonts w:hint="default" w:ascii="Times New Roman" w:hAnsi="Times New Roman" w:cs="Times New Roman"/>
          <w:b/>
          <w:bCs/>
          <w:szCs w:val="21"/>
          <w:highlight w:val="none"/>
          <w:lang w:val="fr-FR"/>
        </w:rPr>
      </w:pPr>
      <w:r>
        <w:rPr>
          <w:b/>
          <w:bCs/>
          <w:color w:val="000000"/>
          <w:szCs w:val="21"/>
          <w:highlight w:val="none"/>
          <w:lang w:val="fr-FR"/>
        </w:rPr>
        <w:t xml:space="preserve">Article </w:t>
      </w:r>
      <w:r>
        <w:rPr>
          <w:rFonts w:hint="eastAsia"/>
          <w:b/>
          <w:bCs/>
          <w:color w:val="000000"/>
          <w:szCs w:val="21"/>
          <w:highlight w:val="none"/>
          <w:lang w:val="en-US" w:eastAsia="zh-CN"/>
        </w:rPr>
        <w:t>XI</w:t>
      </w:r>
      <w:r>
        <w:rPr>
          <w:b/>
          <w:bCs/>
          <w:color w:val="000000"/>
          <w:szCs w:val="21"/>
          <w:highlight w:val="none"/>
        </w:rPr>
        <w:t xml:space="preserve"> </w:t>
      </w:r>
      <w:r>
        <w:rPr>
          <w:rFonts w:hint="eastAsia"/>
          <w:b/>
          <w:bCs/>
          <w:color w:val="000000"/>
          <w:szCs w:val="21"/>
          <w:highlight w:val="none"/>
          <w:lang w:val="en-US" w:eastAsia="zh-CN"/>
        </w:rPr>
        <w:t xml:space="preserve"> </w:t>
      </w:r>
      <w:r>
        <w:rPr>
          <w:b/>
          <w:bCs/>
          <w:color w:val="000000"/>
          <w:szCs w:val="21"/>
          <w:highlight w:val="none"/>
        </w:rPr>
        <w:t>Articles additionnels</w:t>
      </w:r>
    </w:p>
    <w:p w14:paraId="19048FB3">
      <w:pPr>
        <w:numPr>
          <w:ilvl w:val="0"/>
          <w:numId w:val="0"/>
        </w:numPr>
        <w:spacing w:line="360" w:lineRule="auto"/>
        <w:ind w:left="0" w:leftChars="0" w:firstLine="420" w:firstLineChars="200"/>
        <w:rPr>
          <w:rFonts w:hint="default" w:ascii="Times New Roman" w:hAnsi="Times New Roman" w:cs="Times New Roman"/>
          <w:szCs w:val="21"/>
          <w:highlight w:val="none"/>
          <w:lang w:val="fr-FR"/>
        </w:rPr>
      </w:pPr>
      <w:r>
        <w:rPr>
          <w:rFonts w:hint="default" w:ascii="Times New Roman" w:hAnsi="Times New Roman" w:eastAsia="宋体" w:cs="Times New Roman"/>
          <w:kern w:val="2"/>
          <w:sz w:val="21"/>
          <w:szCs w:val="21"/>
          <w:highlight w:val="none"/>
          <w:lang w:val="fr-FR" w:eastAsia="zh-CN" w:bidi="ar-SA"/>
        </w:rPr>
        <w:t>（</w:t>
      </w:r>
      <w:r>
        <w:rPr>
          <w:rFonts w:hint="default" w:ascii="Times New Roman" w:hAnsi="Times New Roman" w:cs="Times New Roman"/>
          <w:kern w:val="2"/>
          <w:sz w:val="21"/>
          <w:szCs w:val="21"/>
          <w:highlight w:val="none"/>
          <w:lang w:val="en-US" w:eastAsia="zh-CN" w:bidi="ar-SA"/>
        </w:rPr>
        <w:t>I</w:t>
      </w:r>
      <w:r>
        <w:rPr>
          <w:rFonts w:hint="default" w:ascii="Times New Roman" w:hAnsi="Times New Roman" w:eastAsia="宋体" w:cs="Times New Roman"/>
          <w:kern w:val="2"/>
          <w:sz w:val="21"/>
          <w:szCs w:val="21"/>
          <w:highlight w:val="none"/>
          <w:lang w:val="fr-FR" w:eastAsia="zh-CN" w:bidi="ar-SA"/>
        </w:rPr>
        <w:t>）</w:t>
      </w:r>
      <w:r>
        <w:rPr>
          <w:rFonts w:hint="default" w:ascii="Times New Roman" w:hAnsi="Times New Roman" w:cs="Times New Roman"/>
          <w:szCs w:val="21"/>
          <w:highlight w:val="none"/>
        </w:rPr>
        <w:t>按本合同规定应付的违约金、赔偿金和各种经济损失，应当在明确责任后10日内支付，逾期加付同期银行利息。</w:t>
      </w:r>
    </w:p>
    <w:p w14:paraId="6FB26B0E">
      <w:pPr>
        <w:numPr>
          <w:ilvl w:val="0"/>
          <w:numId w:val="0"/>
        </w:numPr>
        <w:spacing w:line="360" w:lineRule="auto"/>
        <w:ind w:left="0" w:leftChars="0" w:firstLine="840" w:firstLineChars="400"/>
        <w:rPr>
          <w:rFonts w:hint="default" w:ascii="Times New Roman" w:hAnsi="Times New Roman" w:eastAsia="宋体" w:cs="Times New Roman"/>
          <w:kern w:val="2"/>
          <w:sz w:val="21"/>
          <w:szCs w:val="21"/>
          <w:highlight w:val="none"/>
          <w:lang w:val="fr-FR" w:eastAsia="zh-CN" w:bidi="ar-SA"/>
        </w:rPr>
      </w:pPr>
      <w:r>
        <w:rPr>
          <w:rFonts w:hint="default" w:ascii="Times New Roman" w:hAnsi="Times New Roman" w:eastAsia="宋体" w:cs="Times New Roman"/>
          <w:kern w:val="2"/>
          <w:sz w:val="21"/>
          <w:szCs w:val="21"/>
          <w:highlight w:val="none"/>
          <w:lang w:val="fr-FR" w:eastAsia="zh-CN" w:bidi="ar-SA"/>
        </w:rPr>
        <w:t>Toutes les indemnités pour violation du contrat, dommages-intérêts et diverses pertes économiques dues conformément aux stipulations du présent contrat doivent être payées dans un délai de 10 jours à compter de la détermination définitive de la responsabilité ; en cas de retard de paiement, les intérêts bancaires du même période seront ajoutés et payés en complément.</w:t>
      </w:r>
    </w:p>
    <w:p w14:paraId="3A98001A">
      <w:pPr>
        <w:numPr>
          <w:ilvl w:val="0"/>
          <w:numId w:val="0"/>
        </w:numPr>
        <w:spacing w:line="360" w:lineRule="auto"/>
        <w:ind w:left="0" w:leftChars="0" w:firstLine="420" w:firstLineChars="200"/>
        <w:rPr>
          <w:rFonts w:hint="default" w:ascii="Times New Roman" w:hAnsi="Times New Roman" w:cs="Times New Roman"/>
          <w:szCs w:val="21"/>
          <w:highlight w:val="none"/>
          <w:lang w:val="fr-FR"/>
        </w:rPr>
      </w:pPr>
      <w:r>
        <w:rPr>
          <w:rFonts w:hint="default" w:ascii="Times New Roman" w:hAnsi="Times New Roman" w:eastAsia="宋体" w:cs="Times New Roman"/>
          <w:kern w:val="2"/>
          <w:sz w:val="21"/>
          <w:szCs w:val="21"/>
          <w:highlight w:val="none"/>
          <w:lang w:val="fr-FR" w:eastAsia="zh-CN" w:bidi="ar-SA"/>
        </w:rPr>
        <w:t>（</w:t>
      </w:r>
      <w:r>
        <w:rPr>
          <w:rFonts w:hint="default" w:ascii="Times New Roman" w:hAnsi="Times New Roman" w:cs="Times New Roman"/>
          <w:kern w:val="2"/>
          <w:sz w:val="21"/>
          <w:szCs w:val="21"/>
          <w:highlight w:val="none"/>
          <w:lang w:val="en-US" w:eastAsia="zh-CN" w:bidi="ar-SA"/>
        </w:rPr>
        <w:t>II</w:t>
      </w:r>
      <w:r>
        <w:rPr>
          <w:rFonts w:hint="default" w:ascii="Times New Roman" w:hAnsi="Times New Roman" w:eastAsia="宋体" w:cs="Times New Roman"/>
          <w:kern w:val="2"/>
          <w:sz w:val="21"/>
          <w:szCs w:val="21"/>
          <w:highlight w:val="none"/>
          <w:lang w:val="fr-FR" w:eastAsia="zh-CN" w:bidi="ar-SA"/>
        </w:rPr>
        <w:t>）</w:t>
      </w:r>
      <w:r>
        <w:rPr>
          <w:rFonts w:hint="default" w:ascii="Times New Roman" w:hAnsi="Times New Roman" w:cs="Times New Roman"/>
          <w:szCs w:val="21"/>
          <w:highlight w:val="none"/>
        </w:rPr>
        <w:t>本合同未尽事宜，由甲乙双方协商解决，如有必要订立补充协议。补充协议与本合同具有相同的法律效力。</w:t>
      </w:r>
    </w:p>
    <w:p w14:paraId="0B0CBC20">
      <w:pPr>
        <w:numPr>
          <w:ilvl w:val="0"/>
          <w:numId w:val="0"/>
        </w:numPr>
        <w:spacing w:line="360" w:lineRule="auto"/>
        <w:ind w:left="0" w:leftChars="0" w:firstLine="840" w:firstLineChars="400"/>
        <w:rPr>
          <w:rFonts w:hint="default" w:ascii="Times New Roman" w:hAnsi="Times New Roman" w:eastAsia="宋体" w:cs="Times New Roman"/>
          <w:kern w:val="2"/>
          <w:sz w:val="21"/>
          <w:szCs w:val="21"/>
          <w:highlight w:val="none"/>
          <w:lang w:val="fr-FR" w:eastAsia="zh-CN" w:bidi="ar-SA"/>
        </w:rPr>
      </w:pPr>
      <w:r>
        <w:rPr>
          <w:rFonts w:hint="default" w:ascii="Times New Roman" w:hAnsi="Times New Roman" w:eastAsia="宋体" w:cs="Times New Roman"/>
          <w:kern w:val="2"/>
          <w:sz w:val="21"/>
          <w:szCs w:val="21"/>
          <w:highlight w:val="none"/>
          <w:lang w:val="fr-FR" w:eastAsia="zh-CN" w:bidi="ar-SA"/>
        </w:rPr>
        <w:t>Tous les points non prévus par le présent contrat seront résolus par consultation entre les deux parties ; si nécessaire, un accord complémentaire sera conclu. Cet accord complémentaire aura la même force et effet juridique que le présent contrat.</w:t>
      </w:r>
    </w:p>
    <w:p w14:paraId="62BC894B">
      <w:pPr>
        <w:numPr>
          <w:ilvl w:val="0"/>
          <w:numId w:val="0"/>
        </w:numPr>
        <w:spacing w:line="360" w:lineRule="auto"/>
        <w:ind w:left="0" w:leftChars="0" w:firstLine="420" w:firstLineChars="200"/>
        <w:rPr>
          <w:rFonts w:hint="default" w:ascii="Times New Roman" w:hAnsi="Times New Roman" w:cs="Times New Roman"/>
          <w:szCs w:val="21"/>
          <w:highlight w:val="none"/>
          <w:lang w:val="fr-FR"/>
        </w:rPr>
      </w:pPr>
      <w:r>
        <w:rPr>
          <w:rFonts w:hint="default" w:ascii="Times New Roman" w:hAnsi="Times New Roman" w:eastAsia="宋体" w:cs="Times New Roman"/>
          <w:kern w:val="2"/>
          <w:sz w:val="21"/>
          <w:szCs w:val="21"/>
          <w:highlight w:val="none"/>
          <w:lang w:val="fr-FR" w:eastAsia="zh-CN" w:bidi="ar-SA"/>
        </w:rPr>
        <w:t>（</w:t>
      </w:r>
      <w:r>
        <w:rPr>
          <w:rFonts w:hint="default" w:ascii="Times New Roman" w:hAnsi="Times New Roman" w:cs="Times New Roman"/>
          <w:kern w:val="2"/>
          <w:sz w:val="21"/>
          <w:szCs w:val="21"/>
          <w:highlight w:val="none"/>
          <w:lang w:val="en-US" w:eastAsia="zh-CN" w:bidi="ar-SA"/>
        </w:rPr>
        <w:t>III</w:t>
      </w:r>
      <w:r>
        <w:rPr>
          <w:rFonts w:hint="default" w:ascii="Times New Roman" w:hAnsi="Times New Roman" w:eastAsia="宋体" w:cs="Times New Roman"/>
          <w:kern w:val="2"/>
          <w:sz w:val="21"/>
          <w:szCs w:val="21"/>
          <w:highlight w:val="none"/>
          <w:lang w:val="fr-FR" w:eastAsia="zh-CN" w:bidi="ar-SA"/>
        </w:rPr>
        <w:t>）</w:t>
      </w:r>
      <w:r>
        <w:rPr>
          <w:rFonts w:hint="default" w:ascii="Times New Roman" w:hAnsi="Times New Roman" w:cs="Times New Roman"/>
          <w:szCs w:val="21"/>
          <w:highlight w:val="none"/>
        </w:rPr>
        <w:t>本合同项目联系人负责日常联系和合同具体履行中的沟通。</w:t>
      </w:r>
    </w:p>
    <w:p w14:paraId="120861ED">
      <w:pPr>
        <w:numPr>
          <w:ilvl w:val="0"/>
          <w:numId w:val="0"/>
        </w:numPr>
        <w:spacing w:line="360" w:lineRule="auto"/>
        <w:ind w:left="0" w:leftChars="0" w:firstLine="840" w:firstLineChars="400"/>
        <w:rPr>
          <w:rFonts w:hint="default" w:ascii="Times New Roman" w:hAnsi="Times New Roman" w:eastAsia="宋体" w:cs="Times New Roman"/>
          <w:kern w:val="2"/>
          <w:sz w:val="21"/>
          <w:szCs w:val="21"/>
          <w:highlight w:val="none"/>
          <w:lang w:val="fr-FR" w:eastAsia="zh-CN" w:bidi="ar-SA"/>
        </w:rPr>
      </w:pPr>
      <w:r>
        <w:rPr>
          <w:rFonts w:hint="default" w:ascii="Times New Roman" w:hAnsi="Times New Roman" w:eastAsia="宋体" w:cs="Times New Roman"/>
          <w:kern w:val="2"/>
          <w:sz w:val="21"/>
          <w:szCs w:val="21"/>
          <w:highlight w:val="none"/>
          <w:lang w:val="fr-FR" w:eastAsia="zh-CN" w:bidi="ar-SA"/>
        </w:rPr>
        <w:t>Le contact du projet du présent contrat est responsable des contacts quotidiens et des communications relatives à l</w:t>
      </w:r>
      <w:r>
        <w:rPr>
          <w:rFonts w:hint="eastAsia" w:ascii="Times New Roman" w:hAnsi="Times New Roman" w:cs="Times New Roman"/>
          <w:kern w:val="2"/>
          <w:sz w:val="21"/>
          <w:szCs w:val="21"/>
          <w:highlight w:val="none"/>
          <w:lang w:val="fr-FR" w:eastAsia="zh-CN" w:bidi="ar-SA"/>
        </w:rPr>
        <w:t>'</w:t>
      </w:r>
      <w:r>
        <w:rPr>
          <w:rFonts w:hint="default" w:ascii="Times New Roman" w:hAnsi="Times New Roman" w:eastAsia="宋体" w:cs="Times New Roman"/>
          <w:kern w:val="2"/>
          <w:sz w:val="21"/>
          <w:szCs w:val="21"/>
          <w:highlight w:val="none"/>
          <w:lang w:val="fr-FR" w:eastAsia="zh-CN" w:bidi="ar-SA"/>
        </w:rPr>
        <w:t>exécution concrète du contrat.</w:t>
      </w:r>
    </w:p>
    <w:p w14:paraId="1CF9608B">
      <w:pPr>
        <w:numPr>
          <w:ilvl w:val="0"/>
          <w:numId w:val="0"/>
        </w:numPr>
        <w:spacing w:line="360" w:lineRule="auto"/>
        <w:ind w:left="0" w:leftChars="0" w:firstLine="420" w:firstLineChars="200"/>
        <w:rPr>
          <w:rFonts w:hint="default" w:ascii="Times New Roman" w:hAnsi="Times New Roman" w:cs="Times New Roman"/>
          <w:szCs w:val="21"/>
          <w:highlight w:val="none"/>
          <w:lang w:val="fr-FR"/>
        </w:rPr>
      </w:pPr>
      <w:r>
        <w:rPr>
          <w:rFonts w:hint="default" w:ascii="Times New Roman" w:hAnsi="Times New Roman" w:eastAsia="宋体" w:cs="Times New Roman"/>
          <w:kern w:val="2"/>
          <w:sz w:val="21"/>
          <w:szCs w:val="21"/>
          <w:highlight w:val="none"/>
          <w:lang w:val="fr-FR" w:eastAsia="zh-CN" w:bidi="ar-SA"/>
        </w:rPr>
        <w:t>（</w:t>
      </w:r>
      <w:r>
        <w:rPr>
          <w:rFonts w:hint="default" w:ascii="Times New Roman" w:hAnsi="Times New Roman" w:cs="Times New Roman"/>
          <w:kern w:val="2"/>
          <w:sz w:val="21"/>
          <w:szCs w:val="21"/>
          <w:highlight w:val="none"/>
          <w:lang w:val="en-US" w:eastAsia="zh-CN" w:bidi="ar-SA"/>
        </w:rPr>
        <w:t>IV</w:t>
      </w:r>
      <w:r>
        <w:rPr>
          <w:rFonts w:hint="default" w:ascii="Times New Roman" w:hAnsi="Times New Roman" w:eastAsia="宋体" w:cs="Times New Roman"/>
          <w:kern w:val="2"/>
          <w:sz w:val="21"/>
          <w:szCs w:val="21"/>
          <w:highlight w:val="none"/>
          <w:lang w:val="fr-FR" w:eastAsia="zh-CN" w:bidi="ar-SA"/>
        </w:rPr>
        <w:t>）</w:t>
      </w:r>
      <w:r>
        <w:rPr>
          <w:rFonts w:hint="default" w:ascii="Times New Roman" w:hAnsi="Times New Roman" w:cs="Times New Roman"/>
          <w:szCs w:val="21"/>
          <w:highlight w:val="none"/>
        </w:rPr>
        <w:t>本合同原件一式陆份，甲方执4份，乙方执2份。</w:t>
      </w:r>
    </w:p>
    <w:p w14:paraId="66514357">
      <w:pPr>
        <w:numPr>
          <w:ilvl w:val="0"/>
          <w:numId w:val="0"/>
        </w:numPr>
        <w:spacing w:line="360" w:lineRule="auto"/>
        <w:ind w:left="0" w:leftChars="0" w:firstLine="840" w:firstLineChars="400"/>
        <w:rPr>
          <w:rFonts w:hint="default" w:ascii="Times New Roman" w:hAnsi="Times New Roman" w:eastAsia="宋体" w:cs="Times New Roman"/>
          <w:kern w:val="2"/>
          <w:sz w:val="21"/>
          <w:szCs w:val="21"/>
          <w:highlight w:val="none"/>
          <w:lang w:val="fr-FR" w:eastAsia="zh-CN" w:bidi="ar-SA"/>
        </w:rPr>
      </w:pPr>
      <w:r>
        <w:rPr>
          <w:color w:val="000000"/>
          <w:szCs w:val="21"/>
          <w:highlight w:val="none"/>
          <w:lang w:val="fr-FR"/>
        </w:rPr>
        <w:t>Le</w:t>
      </w:r>
      <w:r>
        <w:rPr>
          <w:rFonts w:hint="eastAsia"/>
          <w:color w:val="000000"/>
          <w:szCs w:val="21"/>
          <w:highlight w:val="none"/>
          <w:lang w:val="fr-FR"/>
        </w:rPr>
        <w:t xml:space="preserve"> présent contrat est signé en 6 exemplaires  (dont quatre exemplaires par </w:t>
      </w:r>
      <w:r>
        <w:rPr>
          <w:rFonts w:hint="eastAsia"/>
          <w:color w:val="000000"/>
          <w:szCs w:val="21"/>
          <w:highlight w:val="none"/>
          <w:lang w:val="fr-FR" w:eastAsia="zh-CN"/>
        </w:rPr>
        <w:t>le Client</w:t>
      </w:r>
      <w:r>
        <w:rPr>
          <w:rFonts w:hint="eastAsia"/>
          <w:color w:val="000000"/>
          <w:szCs w:val="21"/>
          <w:highlight w:val="none"/>
          <w:lang w:val="fr-FR"/>
        </w:rPr>
        <w:t xml:space="preserve"> et deux par </w:t>
      </w:r>
      <w:r>
        <w:rPr>
          <w:rFonts w:hint="eastAsia"/>
          <w:color w:val="000000"/>
          <w:szCs w:val="21"/>
          <w:highlight w:val="none"/>
          <w:lang w:val="fr-FR" w:eastAsia="zh-CN"/>
        </w:rPr>
        <w:t>le Prestataire</w:t>
      </w:r>
      <w:r>
        <w:rPr>
          <w:rFonts w:hint="eastAsia"/>
          <w:color w:val="000000"/>
          <w:szCs w:val="21"/>
          <w:highlight w:val="none"/>
          <w:lang w:val="fr-FR"/>
        </w:rPr>
        <w:t>).</w:t>
      </w:r>
    </w:p>
    <w:p w14:paraId="33A53D04">
      <w:pPr>
        <w:numPr>
          <w:ilvl w:val="0"/>
          <w:numId w:val="0"/>
        </w:numPr>
        <w:spacing w:line="360" w:lineRule="auto"/>
        <w:ind w:left="0" w:leftChars="0" w:firstLine="420" w:firstLineChars="200"/>
        <w:rPr>
          <w:rFonts w:hint="default" w:ascii="Times New Roman" w:hAnsi="Times New Roman" w:cs="Times New Roman"/>
          <w:szCs w:val="21"/>
          <w:highlight w:val="none"/>
        </w:rPr>
      </w:pPr>
      <w:r>
        <w:rPr>
          <w:rFonts w:hint="default" w:ascii="Times New Roman" w:hAnsi="Times New Roman" w:eastAsia="宋体" w:cs="Times New Roman"/>
          <w:kern w:val="2"/>
          <w:sz w:val="21"/>
          <w:szCs w:val="21"/>
          <w:highlight w:val="none"/>
          <w:lang w:val="fr-FR" w:eastAsia="zh-CN" w:bidi="ar-SA"/>
        </w:rPr>
        <w:t>（</w:t>
      </w:r>
      <w:r>
        <w:rPr>
          <w:rFonts w:hint="default" w:ascii="Times New Roman" w:hAnsi="Times New Roman" w:cs="Times New Roman"/>
          <w:kern w:val="2"/>
          <w:sz w:val="21"/>
          <w:szCs w:val="21"/>
          <w:highlight w:val="none"/>
          <w:lang w:val="en-US" w:eastAsia="zh-CN" w:bidi="ar-SA"/>
        </w:rPr>
        <w:t>V</w:t>
      </w:r>
      <w:r>
        <w:rPr>
          <w:rFonts w:hint="default" w:ascii="Times New Roman" w:hAnsi="Times New Roman" w:eastAsia="宋体" w:cs="Times New Roman"/>
          <w:kern w:val="2"/>
          <w:sz w:val="21"/>
          <w:szCs w:val="21"/>
          <w:highlight w:val="none"/>
          <w:lang w:val="fr-FR" w:eastAsia="zh-CN" w:bidi="ar-SA"/>
        </w:rPr>
        <w:t>）</w:t>
      </w:r>
      <w:r>
        <w:rPr>
          <w:rFonts w:hint="default" w:ascii="Times New Roman" w:hAnsi="Times New Roman" w:cs="Times New Roman"/>
          <w:szCs w:val="21"/>
          <w:highlight w:val="none"/>
        </w:rPr>
        <w:t>附件作为合同组成部分，具有同等法律效力。</w:t>
      </w:r>
    </w:p>
    <w:p w14:paraId="60FA52BE">
      <w:pPr>
        <w:numPr>
          <w:ilvl w:val="0"/>
          <w:numId w:val="0"/>
        </w:numPr>
        <w:spacing w:line="360" w:lineRule="auto"/>
        <w:ind w:left="0" w:leftChars="0" w:firstLine="840" w:firstLineChars="400"/>
        <w:rPr>
          <w:rFonts w:hint="eastAsia" w:ascii="Times New Roman" w:hAnsi="Times New Roman" w:eastAsia="宋体" w:cs="Times New Roman"/>
          <w:szCs w:val="21"/>
          <w:highlight w:val="none"/>
          <w:lang w:val="en-US" w:eastAsia="zh-CN"/>
        </w:rPr>
      </w:pPr>
      <w:r>
        <w:rPr>
          <w:color w:val="000000"/>
          <w:szCs w:val="21"/>
          <w:highlight w:val="none"/>
          <w:lang w:val="fr-FR"/>
        </w:rPr>
        <w:t>Les annexes ont les mêmes effets juridiques en tant que partie intégrante du contrat</w:t>
      </w:r>
      <w:r>
        <w:rPr>
          <w:rFonts w:hint="eastAsia"/>
          <w:color w:val="000000"/>
          <w:szCs w:val="21"/>
          <w:highlight w:val="none"/>
          <w:lang w:val="en-US" w:eastAsia="zh-CN"/>
        </w:rPr>
        <w:t>.</w:t>
      </w:r>
    </w:p>
    <w:p w14:paraId="7694632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eastAsia="方正仿宋_GB2312" w:cs="Times New Roman"/>
          <w:color w:val="auto"/>
          <w:sz w:val="21"/>
          <w:szCs w:val="21"/>
          <w:highlight w:val="none"/>
          <w:lang w:val="en-US" w:eastAsia="zh-CN"/>
        </w:rPr>
      </w:pPr>
    </w:p>
    <w:p w14:paraId="30F4A35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eastAsia="方正仿宋_GB2312" w:cs="Times New Roman"/>
          <w:color w:val="auto"/>
          <w:sz w:val="21"/>
          <w:szCs w:val="21"/>
          <w:highlight w:val="none"/>
          <w:lang w:val="en-US" w:eastAsia="zh-CN"/>
        </w:rPr>
      </w:pPr>
    </w:p>
    <w:p w14:paraId="4354CA0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eastAsia="方正仿宋_GB2312" w:cs="Times New Roman"/>
          <w:color w:val="auto"/>
          <w:sz w:val="21"/>
          <w:szCs w:val="21"/>
          <w:highlight w:val="none"/>
          <w:lang w:val="en-US" w:eastAsia="zh-CN"/>
        </w:rPr>
      </w:pPr>
    </w:p>
    <w:p w14:paraId="55C8D7C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eastAsia="方正仿宋_GB2312" w:cs="Times New Roman"/>
          <w:color w:val="auto"/>
          <w:sz w:val="21"/>
          <w:szCs w:val="21"/>
          <w:highlight w:val="none"/>
          <w:lang w:val="en-US" w:eastAsia="zh-CN"/>
        </w:rPr>
      </w:pPr>
    </w:p>
    <w:p w14:paraId="3748FD3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eastAsia="方正仿宋_GB2312" w:cs="Times New Roman"/>
          <w:color w:val="auto"/>
          <w:sz w:val="21"/>
          <w:szCs w:val="21"/>
          <w:highlight w:val="none"/>
          <w:lang w:val="en-US" w:eastAsia="zh-CN"/>
        </w:rPr>
      </w:pPr>
    </w:p>
    <w:p w14:paraId="11A5FB8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eastAsia="方正仿宋_GB2312" w:cs="Times New Roman"/>
          <w:color w:val="auto"/>
          <w:sz w:val="21"/>
          <w:szCs w:val="21"/>
          <w:highlight w:val="none"/>
          <w:lang w:val="en-US" w:eastAsia="zh-CN"/>
        </w:rPr>
      </w:pPr>
    </w:p>
    <w:p w14:paraId="5263EF7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eastAsia="方正仿宋_GB2312" w:cs="Times New Roman"/>
          <w:color w:val="auto"/>
          <w:sz w:val="21"/>
          <w:szCs w:val="21"/>
          <w:highlight w:val="none"/>
          <w:lang w:val="en-US" w:eastAsia="zh-CN"/>
        </w:rPr>
      </w:pPr>
    </w:p>
    <w:p w14:paraId="2092243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eastAsia="方正仿宋_GB2312" w:cs="Times New Roman"/>
          <w:color w:val="auto"/>
          <w:sz w:val="21"/>
          <w:szCs w:val="21"/>
          <w:highlight w:val="none"/>
          <w:lang w:val="en-US" w:eastAsia="zh-CN"/>
        </w:rPr>
      </w:pPr>
    </w:p>
    <w:p w14:paraId="209DDED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eastAsia="方正仿宋_GB2312" w:cs="Times New Roman"/>
          <w:color w:val="auto"/>
          <w:sz w:val="21"/>
          <w:szCs w:val="21"/>
          <w:highlight w:val="none"/>
          <w:lang w:val="en-US" w:eastAsia="zh-CN"/>
        </w:rPr>
      </w:pPr>
    </w:p>
    <w:p w14:paraId="70C0CB8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eastAsia="方正仿宋_GB2312" w:cs="Times New Roman"/>
          <w:color w:val="auto"/>
          <w:sz w:val="21"/>
          <w:szCs w:val="21"/>
          <w:highlight w:val="none"/>
          <w:lang w:val="en-US" w:eastAsia="zh-CN"/>
        </w:rPr>
      </w:pPr>
    </w:p>
    <w:p w14:paraId="29E80C0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eastAsia="方正仿宋_GB2312" w:cs="Times New Roman"/>
          <w:color w:val="auto"/>
          <w:sz w:val="21"/>
          <w:szCs w:val="21"/>
          <w:highlight w:val="none"/>
          <w:lang w:val="en-US" w:eastAsia="zh-CN"/>
        </w:rPr>
      </w:pPr>
    </w:p>
    <w:p w14:paraId="21F15A6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eastAsia="方正仿宋_GB2312" w:cs="Times New Roman"/>
          <w:color w:val="auto"/>
          <w:sz w:val="21"/>
          <w:szCs w:val="21"/>
          <w:highlight w:val="none"/>
          <w:lang w:val="en-US" w:eastAsia="zh-CN"/>
        </w:rPr>
      </w:pPr>
    </w:p>
    <w:p w14:paraId="4B0767D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eastAsia="方正仿宋_GB2312" w:cs="Times New Roman"/>
          <w:color w:val="auto"/>
          <w:sz w:val="21"/>
          <w:szCs w:val="21"/>
          <w:highlight w:val="none"/>
          <w:lang w:val="en-US" w:eastAsia="zh-CN"/>
        </w:rPr>
      </w:pPr>
    </w:p>
    <w:p w14:paraId="2B45A85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eastAsia="方正仿宋_GB2312" w:cs="Times New Roman"/>
          <w:color w:val="auto"/>
          <w:sz w:val="21"/>
          <w:szCs w:val="21"/>
          <w:highlight w:val="none"/>
          <w:lang w:val="en-US" w:eastAsia="zh-CN"/>
        </w:rPr>
      </w:pPr>
    </w:p>
    <w:p w14:paraId="6BBE3C4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eastAsia="方正仿宋_GB2312" w:cs="Times New Roman"/>
          <w:color w:val="auto"/>
          <w:sz w:val="21"/>
          <w:szCs w:val="21"/>
          <w:highlight w:val="none"/>
          <w:lang w:val="en-US" w:eastAsia="zh-CN"/>
        </w:rPr>
      </w:pPr>
    </w:p>
    <w:p w14:paraId="5103F57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eastAsia="方正仿宋_GB2312" w:cs="Times New Roman"/>
          <w:color w:val="auto"/>
          <w:sz w:val="21"/>
          <w:szCs w:val="21"/>
          <w:highlight w:val="none"/>
          <w:lang w:val="en-US" w:eastAsia="zh-CN"/>
        </w:rPr>
      </w:pPr>
    </w:p>
    <w:p w14:paraId="52D492C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eastAsia="方正仿宋_GB2312" w:cs="Times New Roman"/>
          <w:color w:val="auto"/>
          <w:sz w:val="21"/>
          <w:szCs w:val="21"/>
          <w:highlight w:val="none"/>
          <w:lang w:val="en-US" w:eastAsia="zh-CN"/>
        </w:rPr>
      </w:pPr>
    </w:p>
    <w:p w14:paraId="2BF83DC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eastAsia="方正仿宋_GB2312" w:cs="Times New Roman"/>
          <w:color w:val="auto"/>
          <w:sz w:val="21"/>
          <w:szCs w:val="21"/>
          <w:highlight w:val="none"/>
          <w:lang w:val="en-US" w:eastAsia="zh-CN"/>
        </w:rPr>
      </w:pPr>
    </w:p>
    <w:p w14:paraId="03B9A5A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eastAsia="方正仿宋_GB2312" w:cs="Times New Roman"/>
          <w:color w:val="auto"/>
          <w:sz w:val="21"/>
          <w:szCs w:val="21"/>
          <w:highlight w:val="none"/>
          <w:lang w:val="en-US" w:eastAsia="zh-CN"/>
        </w:rPr>
      </w:pPr>
    </w:p>
    <w:p w14:paraId="745177B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eastAsia="方正仿宋_GB2312" w:cs="Times New Roman"/>
          <w:color w:val="auto"/>
          <w:sz w:val="21"/>
          <w:szCs w:val="21"/>
          <w:highlight w:val="none"/>
          <w:lang w:val="en-US" w:eastAsia="zh-CN"/>
        </w:rPr>
      </w:pPr>
    </w:p>
    <w:p w14:paraId="43300A4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eastAsia="方正仿宋_GB2312" w:cs="Times New Roman"/>
          <w:color w:val="auto"/>
          <w:sz w:val="21"/>
          <w:szCs w:val="21"/>
          <w:highlight w:val="none"/>
          <w:lang w:val="en-US" w:eastAsia="zh-CN"/>
        </w:rPr>
      </w:pPr>
    </w:p>
    <w:p w14:paraId="3B8C883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eastAsia="方正仿宋_GB2312" w:cs="Times New Roman"/>
          <w:color w:val="auto"/>
          <w:sz w:val="21"/>
          <w:szCs w:val="21"/>
          <w:highlight w:val="none"/>
          <w:lang w:val="en-US" w:eastAsia="zh-CN"/>
        </w:rPr>
      </w:pPr>
    </w:p>
    <w:p w14:paraId="7669DA1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eastAsia="方正仿宋_GB2312" w:cs="Times New Roman"/>
          <w:color w:val="auto"/>
          <w:sz w:val="21"/>
          <w:szCs w:val="21"/>
          <w:highlight w:val="none"/>
          <w:lang w:val="en-US" w:eastAsia="zh-CN"/>
        </w:rPr>
      </w:pPr>
    </w:p>
    <w:p w14:paraId="47F31A2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eastAsia="方正仿宋_GB2312" w:cs="Times New Roman"/>
          <w:color w:val="auto"/>
          <w:sz w:val="21"/>
          <w:szCs w:val="21"/>
          <w:highlight w:val="none"/>
          <w:lang w:val="en-US" w:eastAsia="zh-CN"/>
        </w:rPr>
      </w:pPr>
      <w:r>
        <w:rPr>
          <w:rFonts w:hint="default" w:ascii="Times New Roman" w:hAnsi="Times New Roman" w:eastAsia="方正仿宋_GB2312" w:cs="Times New Roman"/>
          <w:color w:val="auto"/>
          <w:sz w:val="21"/>
          <w:szCs w:val="21"/>
          <w:highlight w:val="none"/>
          <w:lang w:val="en-US" w:eastAsia="zh-CN"/>
        </w:rPr>
        <w:t xml:space="preserve">  </w:t>
      </w:r>
    </w:p>
    <w:p w14:paraId="05F611C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eastAsia="方正仿宋_GB2312" w:cs="Times New Roman"/>
          <w:color w:val="auto"/>
          <w:sz w:val="21"/>
          <w:szCs w:val="21"/>
          <w:highlight w:val="none"/>
          <w:lang w:eastAsia="zh-CN"/>
        </w:rPr>
      </w:pPr>
      <w:r>
        <w:rPr>
          <w:rFonts w:hint="default" w:ascii="Times New Roman" w:hAnsi="Times New Roman" w:eastAsia="方正仿宋_GB2312" w:cs="Times New Roman"/>
          <w:color w:val="auto"/>
          <w:sz w:val="21"/>
          <w:szCs w:val="21"/>
          <w:highlight w:val="none"/>
          <w:lang w:eastAsia="zh-CN"/>
        </w:rPr>
        <w:t>（</w:t>
      </w:r>
      <w:r>
        <w:rPr>
          <w:rFonts w:hint="default" w:ascii="Times New Roman" w:hAnsi="Times New Roman" w:eastAsia="方正仿宋_GB2312" w:cs="Times New Roman"/>
          <w:color w:val="auto"/>
          <w:sz w:val="21"/>
          <w:szCs w:val="21"/>
          <w:highlight w:val="none"/>
          <w:lang w:val="en-US" w:eastAsia="zh-CN"/>
        </w:rPr>
        <w:t>以下为签署页 无正文</w:t>
      </w:r>
      <w:r>
        <w:rPr>
          <w:rFonts w:hint="default" w:ascii="Times New Roman" w:hAnsi="Times New Roman" w:eastAsia="方正仿宋_GB2312" w:cs="Times New Roman"/>
          <w:color w:val="auto"/>
          <w:sz w:val="21"/>
          <w:szCs w:val="21"/>
          <w:highlight w:val="none"/>
          <w:lang w:eastAsia="zh-CN"/>
        </w:rPr>
        <w:t>）</w:t>
      </w:r>
    </w:p>
    <w:p w14:paraId="0366A4E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default" w:ascii="Times New Roman" w:hAnsi="Times New Roman" w:cs="Times New Roman"/>
          <w:szCs w:val="21"/>
          <w:highlight w:val="none"/>
          <w:lang w:val="fr-FR"/>
        </w:rPr>
      </w:pPr>
      <w:r>
        <w:rPr>
          <w:rFonts w:hint="default" w:ascii="Times New Roman" w:hAnsi="Times New Roman" w:eastAsia="方正仿宋_GB2312" w:cs="Times New Roman"/>
          <w:color w:val="000000"/>
          <w:sz w:val="21"/>
          <w:szCs w:val="21"/>
          <w:highlight w:val="none"/>
          <w:lang w:eastAsia="zh-CN"/>
        </w:rPr>
        <w:t>(La page suivante est celle des signatures, sans texte.)</w:t>
      </w:r>
    </w:p>
    <w:p w14:paraId="21DA204E">
      <w:pPr>
        <w:pStyle w:val="21"/>
        <w:rPr>
          <w:rFonts w:hint="default" w:ascii="Times New Roman" w:hAnsi="Times New Roman" w:cs="Times New Roman"/>
          <w:szCs w:val="21"/>
          <w:highlight w:val="none"/>
          <w:lang w:val="fr-FR"/>
        </w:rPr>
      </w:pPr>
    </w:p>
    <w:tbl>
      <w:tblPr>
        <w:tblStyle w:val="32"/>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4"/>
        <w:gridCol w:w="4256"/>
      </w:tblGrid>
      <w:tr w14:paraId="519EE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4544" w:type="dxa"/>
            <w:vMerge w:val="restart"/>
            <w:tcBorders>
              <w:top w:val="nil"/>
              <w:left w:val="nil"/>
              <w:bottom w:val="nil"/>
              <w:right w:val="nil"/>
            </w:tcBorders>
          </w:tcPr>
          <w:p w14:paraId="72486D9C">
            <w:pPr>
              <w:spacing w:line="360" w:lineRule="auto"/>
              <w:rPr>
                <w:rFonts w:hint="default" w:ascii="Times New Roman" w:hAnsi="Times New Roman" w:cs="Times New Roman"/>
                <w:szCs w:val="21"/>
                <w:highlight w:val="none"/>
                <w:lang w:val="fr-FR"/>
              </w:rPr>
            </w:pPr>
            <w:r>
              <w:rPr>
                <w:rFonts w:hint="default" w:ascii="Times New Roman" w:hAnsi="Times New Roman" w:cs="Times New Roman"/>
                <w:szCs w:val="21"/>
                <w:highlight w:val="none"/>
              </w:rPr>
              <w:t>甲方</w:t>
            </w:r>
            <w:r>
              <w:rPr>
                <w:rFonts w:hint="default" w:ascii="Times New Roman" w:hAnsi="Times New Roman" w:cs="Times New Roman"/>
                <w:szCs w:val="21"/>
                <w:highlight w:val="none"/>
                <w:lang w:val="fr-FR"/>
              </w:rPr>
              <w:t>（</w:t>
            </w:r>
            <w:r>
              <w:rPr>
                <w:rFonts w:hint="default" w:ascii="Times New Roman" w:hAnsi="Times New Roman" w:cs="Times New Roman"/>
                <w:szCs w:val="21"/>
                <w:highlight w:val="none"/>
              </w:rPr>
              <w:t>盖章</w:t>
            </w:r>
            <w:r>
              <w:rPr>
                <w:rFonts w:hint="default" w:ascii="Times New Roman" w:hAnsi="Times New Roman" w:cs="Times New Roman"/>
                <w:szCs w:val="21"/>
                <w:highlight w:val="none"/>
                <w:lang w:val="fr-FR"/>
              </w:rPr>
              <w:t>）：</w:t>
            </w:r>
            <w:r>
              <w:rPr>
                <w:rFonts w:hint="default" w:ascii="Times New Roman" w:hAnsi="Times New Roman" w:cs="Times New Roman"/>
                <w:szCs w:val="21"/>
                <w:highlight w:val="none"/>
                <w:lang w:val="fr-FR" w:eastAsia="zh-CN"/>
              </w:rPr>
              <w:t>Client</w:t>
            </w:r>
            <w:r>
              <w:rPr>
                <w:rFonts w:hint="default" w:ascii="Times New Roman" w:hAnsi="Times New Roman" w:cs="Times New Roman"/>
                <w:szCs w:val="21"/>
                <w:highlight w:val="none"/>
                <w:lang w:val="fr-FR"/>
              </w:rPr>
              <w:t xml:space="preserve"> (Cachet) :</w:t>
            </w:r>
          </w:p>
          <w:p w14:paraId="02BC5D69">
            <w:pPr>
              <w:spacing w:line="360" w:lineRule="auto"/>
              <w:rPr>
                <w:rFonts w:hint="default" w:ascii="Times New Roman" w:hAnsi="Times New Roman" w:cs="Times New Roman"/>
                <w:szCs w:val="21"/>
                <w:highlight w:val="none"/>
                <w:lang w:val="fr-FR"/>
              </w:rPr>
            </w:pPr>
            <w:r>
              <w:rPr>
                <w:rFonts w:hint="default" w:ascii="Times New Roman" w:hAnsi="Times New Roman" w:cs="Times New Roman"/>
                <w:szCs w:val="21"/>
                <w:highlight w:val="none"/>
                <w:lang w:val="fr-FR"/>
              </w:rPr>
              <w:t>Guinea Colia Mining S.A.</w:t>
            </w:r>
          </w:p>
          <w:p w14:paraId="03CB8BFA">
            <w:pPr>
              <w:spacing w:line="360" w:lineRule="auto"/>
              <w:rPr>
                <w:rFonts w:hint="default" w:ascii="Times New Roman" w:hAnsi="Times New Roman" w:cs="Times New Roman"/>
                <w:szCs w:val="21"/>
                <w:highlight w:val="none"/>
                <w:lang w:val="fr-FR"/>
              </w:rPr>
            </w:pPr>
          </w:p>
          <w:p w14:paraId="642226EC">
            <w:pPr>
              <w:spacing w:line="360" w:lineRule="auto"/>
              <w:rPr>
                <w:rFonts w:hint="default" w:ascii="Times New Roman" w:hAnsi="Times New Roman" w:cs="Times New Roman"/>
                <w:szCs w:val="21"/>
                <w:highlight w:val="none"/>
                <w:lang w:val="fr-FR"/>
              </w:rPr>
            </w:pPr>
            <w:r>
              <w:rPr>
                <w:rFonts w:hint="default" w:ascii="Times New Roman" w:hAnsi="Times New Roman" w:cs="Times New Roman"/>
                <w:szCs w:val="21"/>
                <w:highlight w:val="none"/>
              </w:rPr>
              <w:t>法定代表人</w:t>
            </w:r>
            <w:r>
              <w:rPr>
                <w:rFonts w:hint="default" w:ascii="Times New Roman" w:hAnsi="Times New Roman" w:cs="Times New Roman"/>
                <w:szCs w:val="21"/>
                <w:highlight w:val="none"/>
                <w:lang w:val="fr-FR"/>
              </w:rPr>
              <w:t>/</w:t>
            </w:r>
            <w:r>
              <w:rPr>
                <w:rFonts w:hint="default" w:ascii="Times New Roman" w:hAnsi="Times New Roman" w:cs="Times New Roman"/>
                <w:szCs w:val="21"/>
                <w:highlight w:val="none"/>
              </w:rPr>
              <w:t>委托代理人</w:t>
            </w:r>
            <w:r>
              <w:rPr>
                <w:rFonts w:hint="default" w:ascii="Times New Roman" w:hAnsi="Times New Roman" w:cs="Times New Roman"/>
                <w:szCs w:val="21"/>
                <w:highlight w:val="none"/>
                <w:lang w:val="fr-FR"/>
              </w:rPr>
              <w:t>：（</w:t>
            </w:r>
            <w:r>
              <w:rPr>
                <w:rFonts w:hint="default" w:ascii="Times New Roman" w:hAnsi="Times New Roman" w:cs="Times New Roman"/>
                <w:szCs w:val="21"/>
                <w:highlight w:val="none"/>
              </w:rPr>
              <w:t>签名</w:t>
            </w:r>
            <w:r>
              <w:rPr>
                <w:rFonts w:hint="default" w:ascii="Times New Roman" w:hAnsi="Times New Roman" w:cs="Times New Roman"/>
                <w:szCs w:val="21"/>
                <w:highlight w:val="none"/>
                <w:lang w:val="fr-FR"/>
              </w:rPr>
              <w:t>）</w:t>
            </w:r>
          </w:p>
          <w:p w14:paraId="0A0A25E5">
            <w:pPr>
              <w:spacing w:line="360" w:lineRule="auto"/>
              <w:rPr>
                <w:rFonts w:hint="default" w:ascii="Times New Roman" w:hAnsi="Times New Roman" w:cs="Times New Roman"/>
                <w:szCs w:val="21"/>
                <w:highlight w:val="none"/>
                <w:lang w:val="fr-FR"/>
              </w:rPr>
            </w:pPr>
            <w:r>
              <w:rPr>
                <w:rFonts w:hint="default" w:ascii="Times New Roman" w:hAnsi="Times New Roman" w:cs="Times New Roman"/>
                <w:szCs w:val="21"/>
                <w:highlight w:val="none"/>
                <w:lang w:val="fr-FR"/>
              </w:rPr>
              <w:t xml:space="preserve">Représentant légal / Mandataire (Signature) : </w:t>
            </w:r>
          </w:p>
          <w:p w14:paraId="1851358C">
            <w:pPr>
              <w:spacing w:line="360" w:lineRule="auto"/>
              <w:rPr>
                <w:rFonts w:hint="default" w:ascii="Times New Roman" w:hAnsi="Times New Roman" w:cs="Times New Roman"/>
                <w:szCs w:val="21"/>
                <w:highlight w:val="none"/>
              </w:rPr>
            </w:pPr>
          </w:p>
          <w:p w14:paraId="18BFBDE4">
            <w:pPr>
              <w:spacing w:line="360" w:lineRule="auto"/>
              <w:rPr>
                <w:rFonts w:hint="default" w:ascii="Times New Roman" w:hAnsi="Times New Roman" w:cs="Times New Roman"/>
                <w:szCs w:val="21"/>
                <w:highlight w:val="none"/>
              </w:rPr>
            </w:pPr>
          </w:p>
          <w:p w14:paraId="0AE9B9EB">
            <w:pPr>
              <w:spacing w:line="360" w:lineRule="auto"/>
              <w:rPr>
                <w:rFonts w:hint="default" w:ascii="Times New Roman" w:hAnsi="Times New Roman" w:cs="Times New Roman"/>
                <w:szCs w:val="21"/>
                <w:highlight w:val="none"/>
                <w:lang w:val="fr-FR"/>
              </w:rPr>
            </w:pPr>
            <w:r>
              <w:rPr>
                <w:rFonts w:hint="default" w:ascii="Times New Roman" w:hAnsi="Times New Roman" w:cs="Times New Roman"/>
                <w:szCs w:val="21"/>
                <w:highlight w:val="none"/>
              </w:rPr>
              <w:t>开户银行</w:t>
            </w:r>
            <w:r>
              <w:rPr>
                <w:rFonts w:hint="default" w:ascii="Times New Roman" w:hAnsi="Times New Roman" w:cs="Times New Roman"/>
                <w:szCs w:val="21"/>
                <w:highlight w:val="none"/>
                <w:lang w:val="fr-FR"/>
              </w:rPr>
              <w:t>：SOCIETE GENERALE HONG KONG</w:t>
            </w:r>
          </w:p>
          <w:p w14:paraId="572C4626">
            <w:pPr>
              <w:spacing w:line="360" w:lineRule="auto"/>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fr-FR"/>
              </w:rPr>
              <w:t>Compte bancaire :SOCIETE GENERALE HONG KONG</w:t>
            </w:r>
          </w:p>
          <w:p w14:paraId="6F078097">
            <w:pPr>
              <w:spacing w:line="360" w:lineRule="auto"/>
              <w:rPr>
                <w:rFonts w:hint="default" w:ascii="Times New Roman" w:hAnsi="Times New Roman" w:cs="Times New Roman"/>
                <w:szCs w:val="21"/>
                <w:highlight w:val="none"/>
                <w:lang w:val="fr-FR"/>
              </w:rPr>
            </w:pPr>
          </w:p>
          <w:p w14:paraId="261BA41D">
            <w:pPr>
              <w:spacing w:line="360" w:lineRule="auto"/>
              <w:jc w:val="both"/>
              <w:rPr>
                <w:rFonts w:hint="default" w:ascii="Times New Roman" w:hAnsi="Times New Roman" w:cs="Times New Roman"/>
                <w:szCs w:val="21"/>
                <w:highlight w:val="none"/>
                <w:lang w:val="fr-FR"/>
              </w:rPr>
            </w:pPr>
            <w:r>
              <w:rPr>
                <w:rFonts w:hint="default" w:ascii="Times New Roman" w:hAnsi="Times New Roman" w:cs="Times New Roman"/>
                <w:szCs w:val="21"/>
                <w:highlight w:val="none"/>
              </w:rPr>
              <w:t>帐号</w:t>
            </w:r>
            <w:r>
              <w:rPr>
                <w:rFonts w:hint="default" w:ascii="Times New Roman" w:hAnsi="Times New Roman" w:cs="Times New Roman"/>
                <w:szCs w:val="21"/>
                <w:highlight w:val="none"/>
                <w:lang w:val="fr-FR"/>
              </w:rPr>
              <w:t>：</w:t>
            </w:r>
          </w:p>
          <w:p w14:paraId="48D59E93">
            <w:pPr>
              <w:spacing w:line="360" w:lineRule="auto"/>
              <w:jc w:val="both"/>
              <w:rPr>
                <w:rFonts w:hint="default" w:ascii="Times New Roman" w:hAnsi="Times New Roman" w:cs="Times New Roman"/>
                <w:szCs w:val="21"/>
                <w:highlight w:val="none"/>
                <w:lang w:val="fr-FR"/>
              </w:rPr>
            </w:pPr>
            <w:r>
              <w:rPr>
                <w:rFonts w:hint="default" w:ascii="Times New Roman" w:hAnsi="Times New Roman" w:cs="Times New Roman"/>
                <w:szCs w:val="21"/>
                <w:highlight w:val="none"/>
                <w:lang w:val="fr-FR"/>
              </w:rPr>
              <w:t>Numéro du compte : 705183473002（CNY）</w:t>
            </w:r>
          </w:p>
          <w:p w14:paraId="6CB9A93B">
            <w:pPr>
              <w:spacing w:line="360" w:lineRule="auto"/>
              <w:jc w:val="both"/>
              <w:rPr>
                <w:rFonts w:hint="default" w:ascii="Times New Roman" w:hAnsi="Times New Roman" w:cs="Times New Roman"/>
                <w:szCs w:val="21"/>
                <w:highlight w:val="none"/>
                <w:lang w:val="fr-FR"/>
              </w:rPr>
            </w:pPr>
            <w:r>
              <w:rPr>
                <w:rFonts w:hint="default" w:ascii="Times New Roman" w:hAnsi="Times New Roman" w:cs="Times New Roman"/>
                <w:szCs w:val="21"/>
                <w:highlight w:val="none"/>
                <w:lang w:val="en-US" w:eastAsia="zh-CN"/>
              </w:rPr>
              <w:t xml:space="preserve">                 </w:t>
            </w:r>
            <w:r>
              <w:rPr>
                <w:rFonts w:hint="default" w:ascii="Times New Roman" w:hAnsi="Times New Roman" w:cs="Times New Roman"/>
                <w:szCs w:val="21"/>
                <w:highlight w:val="none"/>
                <w:lang w:val="fr-FR"/>
              </w:rPr>
              <w:t>705183473001（USD）</w:t>
            </w:r>
          </w:p>
          <w:p w14:paraId="75CD8FAE">
            <w:pPr>
              <w:spacing w:line="360" w:lineRule="auto"/>
              <w:jc w:val="both"/>
              <w:rPr>
                <w:rFonts w:hint="default" w:ascii="Times New Roman" w:hAnsi="Times New Roman" w:cs="Times New Roman"/>
                <w:szCs w:val="21"/>
                <w:highlight w:val="none"/>
                <w:lang w:val="fr-FR"/>
              </w:rPr>
            </w:pPr>
            <w:r>
              <w:rPr>
                <w:rFonts w:hint="default" w:ascii="Times New Roman" w:hAnsi="Times New Roman" w:cs="Times New Roman"/>
                <w:szCs w:val="21"/>
                <w:highlight w:val="none"/>
                <w:lang w:val="en-US" w:eastAsia="zh-CN"/>
              </w:rPr>
              <w:t xml:space="preserve">      </w:t>
            </w:r>
            <w:r>
              <w:rPr>
                <w:rFonts w:hint="default" w:ascii="Times New Roman" w:hAnsi="Times New Roman" w:cs="Times New Roman"/>
                <w:szCs w:val="21"/>
                <w:highlight w:val="none"/>
                <w:lang w:val="fr-FR"/>
              </w:rPr>
              <w:t>003 001 0000755146 06（GNF sgbg）</w:t>
            </w:r>
          </w:p>
          <w:p w14:paraId="5E6F0546">
            <w:pPr>
              <w:spacing w:line="360" w:lineRule="auto"/>
              <w:rPr>
                <w:rFonts w:hint="default" w:ascii="Times New Roman" w:hAnsi="Times New Roman" w:cs="Times New Roman"/>
                <w:highlight w:val="none"/>
              </w:rPr>
            </w:pPr>
            <w:r>
              <w:rPr>
                <w:rFonts w:hint="default" w:ascii="Times New Roman" w:hAnsi="Times New Roman" w:cs="Times New Roman"/>
                <w:szCs w:val="21"/>
                <w:highlight w:val="none"/>
                <w:lang w:val="fr-FR"/>
              </w:rPr>
              <w:t>Date</w:t>
            </w:r>
            <w:r>
              <w:rPr>
                <w:rFonts w:hint="default" w:ascii="Times New Roman" w:hAnsi="Times New Roman" w:cs="Times New Roman"/>
                <w:szCs w:val="21"/>
                <w:highlight w:val="none"/>
              </w:rPr>
              <w:t xml:space="preserve"> ：</w:t>
            </w:r>
            <w:r>
              <w:rPr>
                <w:rFonts w:hint="default" w:ascii="Times New Roman" w:hAnsi="Times New Roman" w:cs="Times New Roman"/>
                <w:szCs w:val="21"/>
                <w:highlight w:val="none"/>
                <w:lang w:val="en-US" w:eastAsia="zh-CN"/>
              </w:rPr>
              <w:t>202</w:t>
            </w:r>
            <w:r>
              <w:rPr>
                <w:rFonts w:hint="eastAsia" w:cs="Times New Roman"/>
                <w:szCs w:val="21"/>
                <w:highlight w:val="none"/>
                <w:lang w:val="en-US" w:eastAsia="zh-CN"/>
              </w:rPr>
              <w:t>6</w:t>
            </w:r>
            <w:r>
              <w:rPr>
                <w:rFonts w:hint="default" w:ascii="Times New Roman" w:hAnsi="Times New Roman" w:cs="Times New Roman"/>
                <w:szCs w:val="21"/>
                <w:highlight w:val="none"/>
              </w:rPr>
              <w:t>年</w:t>
            </w:r>
            <w:r>
              <w:rPr>
                <w:rFonts w:hint="eastAsia" w:cs="Times New Roman"/>
                <w:szCs w:val="21"/>
                <w:highlight w:val="yellow"/>
                <w:lang w:val="en-US" w:eastAsia="zh-CN"/>
              </w:rPr>
              <w:t>00</w:t>
            </w:r>
            <w:r>
              <w:rPr>
                <w:rFonts w:hint="default" w:ascii="Times New Roman" w:hAnsi="Times New Roman" w:cs="Times New Roman"/>
                <w:szCs w:val="21"/>
                <w:highlight w:val="none"/>
              </w:rPr>
              <w:t>月</w:t>
            </w:r>
            <w:r>
              <w:rPr>
                <w:rFonts w:hint="eastAsia" w:cs="Times New Roman"/>
                <w:szCs w:val="21"/>
                <w:highlight w:val="yellow"/>
                <w:lang w:val="en-US" w:eastAsia="zh-CN"/>
              </w:rPr>
              <w:t>00</w:t>
            </w:r>
            <w:r>
              <w:rPr>
                <w:rFonts w:hint="default" w:ascii="Times New Roman" w:hAnsi="Times New Roman" w:cs="Times New Roman"/>
                <w:szCs w:val="21"/>
                <w:highlight w:val="none"/>
              </w:rPr>
              <w:t>日</w:t>
            </w:r>
          </w:p>
        </w:tc>
        <w:tc>
          <w:tcPr>
            <w:tcW w:w="4256" w:type="dxa"/>
            <w:tcBorders>
              <w:top w:val="nil"/>
              <w:left w:val="nil"/>
              <w:bottom w:val="nil"/>
              <w:right w:val="nil"/>
            </w:tcBorders>
          </w:tcPr>
          <w:p w14:paraId="04A55243">
            <w:pPr>
              <w:spacing w:line="360" w:lineRule="auto"/>
              <w:rPr>
                <w:rFonts w:hint="default" w:ascii="Times New Roman" w:hAnsi="Times New Roman" w:cs="Times New Roman"/>
                <w:highlight w:val="none"/>
                <w:lang w:val="fr-FR"/>
              </w:rPr>
            </w:pPr>
            <w:r>
              <w:rPr>
                <w:rFonts w:hint="default" w:ascii="Times New Roman" w:hAnsi="Times New Roman" w:cs="Times New Roman"/>
                <w:highlight w:val="none"/>
              </w:rPr>
              <w:t>乙方（盖章）：</w:t>
            </w:r>
            <w:r>
              <w:rPr>
                <w:rFonts w:hint="default" w:ascii="Times New Roman" w:hAnsi="Times New Roman" w:cs="Times New Roman"/>
                <w:highlight w:val="none"/>
                <w:lang w:val="fr-FR" w:eastAsia="zh-CN"/>
              </w:rPr>
              <w:t>Prestataire</w:t>
            </w:r>
            <w:r>
              <w:rPr>
                <w:rFonts w:hint="default" w:ascii="Times New Roman" w:hAnsi="Times New Roman" w:cs="Times New Roman"/>
                <w:highlight w:val="none"/>
              </w:rPr>
              <w:t xml:space="preserve"> </w:t>
            </w:r>
            <w:r>
              <w:rPr>
                <w:rFonts w:hint="default" w:ascii="Times New Roman" w:hAnsi="Times New Roman" w:cs="Times New Roman"/>
                <w:highlight w:val="none"/>
                <w:lang w:val="fr-FR"/>
              </w:rPr>
              <w:t>(Cachet) :</w:t>
            </w:r>
          </w:p>
          <w:p w14:paraId="549D6933">
            <w:pPr>
              <w:pStyle w:val="20"/>
              <w:rPr>
                <w:rFonts w:hint="default" w:ascii="Times New Roman" w:hAnsi="Times New Roman" w:cs="Times New Roman"/>
                <w:highlight w:val="none"/>
                <w:lang w:eastAsia="zh-CN"/>
              </w:rPr>
            </w:pPr>
          </w:p>
        </w:tc>
      </w:tr>
      <w:tr w14:paraId="3FA0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jc w:val="center"/>
        </w:trPr>
        <w:tc>
          <w:tcPr>
            <w:tcW w:w="4544" w:type="dxa"/>
            <w:vMerge w:val="continue"/>
            <w:tcBorders>
              <w:top w:val="nil"/>
              <w:left w:val="nil"/>
              <w:bottom w:val="nil"/>
              <w:right w:val="nil"/>
            </w:tcBorders>
          </w:tcPr>
          <w:p w14:paraId="518C0082">
            <w:pPr>
              <w:spacing w:line="360" w:lineRule="auto"/>
              <w:rPr>
                <w:rFonts w:hint="default" w:ascii="Times New Roman" w:hAnsi="Times New Roman" w:cs="Times New Roman"/>
                <w:highlight w:val="none"/>
              </w:rPr>
            </w:pPr>
          </w:p>
        </w:tc>
        <w:tc>
          <w:tcPr>
            <w:tcW w:w="4256" w:type="dxa"/>
            <w:tcBorders>
              <w:top w:val="nil"/>
              <w:left w:val="nil"/>
              <w:bottom w:val="nil"/>
              <w:right w:val="nil"/>
            </w:tcBorders>
          </w:tcPr>
          <w:p w14:paraId="7F83E7F1">
            <w:pPr>
              <w:spacing w:line="360" w:lineRule="auto"/>
              <w:rPr>
                <w:rFonts w:hint="default" w:ascii="Times New Roman" w:hAnsi="Times New Roman" w:cs="Times New Roman"/>
                <w:highlight w:val="none"/>
                <w:lang w:val="fr-FR"/>
              </w:rPr>
            </w:pPr>
            <w:r>
              <w:rPr>
                <w:rFonts w:hint="default" w:ascii="Times New Roman" w:hAnsi="Times New Roman" w:cs="Times New Roman"/>
                <w:highlight w:val="none"/>
              </w:rPr>
              <w:t>法定代表人</w:t>
            </w:r>
            <w:r>
              <w:rPr>
                <w:rFonts w:hint="default" w:ascii="Times New Roman" w:hAnsi="Times New Roman" w:cs="Times New Roman"/>
                <w:highlight w:val="none"/>
                <w:lang w:val="fr-FR"/>
              </w:rPr>
              <w:t>/</w:t>
            </w:r>
            <w:r>
              <w:rPr>
                <w:rFonts w:hint="default" w:ascii="Times New Roman" w:hAnsi="Times New Roman" w:cs="Times New Roman"/>
                <w:highlight w:val="none"/>
              </w:rPr>
              <w:t>委托代理人：</w:t>
            </w:r>
            <w:r>
              <w:rPr>
                <w:rFonts w:hint="default" w:ascii="Times New Roman" w:hAnsi="Times New Roman" w:cs="Times New Roman"/>
                <w:highlight w:val="none"/>
                <w:lang w:val="fr-FR"/>
              </w:rPr>
              <w:t>（</w:t>
            </w:r>
            <w:r>
              <w:rPr>
                <w:rFonts w:hint="default" w:ascii="Times New Roman" w:hAnsi="Times New Roman" w:cs="Times New Roman"/>
                <w:highlight w:val="none"/>
              </w:rPr>
              <w:t>签名</w:t>
            </w:r>
            <w:r>
              <w:rPr>
                <w:rFonts w:hint="default" w:ascii="Times New Roman" w:hAnsi="Times New Roman" w:cs="Times New Roman"/>
                <w:highlight w:val="none"/>
                <w:lang w:val="fr-FR"/>
              </w:rPr>
              <w:t>）</w:t>
            </w:r>
          </w:p>
          <w:p w14:paraId="41563850">
            <w:pPr>
              <w:pStyle w:val="20"/>
              <w:rPr>
                <w:rFonts w:hint="default" w:ascii="Times New Roman" w:hAnsi="Times New Roman" w:eastAsia="宋体" w:cs="Times New Roman"/>
                <w:kern w:val="2"/>
                <w:sz w:val="21"/>
                <w:szCs w:val="21"/>
                <w:highlight w:val="none"/>
                <w:lang w:val="fr-FR" w:eastAsia="zh-CN" w:bidi="ar-SA"/>
              </w:rPr>
            </w:pPr>
            <w:r>
              <w:rPr>
                <w:rFonts w:hint="default" w:ascii="Times New Roman" w:hAnsi="Times New Roman" w:eastAsia="宋体" w:cs="Times New Roman"/>
                <w:kern w:val="2"/>
                <w:sz w:val="21"/>
                <w:szCs w:val="21"/>
                <w:highlight w:val="none"/>
                <w:lang w:val="fr-FR" w:eastAsia="zh-CN" w:bidi="ar-SA"/>
              </w:rPr>
              <w:t>Représentant légal / Mandataire (Signature) :</w:t>
            </w:r>
          </w:p>
          <w:p w14:paraId="03858190">
            <w:pPr>
              <w:pStyle w:val="21"/>
              <w:rPr>
                <w:rFonts w:hint="default" w:ascii="Times New Roman" w:hAnsi="Times New Roman" w:cs="Times New Roman"/>
                <w:szCs w:val="21"/>
                <w:highlight w:val="none"/>
                <w:lang w:val="fr-FR"/>
              </w:rPr>
            </w:pPr>
          </w:p>
          <w:p w14:paraId="007373E3">
            <w:pPr>
              <w:pStyle w:val="21"/>
              <w:rPr>
                <w:rFonts w:hint="default" w:ascii="Times New Roman" w:hAnsi="Times New Roman" w:cs="Times New Roman"/>
                <w:szCs w:val="21"/>
                <w:highlight w:val="none"/>
                <w:lang w:val="fr-FR"/>
              </w:rPr>
            </w:pPr>
          </w:p>
          <w:p w14:paraId="1030DDA7">
            <w:pPr>
              <w:pStyle w:val="21"/>
              <w:rPr>
                <w:rFonts w:hint="default" w:ascii="Times New Roman" w:hAnsi="Times New Roman" w:cs="Times New Roman"/>
                <w:szCs w:val="21"/>
                <w:highlight w:val="none"/>
                <w:lang w:val="fr-FR"/>
              </w:rPr>
            </w:pPr>
          </w:p>
          <w:p w14:paraId="4D5F5B4A">
            <w:pPr>
              <w:pStyle w:val="21"/>
              <w:rPr>
                <w:rFonts w:hint="default" w:ascii="Times New Roman" w:hAnsi="Times New Roman" w:cs="Times New Roman"/>
                <w:szCs w:val="21"/>
                <w:highlight w:val="none"/>
                <w:lang w:val="fr-FR"/>
              </w:rPr>
            </w:pPr>
          </w:p>
          <w:p w14:paraId="322C71EE">
            <w:pPr>
              <w:pStyle w:val="21"/>
              <w:rPr>
                <w:rFonts w:hint="default" w:ascii="Times New Roman" w:hAnsi="Times New Roman" w:cs="Times New Roman"/>
                <w:szCs w:val="21"/>
                <w:highlight w:val="none"/>
                <w:lang w:val="fr-FR"/>
              </w:rPr>
            </w:pPr>
          </w:p>
          <w:p w14:paraId="7F72500D">
            <w:pPr>
              <w:pStyle w:val="21"/>
              <w:rPr>
                <w:rFonts w:hint="default" w:ascii="Times New Roman" w:hAnsi="Times New Roman" w:cs="Times New Roman"/>
                <w:szCs w:val="21"/>
                <w:highlight w:val="none"/>
                <w:lang w:val="fr-FR"/>
              </w:rPr>
            </w:pPr>
          </w:p>
        </w:tc>
      </w:tr>
      <w:tr w14:paraId="0279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4544" w:type="dxa"/>
            <w:vMerge w:val="continue"/>
            <w:tcBorders>
              <w:top w:val="nil"/>
              <w:left w:val="nil"/>
              <w:bottom w:val="nil"/>
              <w:right w:val="nil"/>
            </w:tcBorders>
          </w:tcPr>
          <w:p w14:paraId="57B7A0BE">
            <w:pPr>
              <w:spacing w:line="360" w:lineRule="auto"/>
              <w:rPr>
                <w:rFonts w:hint="default" w:ascii="Times New Roman" w:hAnsi="Times New Roman" w:cs="Times New Roman"/>
                <w:highlight w:val="none"/>
              </w:rPr>
            </w:pPr>
          </w:p>
        </w:tc>
        <w:tc>
          <w:tcPr>
            <w:tcW w:w="4256" w:type="dxa"/>
            <w:tcBorders>
              <w:top w:val="nil"/>
              <w:left w:val="nil"/>
              <w:bottom w:val="nil"/>
              <w:right w:val="nil"/>
            </w:tcBorders>
          </w:tcPr>
          <w:p w14:paraId="177BF1C3">
            <w:pPr>
              <w:spacing w:line="360" w:lineRule="auto"/>
              <w:rPr>
                <w:rFonts w:hint="default" w:ascii="Times New Roman" w:hAnsi="Times New Roman" w:cs="Times New Roman"/>
                <w:highlight w:val="none"/>
                <w:lang w:val="fr-FR"/>
              </w:rPr>
            </w:pPr>
            <w:r>
              <w:rPr>
                <w:rFonts w:hint="default" w:ascii="Times New Roman" w:hAnsi="Times New Roman" w:cs="Times New Roman"/>
                <w:szCs w:val="21"/>
                <w:highlight w:val="none"/>
              </w:rPr>
              <w:t>开户银行</w:t>
            </w:r>
            <w:r>
              <w:rPr>
                <w:rFonts w:hint="default" w:ascii="Times New Roman" w:hAnsi="Times New Roman" w:cs="Times New Roman"/>
                <w:szCs w:val="21"/>
                <w:highlight w:val="none"/>
                <w:lang w:val="fr-FR"/>
              </w:rPr>
              <w:t xml:space="preserve">： </w:t>
            </w:r>
          </w:p>
        </w:tc>
      </w:tr>
      <w:tr w14:paraId="07879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544" w:type="dxa"/>
            <w:vMerge w:val="continue"/>
            <w:tcBorders>
              <w:top w:val="nil"/>
              <w:left w:val="nil"/>
              <w:bottom w:val="nil"/>
              <w:right w:val="nil"/>
            </w:tcBorders>
          </w:tcPr>
          <w:p w14:paraId="14EC9247">
            <w:pPr>
              <w:spacing w:line="360" w:lineRule="auto"/>
              <w:rPr>
                <w:rFonts w:hint="default" w:ascii="Times New Roman" w:hAnsi="Times New Roman" w:cs="Times New Roman"/>
                <w:highlight w:val="none"/>
                <w:lang w:val="fr-FR"/>
              </w:rPr>
            </w:pPr>
          </w:p>
        </w:tc>
        <w:tc>
          <w:tcPr>
            <w:tcW w:w="4256" w:type="dxa"/>
            <w:tcBorders>
              <w:top w:val="nil"/>
              <w:left w:val="nil"/>
              <w:bottom w:val="nil"/>
              <w:right w:val="nil"/>
            </w:tcBorders>
          </w:tcPr>
          <w:p w14:paraId="4A16D1AC">
            <w:pPr>
              <w:pStyle w:val="20"/>
              <w:rPr>
                <w:rFonts w:hint="default" w:ascii="Times New Roman" w:hAnsi="Times New Roman" w:cs="Times New Roman"/>
                <w:szCs w:val="21"/>
                <w:highlight w:val="none"/>
                <w:lang w:val="en-US"/>
              </w:rPr>
            </w:pPr>
            <w:r>
              <w:rPr>
                <w:rFonts w:hint="default" w:ascii="Times New Roman" w:hAnsi="Times New Roman" w:eastAsia="宋体" w:cs="Times New Roman"/>
                <w:kern w:val="2"/>
                <w:sz w:val="21"/>
                <w:szCs w:val="21"/>
                <w:highlight w:val="none"/>
                <w:lang w:val="fr-FR" w:eastAsia="zh-CN" w:bidi="ar-SA"/>
              </w:rPr>
              <w:t>Compte bancaire :</w:t>
            </w:r>
          </w:p>
        </w:tc>
      </w:tr>
      <w:tr w14:paraId="43ED0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jc w:val="center"/>
        </w:trPr>
        <w:tc>
          <w:tcPr>
            <w:tcW w:w="4544" w:type="dxa"/>
            <w:vMerge w:val="continue"/>
            <w:tcBorders>
              <w:top w:val="nil"/>
              <w:left w:val="nil"/>
              <w:bottom w:val="nil"/>
              <w:right w:val="nil"/>
            </w:tcBorders>
          </w:tcPr>
          <w:p w14:paraId="5C227C59">
            <w:pPr>
              <w:spacing w:line="360" w:lineRule="auto"/>
              <w:rPr>
                <w:rFonts w:hint="default" w:ascii="Times New Roman" w:hAnsi="Times New Roman" w:cs="Times New Roman"/>
                <w:highlight w:val="none"/>
              </w:rPr>
            </w:pPr>
          </w:p>
        </w:tc>
        <w:tc>
          <w:tcPr>
            <w:tcW w:w="4256" w:type="dxa"/>
            <w:tcBorders>
              <w:top w:val="nil"/>
              <w:left w:val="nil"/>
              <w:bottom w:val="nil"/>
              <w:right w:val="nil"/>
            </w:tcBorders>
          </w:tcPr>
          <w:p w14:paraId="7B76AD6F">
            <w:pPr>
              <w:pStyle w:val="20"/>
              <w:rPr>
                <w:rFonts w:hint="default" w:ascii="Times New Roman" w:hAnsi="Times New Roman" w:cs="Times New Roman"/>
                <w:sz w:val="21"/>
                <w:szCs w:val="21"/>
                <w:highlight w:val="none"/>
                <w:lang w:val="fr-FR"/>
              </w:rPr>
            </w:pPr>
          </w:p>
          <w:p w14:paraId="628B4021">
            <w:pPr>
              <w:pStyle w:val="20"/>
              <w:rPr>
                <w:rFonts w:hint="default" w:ascii="Times New Roman" w:hAnsi="Times New Roman" w:cs="Times New Roman"/>
                <w:sz w:val="21"/>
                <w:szCs w:val="21"/>
                <w:highlight w:val="none"/>
                <w:lang w:val="fr-FR"/>
              </w:rPr>
            </w:pPr>
          </w:p>
          <w:p w14:paraId="1C171EE6">
            <w:pPr>
              <w:pStyle w:val="20"/>
              <w:rPr>
                <w:rFonts w:hint="default" w:ascii="Times New Roman" w:hAnsi="Times New Roman" w:cs="Times New Roman"/>
                <w:sz w:val="21"/>
                <w:szCs w:val="21"/>
                <w:highlight w:val="none"/>
                <w:lang w:val="fr-FR"/>
              </w:rPr>
            </w:pPr>
          </w:p>
          <w:p w14:paraId="61C8402C">
            <w:pPr>
              <w:pStyle w:val="20"/>
              <w:rPr>
                <w:rFonts w:hint="default" w:ascii="Times New Roman" w:hAnsi="Times New Roman" w:cs="Times New Roman"/>
                <w:sz w:val="21"/>
                <w:szCs w:val="21"/>
                <w:highlight w:val="none"/>
                <w:lang w:val="fr-FR"/>
              </w:rPr>
            </w:pPr>
          </w:p>
          <w:p w14:paraId="1499E9C4">
            <w:pPr>
              <w:pStyle w:val="20"/>
              <w:rPr>
                <w:rFonts w:hint="default" w:ascii="Times New Roman" w:hAnsi="Times New Roman" w:cs="Times New Roman"/>
                <w:sz w:val="21"/>
                <w:szCs w:val="21"/>
                <w:highlight w:val="none"/>
                <w:lang w:val="fr-FR"/>
              </w:rPr>
            </w:pPr>
            <w:r>
              <w:rPr>
                <w:rFonts w:hint="default" w:ascii="Times New Roman" w:hAnsi="Times New Roman" w:cs="Times New Roman"/>
                <w:sz w:val="21"/>
                <w:szCs w:val="21"/>
                <w:highlight w:val="none"/>
                <w:lang w:val="fr-FR"/>
              </w:rPr>
              <w:t>帐号：</w:t>
            </w:r>
          </w:p>
          <w:p w14:paraId="4B993BA2">
            <w:pPr>
              <w:pStyle w:val="21"/>
              <w:rPr>
                <w:rFonts w:hint="eastAsia" w:ascii="Times New Roman" w:hAnsi="Times New Roman" w:eastAsia="宋体" w:cs="Times New Roman"/>
                <w:highlight w:val="none"/>
                <w:lang w:val="fr-FR" w:eastAsia="zh-CN"/>
              </w:rPr>
            </w:pPr>
            <w:r>
              <w:rPr>
                <w:rFonts w:hint="default" w:ascii="Times New Roman" w:hAnsi="Times New Roman" w:cs="Times New Roman"/>
                <w:szCs w:val="21"/>
                <w:highlight w:val="none"/>
                <w:lang w:val="fr-FR"/>
              </w:rPr>
              <w:t xml:space="preserve">Numéro du compte </w:t>
            </w:r>
            <w:r>
              <w:rPr>
                <w:rFonts w:hint="default" w:ascii="Times New Roman" w:hAnsi="Times New Roman" w:eastAsia="宋体" w:cs="Times New Roman"/>
                <w:kern w:val="2"/>
                <w:sz w:val="21"/>
                <w:szCs w:val="21"/>
                <w:highlight w:val="none"/>
                <w:lang w:val="fr-FR" w:eastAsia="zh-CN" w:bidi="ar-SA"/>
              </w:rPr>
              <w:t>:</w:t>
            </w:r>
            <w:r>
              <w:rPr>
                <w:rFonts w:hint="eastAsia" w:cs="Times New Roman"/>
                <w:szCs w:val="21"/>
                <w:highlight w:val="none"/>
                <w:lang w:val="en-US" w:eastAsia="zh-CN"/>
              </w:rPr>
              <w:t xml:space="preserve"> </w:t>
            </w:r>
          </w:p>
          <w:p w14:paraId="2098C486">
            <w:pPr>
              <w:pStyle w:val="21"/>
              <w:rPr>
                <w:rFonts w:hint="default" w:ascii="Times New Roman" w:hAnsi="Times New Roman" w:cs="Times New Roman"/>
                <w:sz w:val="21"/>
                <w:szCs w:val="21"/>
                <w:highlight w:val="none"/>
              </w:rPr>
            </w:pPr>
          </w:p>
        </w:tc>
      </w:tr>
      <w:tr w14:paraId="5323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4544" w:type="dxa"/>
            <w:vMerge w:val="continue"/>
            <w:tcBorders>
              <w:top w:val="nil"/>
              <w:left w:val="nil"/>
              <w:bottom w:val="nil"/>
              <w:right w:val="nil"/>
            </w:tcBorders>
          </w:tcPr>
          <w:p w14:paraId="282EB602">
            <w:pPr>
              <w:spacing w:line="360" w:lineRule="auto"/>
              <w:rPr>
                <w:rFonts w:hint="default" w:ascii="Times New Roman" w:hAnsi="Times New Roman" w:cs="Times New Roman"/>
                <w:highlight w:val="none"/>
                <w:lang w:val="fr-FR"/>
              </w:rPr>
            </w:pPr>
          </w:p>
        </w:tc>
        <w:tc>
          <w:tcPr>
            <w:tcW w:w="4256" w:type="dxa"/>
            <w:tcBorders>
              <w:top w:val="nil"/>
              <w:left w:val="nil"/>
              <w:bottom w:val="nil"/>
              <w:right w:val="nil"/>
            </w:tcBorders>
            <w:vAlign w:val="center"/>
          </w:tcPr>
          <w:p w14:paraId="40FA5C80">
            <w:pPr>
              <w:spacing w:line="360" w:lineRule="auto"/>
              <w:rPr>
                <w:rFonts w:hint="default" w:ascii="Times New Roman" w:hAnsi="Times New Roman" w:cs="Times New Roman"/>
                <w:szCs w:val="21"/>
                <w:highlight w:val="none"/>
                <w:lang w:val="fr-FR"/>
              </w:rPr>
            </w:pPr>
          </w:p>
          <w:p w14:paraId="09A6A332">
            <w:pPr>
              <w:spacing w:line="360" w:lineRule="auto"/>
              <w:rPr>
                <w:rFonts w:hint="default" w:ascii="Times New Roman" w:hAnsi="Times New Roman" w:cs="Times New Roman"/>
                <w:sz w:val="21"/>
                <w:szCs w:val="21"/>
                <w:highlight w:val="none"/>
                <w:lang w:val="fr-FR"/>
              </w:rPr>
            </w:pPr>
            <w:r>
              <w:rPr>
                <w:rFonts w:hint="default" w:ascii="Times New Roman" w:hAnsi="Times New Roman" w:cs="Times New Roman"/>
                <w:szCs w:val="21"/>
                <w:highlight w:val="none"/>
                <w:lang w:val="fr-FR"/>
              </w:rPr>
              <w:t>Date</w:t>
            </w:r>
            <w:r>
              <w:rPr>
                <w:rFonts w:hint="default" w:ascii="Times New Roman" w:hAnsi="Times New Roman" w:cs="Times New Roman"/>
                <w:szCs w:val="21"/>
                <w:highlight w:val="none"/>
              </w:rPr>
              <w:t xml:space="preserve"> ：</w:t>
            </w:r>
            <w:r>
              <w:rPr>
                <w:rFonts w:hint="default" w:ascii="Times New Roman" w:hAnsi="Times New Roman" w:cs="Times New Roman"/>
                <w:szCs w:val="21"/>
                <w:highlight w:val="none"/>
                <w:lang w:val="en-US" w:eastAsia="zh-CN"/>
              </w:rPr>
              <w:t>202</w:t>
            </w:r>
            <w:r>
              <w:rPr>
                <w:rFonts w:hint="eastAsia" w:cs="Times New Roman"/>
                <w:szCs w:val="21"/>
                <w:highlight w:val="none"/>
                <w:lang w:val="en-US" w:eastAsia="zh-CN"/>
              </w:rPr>
              <w:t>6</w:t>
            </w:r>
            <w:r>
              <w:rPr>
                <w:rFonts w:hint="default" w:ascii="Times New Roman" w:hAnsi="Times New Roman" w:cs="Times New Roman"/>
                <w:szCs w:val="21"/>
                <w:highlight w:val="none"/>
              </w:rPr>
              <w:t>年</w:t>
            </w:r>
            <w:r>
              <w:rPr>
                <w:rFonts w:hint="eastAsia" w:cs="Times New Roman"/>
                <w:szCs w:val="21"/>
                <w:highlight w:val="yellow"/>
                <w:lang w:val="en-US" w:eastAsia="zh-CN"/>
              </w:rPr>
              <w:t>00</w:t>
            </w:r>
            <w:r>
              <w:rPr>
                <w:rFonts w:hint="default" w:ascii="Times New Roman" w:hAnsi="Times New Roman" w:cs="Times New Roman"/>
                <w:szCs w:val="21"/>
                <w:highlight w:val="none"/>
              </w:rPr>
              <w:t>月</w:t>
            </w:r>
            <w:r>
              <w:rPr>
                <w:rFonts w:hint="eastAsia" w:cs="Times New Roman"/>
                <w:szCs w:val="21"/>
                <w:highlight w:val="yellow"/>
                <w:lang w:val="en-US" w:eastAsia="zh-CN"/>
              </w:rPr>
              <w:t>00</w:t>
            </w:r>
            <w:r>
              <w:rPr>
                <w:rFonts w:hint="default" w:ascii="Times New Roman" w:hAnsi="Times New Roman" w:cs="Times New Roman"/>
                <w:szCs w:val="21"/>
                <w:highlight w:val="none"/>
              </w:rPr>
              <w:t>日</w:t>
            </w:r>
          </w:p>
        </w:tc>
      </w:tr>
    </w:tbl>
    <w:p w14:paraId="4A070E16">
      <w:pPr>
        <w:pStyle w:val="20"/>
        <w:tabs>
          <w:tab w:val="clear" w:pos="4153"/>
        </w:tabs>
        <w:rPr>
          <w:rFonts w:hint="default" w:ascii="Times New Roman" w:hAnsi="Times New Roman" w:cs="Times New Roman"/>
          <w:highlight w:val="none"/>
          <w:lang w:val="fr-FR"/>
        </w:rPr>
      </w:pPr>
    </w:p>
    <w:p w14:paraId="2C5C3B43">
      <w:pPr>
        <w:rPr>
          <w:rFonts w:hint="default" w:ascii="Times New Roman" w:hAnsi="Times New Roman" w:cs="Times New Roman"/>
          <w:highlight w:val="none"/>
          <w:lang w:val="fr-FR"/>
        </w:rPr>
      </w:pPr>
    </w:p>
    <w:p w14:paraId="044A2E03">
      <w:pPr>
        <w:rPr>
          <w:rFonts w:hint="default" w:ascii="Times New Roman" w:hAnsi="Times New Roman" w:cs="Times New Roman"/>
          <w:highlight w:val="none"/>
        </w:rPr>
      </w:pPr>
    </w:p>
    <w:p w14:paraId="4E79DDA9">
      <w:pPr>
        <w:rPr>
          <w:rFonts w:hint="default" w:ascii="Times New Roman" w:hAnsi="Times New Roman" w:cs="Times New Roman"/>
          <w:highlight w:val="none"/>
        </w:rPr>
      </w:pPr>
    </w:p>
    <w:p w14:paraId="769FE4CF">
      <w:pPr>
        <w:pStyle w:val="20"/>
        <w:tabs>
          <w:tab w:val="clear" w:pos="4153"/>
        </w:tabs>
        <w:rPr>
          <w:lang w:val="fr-FR"/>
        </w:rPr>
        <w:sectPr>
          <w:headerReference r:id="rId9" w:type="default"/>
          <w:footerReference r:id="rId10" w:type="default"/>
          <w:pgSz w:w="11907" w:h="16840"/>
          <w:pgMar w:top="1418" w:right="1134" w:bottom="1134" w:left="1418" w:header="851" w:footer="567" w:gutter="0"/>
          <w:cols w:space="720" w:num="1"/>
          <w:titlePg/>
          <w:docGrid w:type="lines" w:linePitch="286" w:charSpace="0"/>
        </w:sectPr>
      </w:pPr>
    </w:p>
    <w:p w14:paraId="2E79E8E0">
      <w:pPr>
        <w:pStyle w:val="2"/>
        <w:adjustRightInd w:val="0"/>
        <w:snapToGrid w:val="0"/>
        <w:spacing w:before="0" w:after="0" w:line="360" w:lineRule="auto"/>
        <w:jc w:val="center"/>
        <w:rPr>
          <w:sz w:val="28"/>
          <w:szCs w:val="28"/>
        </w:rPr>
      </w:pPr>
      <w:r>
        <w:rPr>
          <w:sz w:val="28"/>
          <w:szCs w:val="28"/>
        </w:rPr>
        <w:t>第四章 响应文件</w:t>
      </w:r>
      <w:bookmarkEnd w:id="83"/>
      <w:r>
        <w:rPr>
          <w:sz w:val="28"/>
          <w:szCs w:val="28"/>
        </w:rPr>
        <w:t>格式</w:t>
      </w:r>
      <w:bookmarkEnd w:id="84"/>
    </w:p>
    <w:p w14:paraId="15E7A1C2">
      <w:pPr>
        <w:pStyle w:val="2"/>
        <w:adjustRightInd w:val="0"/>
        <w:snapToGrid w:val="0"/>
        <w:spacing w:before="0" w:after="0" w:line="360" w:lineRule="auto"/>
        <w:jc w:val="center"/>
        <w:rPr>
          <w:sz w:val="28"/>
          <w:szCs w:val="28"/>
          <w:lang w:val="fr-FR"/>
        </w:rPr>
      </w:pPr>
      <w:r>
        <w:rPr>
          <w:sz w:val="28"/>
          <w:szCs w:val="28"/>
          <w:lang w:val="fr-FR"/>
        </w:rPr>
        <w:t>Chapitre IV - Format du document de réponse</w:t>
      </w:r>
    </w:p>
    <w:p w14:paraId="723554C8">
      <w:pPr>
        <w:keepNext/>
        <w:keepLines/>
        <w:adjustRightInd w:val="0"/>
        <w:snapToGrid w:val="0"/>
        <w:spacing w:line="360" w:lineRule="auto"/>
      </w:pPr>
      <w:bookmarkStart w:id="86" w:name="_Toc22051"/>
      <w:r>
        <w:rPr>
          <w:b/>
          <w:szCs w:val="21"/>
          <w:lang w:val="zh-CN"/>
        </w:rPr>
        <w:t>【编注：</w:t>
      </w:r>
      <w:r>
        <w:rPr>
          <w:b/>
          <w:szCs w:val="21"/>
        </w:rPr>
        <w:t>响应文件按技术、商务部分（也称文件A）和价格部分（也称文件B）须分开编制，单独上传</w:t>
      </w:r>
      <w:r>
        <w:rPr>
          <w:b/>
          <w:szCs w:val="21"/>
          <w:lang w:val="zh-CN"/>
        </w:rPr>
        <w:t>】</w:t>
      </w:r>
    </w:p>
    <w:bookmarkEnd w:id="86"/>
    <w:p w14:paraId="03027D89">
      <w:pPr>
        <w:adjustRightInd w:val="0"/>
        <w:snapToGrid w:val="0"/>
        <w:spacing w:line="360" w:lineRule="auto"/>
        <w:ind w:firstLine="422" w:firstLineChars="200"/>
        <w:rPr>
          <w:b/>
        </w:rPr>
      </w:pPr>
      <w:r>
        <w:rPr>
          <w:b/>
        </w:rPr>
        <w:t>重要提示：</w:t>
      </w:r>
    </w:p>
    <w:p w14:paraId="1196B46F">
      <w:pPr>
        <w:adjustRightInd w:val="0"/>
        <w:snapToGrid w:val="0"/>
        <w:spacing w:line="360" w:lineRule="auto"/>
        <w:ind w:firstLine="422" w:firstLineChars="200"/>
        <w:rPr>
          <w:b/>
        </w:rPr>
      </w:pPr>
      <w:r>
        <w:rPr>
          <w:b/>
        </w:rPr>
        <w:t>1.请各响应人严格按照响应文件格式编制响应文件（包括封面、目录、章节），未按响应文件格式编制的响应文件引起的一切后果自负。</w:t>
      </w:r>
    </w:p>
    <w:p w14:paraId="5D94BAA0">
      <w:pPr>
        <w:adjustRightInd w:val="0"/>
        <w:snapToGrid w:val="0"/>
        <w:spacing w:line="360" w:lineRule="auto"/>
        <w:ind w:firstLine="422" w:firstLineChars="200"/>
        <w:rPr>
          <w:b/>
        </w:rPr>
      </w:pPr>
      <w:r>
        <w:rPr>
          <w:b/>
        </w:rPr>
        <w:t>2.请各响应人务必仔细阅读采购文件，编写有关内容。</w:t>
      </w:r>
    </w:p>
    <w:p w14:paraId="2DC874BA">
      <w:pPr>
        <w:spacing w:line="360" w:lineRule="auto"/>
        <w:ind w:firstLine="422" w:firstLineChars="200"/>
        <w:rPr>
          <w:b/>
          <w:bCs/>
          <w:szCs w:val="21"/>
          <w:lang w:val="fr-FR"/>
        </w:rPr>
      </w:pPr>
      <w:r>
        <w:rPr>
          <w:b/>
          <w:bCs/>
          <w:szCs w:val="21"/>
          <w:lang w:val="fr-FR"/>
        </w:rPr>
        <w:t>[Note de l'éditeur : Les documents de réponse doivent être préparés séparément et téléchargés séparément en fonction des parties techniques et commerciales (également appelées Document A) et de la partie prix (également appelée Document B)].</w:t>
      </w:r>
    </w:p>
    <w:p w14:paraId="7E32CCEC">
      <w:pPr>
        <w:spacing w:line="360" w:lineRule="auto"/>
        <w:ind w:firstLine="422" w:firstLineChars="200"/>
        <w:rPr>
          <w:b/>
          <w:bCs/>
          <w:szCs w:val="21"/>
          <w:lang w:val="fr-FR"/>
        </w:rPr>
      </w:pPr>
      <w:r>
        <w:rPr>
          <w:b/>
          <w:bCs/>
          <w:szCs w:val="21"/>
          <w:lang w:val="fr-FR"/>
        </w:rPr>
        <w:t>Notes importantes :</w:t>
      </w:r>
    </w:p>
    <w:p w14:paraId="7DEC7344">
      <w:pPr>
        <w:spacing w:line="360" w:lineRule="auto"/>
        <w:ind w:firstLine="422" w:firstLineChars="200"/>
        <w:rPr>
          <w:b/>
          <w:bCs/>
          <w:szCs w:val="21"/>
          <w:lang w:val="fr-FR"/>
        </w:rPr>
      </w:pPr>
      <w:r>
        <w:rPr>
          <w:b/>
          <w:bCs/>
          <w:szCs w:val="21"/>
          <w:lang w:val="fr-FR"/>
        </w:rPr>
        <w:t>1) Chaque soumissionnaire est prié de préparer le document de réponse (y compris la couverture, le catalogue et les chapitres) en respectant scrupuleusement le format du document de réponse, et supportera toutes les conséquences découlant du fait que le document de réponse n'a pas été préparé conformément au format du document de réponse.</w:t>
      </w:r>
    </w:p>
    <w:p w14:paraId="730EE984">
      <w:pPr>
        <w:spacing w:line="360" w:lineRule="auto"/>
        <w:ind w:firstLine="422" w:firstLineChars="200"/>
        <w:rPr>
          <w:b/>
          <w:bCs/>
          <w:szCs w:val="21"/>
          <w:lang w:val="fr-FR"/>
        </w:rPr>
      </w:pPr>
      <w:r>
        <w:rPr>
          <w:b/>
          <w:bCs/>
          <w:szCs w:val="21"/>
          <w:lang w:val="fr-FR"/>
        </w:rPr>
        <w:t>2) Veillez à ce que chaque soumissionnaire lise attentivement les documents d'appel d'offres et prépare le contenu approprié.</w:t>
      </w:r>
    </w:p>
    <w:p w14:paraId="1E2169DC">
      <w:pPr>
        <w:adjustRightInd w:val="0"/>
        <w:snapToGrid w:val="0"/>
        <w:spacing w:line="360" w:lineRule="auto"/>
        <w:ind w:firstLine="422" w:firstLineChars="200"/>
        <w:rPr>
          <w:b/>
          <w:lang w:val="fr-FR"/>
        </w:rPr>
      </w:pPr>
    </w:p>
    <w:p w14:paraId="02E6EEF9">
      <w:pPr>
        <w:pStyle w:val="28"/>
        <w:widowControl/>
        <w:adjustRightInd w:val="0"/>
        <w:spacing w:before="0" w:beforeAutospacing="0" w:after="0" w:afterAutospacing="0" w:line="360" w:lineRule="auto"/>
        <w:rPr>
          <w:szCs w:val="24"/>
          <w:lang w:val="fr-FR"/>
        </w:rPr>
      </w:pPr>
    </w:p>
    <w:p w14:paraId="706A75F5">
      <w:pPr>
        <w:pStyle w:val="28"/>
        <w:widowControl/>
        <w:adjustRightInd w:val="0"/>
        <w:spacing w:before="0" w:beforeAutospacing="0" w:after="0" w:afterAutospacing="0" w:line="360" w:lineRule="auto"/>
        <w:ind w:firstLine="480" w:firstLineChars="200"/>
        <w:rPr>
          <w:szCs w:val="24"/>
          <w:lang w:val="fr-FR"/>
        </w:rPr>
      </w:pPr>
    </w:p>
    <w:p w14:paraId="3F3C3E5A">
      <w:pPr>
        <w:pStyle w:val="28"/>
        <w:widowControl/>
        <w:adjustRightInd w:val="0"/>
        <w:spacing w:before="0" w:beforeAutospacing="0" w:after="0" w:afterAutospacing="0" w:line="360" w:lineRule="auto"/>
        <w:ind w:firstLine="480" w:firstLineChars="200"/>
        <w:rPr>
          <w:szCs w:val="24"/>
          <w:lang w:val="fr-FR"/>
        </w:rPr>
      </w:pPr>
    </w:p>
    <w:p w14:paraId="0530E754">
      <w:pPr>
        <w:pStyle w:val="28"/>
        <w:widowControl/>
        <w:adjustRightInd w:val="0"/>
        <w:spacing w:before="0" w:beforeAutospacing="0" w:after="0" w:afterAutospacing="0" w:line="360" w:lineRule="auto"/>
        <w:ind w:firstLine="480" w:firstLineChars="200"/>
        <w:rPr>
          <w:szCs w:val="24"/>
          <w:lang w:val="fr-FR"/>
        </w:rPr>
      </w:pPr>
    </w:p>
    <w:p w14:paraId="402732D2">
      <w:pPr>
        <w:pStyle w:val="28"/>
        <w:widowControl/>
        <w:adjustRightInd w:val="0"/>
        <w:spacing w:before="0" w:beforeAutospacing="0" w:after="0" w:afterAutospacing="0" w:line="360" w:lineRule="auto"/>
        <w:ind w:firstLine="480" w:firstLineChars="200"/>
        <w:rPr>
          <w:szCs w:val="24"/>
          <w:lang w:val="fr-FR"/>
        </w:rPr>
      </w:pPr>
    </w:p>
    <w:p w14:paraId="3AD569B2">
      <w:pPr>
        <w:pStyle w:val="28"/>
        <w:widowControl/>
        <w:adjustRightInd w:val="0"/>
        <w:spacing w:before="0" w:beforeAutospacing="0" w:after="0" w:afterAutospacing="0" w:line="360" w:lineRule="auto"/>
        <w:ind w:firstLine="480" w:firstLineChars="200"/>
        <w:rPr>
          <w:szCs w:val="24"/>
          <w:lang w:val="fr-FR"/>
        </w:rPr>
      </w:pPr>
    </w:p>
    <w:p w14:paraId="2844AF7A">
      <w:pPr>
        <w:pStyle w:val="28"/>
        <w:widowControl/>
        <w:adjustRightInd w:val="0"/>
        <w:spacing w:before="0" w:beforeAutospacing="0" w:after="0" w:afterAutospacing="0" w:line="360" w:lineRule="auto"/>
        <w:ind w:firstLine="480" w:firstLineChars="200"/>
        <w:rPr>
          <w:szCs w:val="24"/>
          <w:lang w:val="fr-FR"/>
        </w:rPr>
      </w:pPr>
    </w:p>
    <w:p w14:paraId="6E0C9EAE">
      <w:pPr>
        <w:pStyle w:val="28"/>
        <w:widowControl/>
        <w:adjustRightInd w:val="0"/>
        <w:spacing w:before="0" w:beforeAutospacing="0" w:after="0" w:afterAutospacing="0" w:line="360" w:lineRule="auto"/>
        <w:rPr>
          <w:szCs w:val="24"/>
          <w:lang w:val="fr-FR"/>
        </w:rPr>
        <w:sectPr>
          <w:pgSz w:w="11906" w:h="16838"/>
          <w:pgMar w:top="1417" w:right="1134" w:bottom="1134" w:left="1417" w:header="851" w:footer="850" w:gutter="0"/>
          <w:cols w:space="720" w:num="1"/>
          <w:titlePg/>
          <w:docGrid w:linePitch="312" w:charSpace="0"/>
        </w:sectPr>
      </w:pPr>
    </w:p>
    <w:p w14:paraId="75305E5C">
      <w:pPr>
        <w:pStyle w:val="28"/>
        <w:widowControl/>
        <w:adjustRightInd w:val="0"/>
        <w:spacing w:before="0" w:beforeAutospacing="0" w:after="0" w:afterAutospacing="0" w:line="360" w:lineRule="auto"/>
        <w:rPr>
          <w:szCs w:val="24"/>
          <w:lang w:val="fr-FR"/>
        </w:rPr>
      </w:pPr>
    </w:p>
    <w:p w14:paraId="5BA0F804">
      <w:pPr>
        <w:pStyle w:val="28"/>
        <w:widowControl/>
        <w:adjustRightInd w:val="0"/>
        <w:spacing w:before="0" w:beforeAutospacing="0" w:after="0" w:afterAutospacing="0" w:line="360" w:lineRule="auto"/>
        <w:ind w:firstLine="480" w:firstLineChars="200"/>
        <w:rPr>
          <w:szCs w:val="24"/>
          <w:lang w:val="fr-FR"/>
        </w:rPr>
      </w:pPr>
    </w:p>
    <w:p w14:paraId="49579063">
      <w:pPr>
        <w:spacing w:line="200" w:lineRule="exact"/>
        <w:rPr>
          <w:sz w:val="20"/>
          <w:lang w:val="fr-FR"/>
        </w:rPr>
      </w:pPr>
    </w:p>
    <w:p w14:paraId="3F4B0520">
      <w:pPr>
        <w:pStyle w:val="9"/>
        <w:rPr>
          <w:rFonts w:ascii="Times New Roman"/>
          <w:lang w:val="fr-FR"/>
        </w:rPr>
      </w:pPr>
    </w:p>
    <w:p w14:paraId="3C106A54">
      <w:pPr>
        <w:adjustRightInd w:val="0"/>
        <w:snapToGrid w:val="0"/>
        <w:spacing w:line="360" w:lineRule="auto"/>
        <w:jc w:val="center"/>
        <w:rPr>
          <w:b/>
          <w:bCs/>
          <w:sz w:val="52"/>
          <w:szCs w:val="52"/>
          <w:lang w:val="fr-FR"/>
        </w:rPr>
      </w:pPr>
    </w:p>
    <w:p w14:paraId="5CCBD9DA">
      <w:pPr>
        <w:adjustRightInd w:val="0"/>
        <w:snapToGrid w:val="0"/>
        <w:spacing w:line="360" w:lineRule="auto"/>
        <w:jc w:val="center"/>
        <w:rPr>
          <w:b/>
          <w:bCs/>
          <w:sz w:val="52"/>
          <w:szCs w:val="52"/>
          <w:lang w:val="fr-FR"/>
        </w:rPr>
      </w:pPr>
      <w:r>
        <w:rPr>
          <w:b/>
          <w:bCs/>
          <w:sz w:val="52"/>
          <w:szCs w:val="52"/>
        </w:rPr>
        <w:t>公司</w:t>
      </w:r>
      <w:r>
        <w:rPr>
          <w:b/>
          <w:bCs/>
          <w:sz w:val="52"/>
          <w:szCs w:val="52"/>
          <w:lang w:val="fr-FR"/>
        </w:rPr>
        <w:t xml:space="preserve">SOCIETE </w:t>
      </w:r>
      <w:r>
        <w:rPr>
          <w:b/>
          <w:bCs/>
          <w:sz w:val="52"/>
          <w:szCs w:val="52"/>
          <w:u w:val="single"/>
          <w:lang w:val="fr-FR"/>
        </w:rPr>
        <w:t>××××</w:t>
      </w:r>
    </w:p>
    <w:p w14:paraId="13716906">
      <w:pPr>
        <w:adjustRightInd w:val="0"/>
        <w:snapToGrid w:val="0"/>
        <w:spacing w:line="360" w:lineRule="auto"/>
        <w:jc w:val="center"/>
        <w:rPr>
          <w:b/>
          <w:bCs/>
          <w:sz w:val="52"/>
          <w:szCs w:val="52"/>
          <w:lang w:val="fr-FR"/>
        </w:rPr>
      </w:pPr>
      <w:r>
        <w:rPr>
          <w:b/>
          <w:bCs/>
          <w:sz w:val="52"/>
          <w:szCs w:val="52"/>
          <w:lang w:val="fr-FR"/>
        </w:rPr>
        <w:t>（</w:t>
      </w:r>
      <w:r>
        <w:rPr>
          <w:b/>
          <w:bCs/>
          <w:sz w:val="52"/>
          <w:szCs w:val="52"/>
        </w:rPr>
        <w:t>项目名称</w:t>
      </w:r>
      <w:r>
        <w:rPr>
          <w:b/>
          <w:bCs/>
          <w:sz w:val="52"/>
          <w:szCs w:val="52"/>
          <w:lang w:val="fr-FR"/>
        </w:rPr>
        <w:t xml:space="preserve">nom du projet : </w:t>
      </w:r>
      <w:r>
        <w:rPr>
          <w:b/>
          <w:bCs/>
          <w:sz w:val="52"/>
          <w:szCs w:val="52"/>
          <w:u w:val="single"/>
          <w:lang w:val="fr-FR"/>
        </w:rPr>
        <w:t>××××</w:t>
      </w:r>
      <w:r>
        <w:rPr>
          <w:b/>
          <w:bCs/>
          <w:sz w:val="52"/>
          <w:szCs w:val="52"/>
          <w:lang w:val="fr-FR"/>
        </w:rPr>
        <w:t>）</w:t>
      </w:r>
    </w:p>
    <w:p w14:paraId="00D6C315">
      <w:pPr>
        <w:jc w:val="center"/>
        <w:rPr>
          <w:lang w:val="fr-FR"/>
        </w:rPr>
      </w:pPr>
      <w:r>
        <w:rPr>
          <w:b/>
          <w:bCs/>
          <w:sz w:val="52"/>
          <w:szCs w:val="52"/>
        </w:rPr>
        <w:t>响应文件</w:t>
      </w:r>
      <w:r>
        <w:rPr>
          <w:b/>
          <w:bCs/>
          <w:sz w:val="52"/>
          <w:szCs w:val="52"/>
          <w:lang w:val="fr-FR"/>
        </w:rPr>
        <w:t>A</w:t>
      </w:r>
    </w:p>
    <w:p w14:paraId="4A069D13">
      <w:pPr>
        <w:rPr>
          <w:lang w:val="fr-FR"/>
        </w:rPr>
      </w:pPr>
    </w:p>
    <w:p w14:paraId="7AC4AE54">
      <w:pPr>
        <w:adjustRightInd w:val="0"/>
        <w:spacing w:after="120" w:line="410" w:lineRule="atLeast"/>
        <w:ind w:firstLine="210" w:firstLineChars="100"/>
        <w:jc w:val="left"/>
        <w:textAlignment w:val="baseline"/>
        <w:rPr>
          <w:color w:val="000000"/>
          <w:kern w:val="0"/>
          <w:lang w:val="fr-FR"/>
        </w:rPr>
      </w:pPr>
    </w:p>
    <w:p w14:paraId="6660BC4E">
      <w:pPr>
        <w:jc w:val="center"/>
        <w:rPr>
          <w:b/>
          <w:bCs/>
          <w:sz w:val="52"/>
          <w:szCs w:val="52"/>
          <w:lang w:val="fr-FR"/>
        </w:rPr>
      </w:pPr>
      <w:r>
        <w:rPr>
          <w:b/>
          <w:bCs/>
          <w:sz w:val="52"/>
          <w:szCs w:val="52"/>
          <w:lang w:val="fr-FR"/>
        </w:rPr>
        <w:t>Document de réponse A</w:t>
      </w:r>
    </w:p>
    <w:p w14:paraId="2824FCD7">
      <w:pPr>
        <w:adjustRightInd w:val="0"/>
        <w:spacing w:after="120" w:line="410" w:lineRule="atLeast"/>
        <w:ind w:firstLine="210" w:firstLineChars="100"/>
        <w:jc w:val="left"/>
        <w:textAlignment w:val="baseline"/>
        <w:rPr>
          <w:color w:val="000000"/>
          <w:kern w:val="0"/>
          <w:lang w:val="fr-FR"/>
        </w:rPr>
      </w:pPr>
    </w:p>
    <w:p w14:paraId="2E048B4A">
      <w:pPr>
        <w:rPr>
          <w:lang w:val="fr-FR"/>
        </w:rPr>
      </w:pPr>
    </w:p>
    <w:p w14:paraId="7F605EC9">
      <w:pPr>
        <w:rPr>
          <w:lang w:val="fr-FR"/>
        </w:rPr>
      </w:pPr>
    </w:p>
    <w:p w14:paraId="2F213B1C">
      <w:pPr>
        <w:pStyle w:val="29"/>
        <w:ind w:firstLine="210"/>
        <w:rPr>
          <w:rFonts w:ascii="Times New Roman" w:hAnsi="Times New Roman"/>
          <w:color w:val="auto"/>
          <w:lang w:val="fr-FR"/>
        </w:rPr>
      </w:pPr>
    </w:p>
    <w:p w14:paraId="28E55ED7">
      <w:pPr>
        <w:rPr>
          <w:lang w:val="fr-FR"/>
        </w:rPr>
      </w:pPr>
    </w:p>
    <w:p w14:paraId="02742464">
      <w:pPr>
        <w:pStyle w:val="29"/>
        <w:ind w:firstLine="210"/>
        <w:rPr>
          <w:rFonts w:ascii="Times New Roman" w:hAnsi="Times New Roman"/>
          <w:color w:val="auto"/>
          <w:lang w:val="fr-FR"/>
        </w:rPr>
      </w:pPr>
    </w:p>
    <w:p w14:paraId="3CA4D257">
      <w:pPr>
        <w:rPr>
          <w:lang w:val="fr-FR"/>
        </w:rPr>
      </w:pPr>
    </w:p>
    <w:p w14:paraId="1A262E6C">
      <w:pPr>
        <w:pStyle w:val="29"/>
        <w:ind w:firstLine="210"/>
        <w:rPr>
          <w:rFonts w:ascii="Times New Roman" w:hAnsi="Times New Roman"/>
          <w:color w:val="auto"/>
          <w:lang w:val="fr-FR"/>
        </w:rPr>
      </w:pPr>
    </w:p>
    <w:p w14:paraId="45CFB568">
      <w:pPr>
        <w:rPr>
          <w:lang w:val="fr-FR"/>
        </w:rPr>
      </w:pPr>
    </w:p>
    <w:p w14:paraId="4C6F3E42">
      <w:pPr>
        <w:rPr>
          <w:lang w:val="fr-FR"/>
        </w:rPr>
      </w:pPr>
    </w:p>
    <w:p w14:paraId="62B43DE5">
      <w:pPr>
        <w:rPr>
          <w:lang w:val="fr-FR"/>
        </w:rPr>
      </w:pPr>
    </w:p>
    <w:p w14:paraId="37B764D1">
      <w:pPr>
        <w:rPr>
          <w:lang w:val="fr-FR"/>
        </w:rPr>
      </w:pPr>
    </w:p>
    <w:p w14:paraId="11A36B9D">
      <w:pPr>
        <w:rPr>
          <w:lang w:val="fr-FR"/>
        </w:rPr>
      </w:pPr>
    </w:p>
    <w:p w14:paraId="456416AA">
      <w:pPr>
        <w:rPr>
          <w:lang w:val="fr-FR"/>
        </w:rPr>
      </w:pPr>
    </w:p>
    <w:p w14:paraId="2BC64D2D">
      <w:pPr>
        <w:rPr>
          <w:lang w:val="fr-FR"/>
        </w:rPr>
      </w:pPr>
    </w:p>
    <w:p w14:paraId="718B93E2">
      <w:pPr>
        <w:spacing w:line="360" w:lineRule="auto"/>
        <w:ind w:firstLine="1120" w:firstLineChars="400"/>
        <w:jc w:val="center"/>
        <w:rPr>
          <w:color w:val="000000"/>
          <w:sz w:val="28"/>
          <w:u w:val="single"/>
          <w:lang w:val="fr-FR"/>
        </w:rPr>
      </w:pPr>
      <w:r>
        <w:rPr>
          <w:color w:val="000000"/>
          <w:sz w:val="28"/>
        </w:rPr>
        <w:t>响应人</w:t>
      </w:r>
      <w:r>
        <w:rPr>
          <w:color w:val="000000"/>
          <w:sz w:val="28"/>
          <w:lang w:val="fr-FR"/>
        </w:rPr>
        <w:t>soumissionnaire：</w:t>
      </w:r>
      <w:r>
        <w:rPr>
          <w:color w:val="000000"/>
          <w:u w:val="single"/>
          <w:lang w:val="fr-FR"/>
        </w:rPr>
        <w:t xml:space="preserve">               </w:t>
      </w:r>
      <w:r>
        <w:rPr>
          <w:color w:val="000000"/>
          <w:sz w:val="28"/>
          <w:lang w:val="fr-FR"/>
        </w:rPr>
        <w:t>（cachet</w:t>
      </w:r>
      <w:r>
        <w:rPr>
          <w:color w:val="000000"/>
          <w:sz w:val="28"/>
        </w:rPr>
        <w:t>盖单位章</w:t>
      </w:r>
      <w:r>
        <w:rPr>
          <w:color w:val="000000"/>
          <w:sz w:val="28"/>
          <w:lang w:val="fr-FR"/>
        </w:rPr>
        <w:t>）</w:t>
      </w:r>
    </w:p>
    <w:p w14:paraId="12B52B75">
      <w:pPr>
        <w:spacing w:line="360" w:lineRule="auto"/>
        <w:ind w:firstLine="1120" w:firstLineChars="400"/>
        <w:jc w:val="center"/>
        <w:rPr>
          <w:color w:val="000000"/>
          <w:sz w:val="28"/>
          <w:lang w:val="fr-FR"/>
        </w:rPr>
      </w:pPr>
      <w:r>
        <w:rPr>
          <w:color w:val="000000"/>
          <w:sz w:val="28"/>
        </w:rPr>
        <w:t>法定代表人或其委托代理人</w:t>
      </w:r>
      <w:r>
        <w:rPr>
          <w:color w:val="000000"/>
          <w:sz w:val="28"/>
          <w:lang w:val="fr-FR"/>
        </w:rPr>
        <w:t>Représentant légal ou son mandataire：</w:t>
      </w:r>
      <w:r>
        <w:rPr>
          <w:color w:val="000000"/>
          <w:u w:val="single"/>
          <w:lang w:val="fr-FR"/>
        </w:rPr>
        <w:t xml:space="preserve">                    </w:t>
      </w:r>
      <w:r>
        <w:rPr>
          <w:color w:val="000000"/>
          <w:sz w:val="28"/>
          <w:lang w:val="fr-FR"/>
        </w:rPr>
        <w:t>（</w:t>
      </w:r>
      <w:r>
        <w:rPr>
          <w:color w:val="000000"/>
          <w:sz w:val="28"/>
        </w:rPr>
        <w:t>签字</w:t>
      </w:r>
      <w:r>
        <w:rPr>
          <w:color w:val="000000"/>
          <w:sz w:val="28"/>
          <w:lang w:val="fr-FR"/>
        </w:rPr>
        <w:t>signature)</w:t>
      </w:r>
    </w:p>
    <w:p w14:paraId="4B50DFC6">
      <w:pPr>
        <w:jc w:val="center"/>
        <w:rPr>
          <w:lang w:val="fr-FR"/>
        </w:rPr>
      </w:pPr>
    </w:p>
    <w:p w14:paraId="78A59893">
      <w:pPr>
        <w:adjustRightInd w:val="0"/>
        <w:snapToGrid w:val="0"/>
        <w:spacing w:line="360" w:lineRule="auto"/>
        <w:ind w:firstLine="560" w:firstLineChars="200"/>
        <w:jc w:val="center"/>
        <w:rPr>
          <w:b/>
          <w:bCs/>
          <w:szCs w:val="21"/>
          <w:u w:val="single"/>
        </w:rPr>
      </w:pPr>
      <w:r>
        <w:rPr>
          <w:sz w:val="28"/>
        </w:rPr>
        <w:t xml:space="preserve">日期DATE : </w:t>
      </w:r>
      <w:r>
        <w:rPr>
          <w:u w:val="single"/>
        </w:rPr>
        <w:t xml:space="preserve">   </w:t>
      </w:r>
    </w:p>
    <w:p w14:paraId="03DB43F4">
      <w:pPr>
        <w:jc w:val="center"/>
        <w:rPr>
          <w:sz w:val="28"/>
        </w:rPr>
      </w:pPr>
    </w:p>
    <w:p w14:paraId="0DCAA78F">
      <w:pPr>
        <w:pStyle w:val="30"/>
        <w:ind w:firstLine="1044"/>
        <w:rPr>
          <w:b/>
          <w:bCs/>
          <w:sz w:val="52"/>
          <w:szCs w:val="52"/>
        </w:rPr>
        <w:sectPr>
          <w:pgSz w:w="11906" w:h="16838"/>
          <w:pgMar w:top="1417" w:right="1134" w:bottom="1134" w:left="1417" w:header="851" w:footer="850" w:gutter="0"/>
          <w:cols w:space="720" w:num="1"/>
          <w:titlePg/>
          <w:docGrid w:linePitch="319" w:charSpace="0"/>
        </w:sectPr>
      </w:pPr>
    </w:p>
    <w:p w14:paraId="328ACA1A">
      <w:bookmarkStart w:id="87" w:name="_Toc492288513"/>
      <w:bookmarkStart w:id="88" w:name="_Toc17550"/>
      <w:bookmarkStart w:id="89" w:name="_Toc31555"/>
      <w:bookmarkStart w:id="90" w:name="_Toc6561425"/>
    </w:p>
    <w:p w14:paraId="11782748">
      <w:pPr>
        <w:pStyle w:val="3"/>
        <w:snapToGrid w:val="0"/>
        <w:spacing w:before="0" w:after="0" w:line="360" w:lineRule="auto"/>
        <w:rPr>
          <w:rFonts w:ascii="Times New Roman" w:hAnsi="Times New Roman"/>
          <w:szCs w:val="28"/>
        </w:rPr>
      </w:pPr>
      <w:bookmarkStart w:id="91" w:name="_Toc18570"/>
      <w:r>
        <w:rPr>
          <w:rFonts w:ascii="Times New Roman" w:hAnsi="Times New Roman"/>
          <w:szCs w:val="28"/>
        </w:rPr>
        <w:t>目 录</w:t>
      </w:r>
      <w:bookmarkEnd w:id="87"/>
      <w:bookmarkEnd w:id="88"/>
      <w:bookmarkEnd w:id="89"/>
      <w:bookmarkEnd w:id="90"/>
      <w:bookmarkEnd w:id="91"/>
    </w:p>
    <w:p w14:paraId="4987B4D8"/>
    <w:p w14:paraId="7631AB71">
      <w:pPr>
        <w:spacing w:line="360" w:lineRule="auto"/>
        <w:ind w:firstLine="420" w:firstLineChars="200"/>
      </w:pPr>
      <w:r>
        <w:t>一、法定代表人（单位负责人）身份证明（适用于无委托代理人的情况）</w:t>
      </w:r>
    </w:p>
    <w:p w14:paraId="6A8AFA3F">
      <w:pPr>
        <w:spacing w:line="360" w:lineRule="auto"/>
        <w:ind w:firstLine="420" w:firstLineChars="200"/>
      </w:pPr>
      <w:r>
        <w:t>二、授权委托书（适用于有委托代理人的情况）</w:t>
      </w:r>
    </w:p>
    <w:p w14:paraId="70AF27D0">
      <w:pPr>
        <w:spacing w:line="360" w:lineRule="auto"/>
        <w:ind w:firstLine="420" w:firstLineChars="200"/>
        <w:rPr>
          <w:szCs w:val="21"/>
        </w:rPr>
      </w:pPr>
      <w:r>
        <w:t>三、</w:t>
      </w:r>
      <w:r>
        <w:rPr>
          <w:szCs w:val="21"/>
        </w:rPr>
        <w:t>联合体协议书（如有）</w:t>
      </w:r>
    </w:p>
    <w:p w14:paraId="0A974A1B">
      <w:pPr>
        <w:spacing w:line="360" w:lineRule="auto"/>
        <w:ind w:firstLine="420" w:firstLineChars="200"/>
      </w:pPr>
      <w:r>
        <w:t>四、商务和技术偏差表</w:t>
      </w:r>
    </w:p>
    <w:p w14:paraId="6902A4E1">
      <w:pPr>
        <w:spacing w:line="360" w:lineRule="auto"/>
        <w:ind w:firstLine="420" w:firstLineChars="200"/>
      </w:pPr>
      <w:r>
        <w:t>五、资格审查资料</w:t>
      </w:r>
    </w:p>
    <w:p w14:paraId="257C38FC">
      <w:pPr>
        <w:spacing w:line="360" w:lineRule="auto"/>
        <w:ind w:firstLine="420" w:firstLineChars="200"/>
      </w:pPr>
      <w:r>
        <w:t>六、近年完成的类似项目情况表</w:t>
      </w:r>
    </w:p>
    <w:p w14:paraId="29A2EEF2">
      <w:pPr>
        <w:spacing w:line="360" w:lineRule="auto"/>
        <w:ind w:firstLine="420" w:firstLineChars="200"/>
      </w:pPr>
      <w:r>
        <w:t>七、服务大纲</w:t>
      </w:r>
    </w:p>
    <w:p w14:paraId="6AB573C2">
      <w:pPr>
        <w:spacing w:line="360" w:lineRule="auto"/>
        <w:jc w:val="center"/>
      </w:pPr>
      <w:r>
        <w:t>Catalogue</w:t>
      </w:r>
    </w:p>
    <w:p w14:paraId="4E26BC02"/>
    <w:p w14:paraId="3F076D19">
      <w:pPr>
        <w:spacing w:line="360" w:lineRule="auto"/>
        <w:jc w:val="left"/>
      </w:pPr>
      <w:r>
        <w:t>I. Preuve d'identité du représentant légal (personne responsable de la société) (applicable au cas où il n'y a pas de mandataire)</w:t>
      </w:r>
    </w:p>
    <w:p w14:paraId="1AF11FCA">
      <w:pPr>
        <w:spacing w:line="360" w:lineRule="auto"/>
        <w:jc w:val="left"/>
        <w:rPr>
          <w:lang w:val="fr-FR"/>
        </w:rPr>
      </w:pPr>
      <w:r>
        <w:rPr>
          <w:lang w:val="fr-FR"/>
        </w:rPr>
        <w:t>II. procuration (applicable dans le cas où il y a un mandataire)</w:t>
      </w:r>
    </w:p>
    <w:p w14:paraId="2F5D5BB4">
      <w:pPr>
        <w:spacing w:line="360" w:lineRule="auto"/>
        <w:jc w:val="left"/>
        <w:rPr>
          <w:lang w:val="fr-FR"/>
        </w:rPr>
      </w:pPr>
      <w:r>
        <w:rPr>
          <w:lang w:val="fr-FR"/>
        </w:rPr>
        <w:t>III. accord de consortium (le cas échéant)</w:t>
      </w:r>
    </w:p>
    <w:p w14:paraId="2B93E1A2">
      <w:pPr>
        <w:spacing w:line="360" w:lineRule="auto"/>
        <w:jc w:val="left"/>
        <w:rPr>
          <w:lang w:val="fr-FR"/>
        </w:rPr>
      </w:pPr>
      <w:r>
        <w:rPr>
          <w:lang w:val="fr-FR"/>
        </w:rPr>
        <w:t>IV. tableau des écarts commerciaux et techniques</w:t>
      </w:r>
    </w:p>
    <w:p w14:paraId="6343C423">
      <w:pPr>
        <w:spacing w:line="360" w:lineRule="auto"/>
        <w:jc w:val="left"/>
        <w:rPr>
          <w:lang w:val="fr-FR"/>
        </w:rPr>
      </w:pPr>
      <w:r>
        <w:rPr>
          <w:lang w:val="fr-FR"/>
        </w:rPr>
        <w:t>V. Informations sur les qualifications</w:t>
      </w:r>
    </w:p>
    <w:p w14:paraId="39C86D13">
      <w:pPr>
        <w:spacing w:line="360" w:lineRule="auto"/>
        <w:jc w:val="left"/>
        <w:rPr>
          <w:lang w:val="fr-FR"/>
        </w:rPr>
      </w:pPr>
      <w:r>
        <w:rPr>
          <w:lang w:val="fr-FR"/>
        </w:rPr>
        <w:t>VI. liste des projets similaires réalisés au cours des dernières années</w:t>
      </w:r>
    </w:p>
    <w:p w14:paraId="590D3D21">
      <w:pPr>
        <w:spacing w:line="360" w:lineRule="auto"/>
        <w:jc w:val="left"/>
        <w:outlineLvl w:val="1"/>
        <w:rPr>
          <w:b/>
          <w:sz w:val="28"/>
          <w:szCs w:val="21"/>
          <w:lang w:val="fr-FR"/>
        </w:rPr>
      </w:pPr>
      <w:r>
        <w:rPr>
          <w:lang w:val="fr-FR"/>
        </w:rPr>
        <w:t>VII. aperçu des services</w:t>
      </w:r>
      <w:r>
        <w:rPr>
          <w:lang w:val="fr-FR"/>
        </w:rPr>
        <w:br w:type="page"/>
      </w:r>
      <w:bookmarkStart w:id="92" w:name="_Toc26891"/>
      <w:bookmarkStart w:id="93" w:name="_Toc22672"/>
      <w:bookmarkStart w:id="94" w:name="_Toc8873"/>
      <w:bookmarkStart w:id="95" w:name="_Toc3"/>
      <w:bookmarkStart w:id="96" w:name="_Toc14466"/>
      <w:bookmarkStart w:id="97" w:name="_Toc5714784"/>
      <w:bookmarkStart w:id="98" w:name="_Toc17962"/>
      <w:bookmarkStart w:id="99" w:name="_Toc19341"/>
      <w:bookmarkStart w:id="100" w:name="_Toc64635492"/>
      <w:bookmarkStart w:id="101" w:name="_Toc6701346"/>
      <w:bookmarkStart w:id="102" w:name="_Toc565"/>
      <w:bookmarkStart w:id="103" w:name="_Toc6702503"/>
      <w:bookmarkStart w:id="104" w:name="_Toc27306"/>
      <w:bookmarkStart w:id="105" w:name="_Toc30650"/>
      <w:bookmarkStart w:id="106" w:name="_Toc7028"/>
      <w:bookmarkStart w:id="107" w:name="_Toc8105"/>
      <w:bookmarkStart w:id="108" w:name="_Toc184635139"/>
      <w:bookmarkStart w:id="109" w:name="_Toc23596"/>
      <w:r>
        <w:rPr>
          <w:b/>
          <w:sz w:val="28"/>
          <w:szCs w:val="21"/>
        </w:rPr>
        <w:t>一、法定代表人</w:t>
      </w:r>
      <w:r>
        <w:rPr>
          <w:b/>
          <w:sz w:val="28"/>
          <w:szCs w:val="21"/>
          <w:lang w:val="fr-FR"/>
        </w:rPr>
        <w:t>（</w:t>
      </w:r>
      <w:r>
        <w:rPr>
          <w:b/>
          <w:sz w:val="28"/>
          <w:szCs w:val="21"/>
        </w:rPr>
        <w:t>单位负责人</w:t>
      </w:r>
      <w:r>
        <w:rPr>
          <w:b/>
          <w:sz w:val="28"/>
          <w:szCs w:val="21"/>
          <w:lang w:val="fr-FR"/>
        </w:rPr>
        <w:t>）</w:t>
      </w:r>
      <w:r>
        <w:rPr>
          <w:b/>
          <w:sz w:val="28"/>
          <w:szCs w:val="21"/>
        </w:rPr>
        <w:t>身份证明</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6BEF02E9">
      <w:pPr>
        <w:spacing w:line="360" w:lineRule="auto"/>
        <w:jc w:val="left"/>
        <w:rPr>
          <w:b/>
          <w:sz w:val="28"/>
          <w:szCs w:val="21"/>
          <w:lang w:val="fr-FR"/>
        </w:rPr>
      </w:pPr>
      <w:r>
        <w:rPr>
          <w:highlight w:val="none"/>
          <w:lang w:val="fr-FR"/>
        </w:rPr>
        <w:t xml:space="preserve">I. </w:t>
      </w:r>
      <w:r>
        <w:rPr>
          <w:highlight w:val="none"/>
          <w:u w:val="double"/>
          <w:lang w:val="fr-FR"/>
        </w:rPr>
        <w:t>Preuve d'identité</w:t>
      </w:r>
      <w:r>
        <w:rPr>
          <w:highlight w:val="none"/>
          <w:lang w:val="fr-FR"/>
        </w:rPr>
        <w:t xml:space="preserve"> du représentant légal </w:t>
      </w:r>
      <w:r>
        <w:rPr>
          <w:lang w:val="fr-FR"/>
        </w:rPr>
        <w:t>(personne responsable de la société)</w:t>
      </w:r>
    </w:p>
    <w:p w14:paraId="4B4FA260">
      <w:pPr>
        <w:spacing w:line="440" w:lineRule="exact"/>
        <w:jc w:val="center"/>
        <w:rPr>
          <w:szCs w:val="21"/>
          <w:lang w:val="fr-FR"/>
        </w:rPr>
      </w:pPr>
      <w:r>
        <w:rPr>
          <w:lang w:val="fr-FR"/>
        </w:rPr>
        <w:t>（</w:t>
      </w:r>
      <w:r>
        <w:t>适用于无委托代理人的情况</w:t>
      </w:r>
      <w:r>
        <w:rPr>
          <w:lang w:val="fr-FR"/>
        </w:rPr>
        <w:t>Applicable en l'absence de mandataire）</w:t>
      </w:r>
    </w:p>
    <w:p w14:paraId="49150EEC">
      <w:pPr>
        <w:adjustRightInd w:val="0"/>
        <w:snapToGrid w:val="0"/>
        <w:spacing w:line="360" w:lineRule="auto"/>
        <w:ind w:firstLine="420" w:firstLineChars="200"/>
        <w:rPr>
          <w:szCs w:val="21"/>
          <w:lang w:val="fr-FR"/>
        </w:rPr>
      </w:pPr>
      <w:r>
        <w:rPr>
          <w:szCs w:val="21"/>
        </w:rPr>
        <w:t>响应人名称</w:t>
      </w:r>
      <w:r>
        <w:rPr>
          <w:lang w:val="fr-FR"/>
        </w:rPr>
        <w:t>Nom du soumissionnaire</w:t>
      </w:r>
      <w:r>
        <w:rPr>
          <w:szCs w:val="21"/>
          <w:lang w:val="fr-FR"/>
        </w:rPr>
        <w:t>：</w:t>
      </w:r>
      <w:r>
        <w:rPr>
          <w:szCs w:val="21"/>
          <w:u w:val="single"/>
          <w:lang w:val="fr-FR"/>
        </w:rPr>
        <w:t xml:space="preserve">                           </w:t>
      </w:r>
    </w:p>
    <w:p w14:paraId="47EA499A">
      <w:pPr>
        <w:overflowPunct w:val="0"/>
        <w:adjustRightInd w:val="0"/>
        <w:snapToGrid w:val="0"/>
        <w:spacing w:line="360" w:lineRule="auto"/>
        <w:ind w:left="420" w:leftChars="200"/>
        <w:rPr>
          <w:szCs w:val="21"/>
          <w:u w:val="single"/>
          <w:lang w:val="fr-FR"/>
        </w:rPr>
      </w:pPr>
      <w:r>
        <w:rPr>
          <w:szCs w:val="21"/>
        </w:rPr>
        <w:t>姓名</w:t>
      </w:r>
      <w:r>
        <w:rPr>
          <w:lang w:val="fr-FR"/>
        </w:rPr>
        <w:t>Nom</w:t>
      </w:r>
      <w:r>
        <w:rPr>
          <w:szCs w:val="21"/>
          <w:lang w:val="fr-FR"/>
        </w:rPr>
        <w:t>：</w:t>
      </w:r>
      <w:r>
        <w:rPr>
          <w:szCs w:val="21"/>
          <w:u w:val="single"/>
          <w:lang w:val="fr-FR"/>
        </w:rPr>
        <w:t xml:space="preserve">     </w:t>
      </w:r>
      <w:r>
        <w:rPr>
          <w:szCs w:val="21"/>
          <w:u w:val="single"/>
          <w:lang w:val="fr-FR"/>
        </w:rPr>
        <w:br w:type="textWrapping"/>
      </w:r>
      <w:r>
        <w:rPr>
          <w:szCs w:val="21"/>
        </w:rPr>
        <w:t>性别</w:t>
      </w:r>
      <w:r>
        <w:rPr>
          <w:lang w:val="fr-FR"/>
        </w:rPr>
        <w:t>Sexe</w:t>
      </w:r>
      <w:r>
        <w:rPr>
          <w:szCs w:val="21"/>
          <w:lang w:val="fr-FR"/>
        </w:rPr>
        <w:t xml:space="preserve">：       </w:t>
      </w:r>
      <w:r>
        <w:rPr>
          <w:szCs w:val="21"/>
          <w:u w:val="single"/>
          <w:lang w:val="fr-FR"/>
        </w:rPr>
        <w:t xml:space="preserve">         </w:t>
      </w:r>
    </w:p>
    <w:p w14:paraId="021678EF">
      <w:pPr>
        <w:overflowPunct w:val="0"/>
        <w:adjustRightInd w:val="0"/>
        <w:snapToGrid w:val="0"/>
        <w:spacing w:line="360" w:lineRule="auto"/>
        <w:ind w:left="420" w:leftChars="200"/>
        <w:rPr>
          <w:szCs w:val="21"/>
          <w:u w:val="single"/>
          <w:lang w:val="fr-FR"/>
        </w:rPr>
      </w:pPr>
      <w:r>
        <w:rPr>
          <w:szCs w:val="21"/>
        </w:rPr>
        <w:t>年龄</w:t>
      </w:r>
      <w:r>
        <w:rPr>
          <w:lang w:val="fr-FR"/>
        </w:rPr>
        <w:t>Age</w:t>
      </w:r>
      <w:r>
        <w:rPr>
          <w:szCs w:val="21"/>
          <w:lang w:val="fr-FR"/>
        </w:rPr>
        <w:t>：</w:t>
      </w:r>
      <w:r>
        <w:rPr>
          <w:szCs w:val="21"/>
          <w:u w:val="single"/>
          <w:lang w:val="fr-FR"/>
        </w:rPr>
        <w:t xml:space="preserve">    </w:t>
      </w:r>
    </w:p>
    <w:p w14:paraId="332A1016">
      <w:pPr>
        <w:overflowPunct w:val="0"/>
        <w:adjustRightInd w:val="0"/>
        <w:snapToGrid w:val="0"/>
        <w:spacing w:line="360" w:lineRule="auto"/>
        <w:ind w:left="420" w:leftChars="200"/>
        <w:rPr>
          <w:szCs w:val="21"/>
          <w:u w:val="single"/>
          <w:lang w:val="fr-FR"/>
        </w:rPr>
      </w:pPr>
      <w:r>
        <w:rPr>
          <w:szCs w:val="21"/>
        </w:rPr>
        <w:t>职务</w:t>
      </w:r>
      <w:r>
        <w:rPr>
          <w:lang w:val="fr-FR"/>
        </w:rPr>
        <w:t>Fonction</w:t>
      </w:r>
      <w:r>
        <w:rPr>
          <w:szCs w:val="21"/>
          <w:lang w:val="fr-FR"/>
        </w:rPr>
        <w:t>：</w:t>
      </w:r>
      <w:r>
        <w:rPr>
          <w:szCs w:val="21"/>
          <w:u w:val="single"/>
          <w:lang w:val="fr-FR"/>
        </w:rPr>
        <w:t xml:space="preserve">     </w:t>
      </w:r>
    </w:p>
    <w:p w14:paraId="6FB7FCB9">
      <w:pPr>
        <w:overflowPunct w:val="0"/>
        <w:adjustRightInd w:val="0"/>
        <w:snapToGrid w:val="0"/>
        <w:spacing w:line="360" w:lineRule="auto"/>
        <w:ind w:left="420" w:leftChars="200"/>
        <w:rPr>
          <w:szCs w:val="21"/>
          <w:u w:val="single"/>
          <w:lang w:val="fr-FR"/>
        </w:rPr>
      </w:pPr>
      <w:r>
        <w:rPr>
          <w:szCs w:val="21"/>
        </w:rPr>
        <w:t>联系电话</w:t>
      </w:r>
      <w:r>
        <w:rPr>
          <w:lang w:val="fr-FR"/>
        </w:rPr>
        <w:t xml:space="preserve">Tel </w:t>
      </w:r>
      <w:r>
        <w:rPr>
          <w:szCs w:val="21"/>
          <w:lang w:val="fr-FR"/>
        </w:rPr>
        <w:t>：</w:t>
      </w:r>
      <w:r>
        <w:rPr>
          <w:lang w:val="fr-FR"/>
        </w:rPr>
        <w:t>______________</w:t>
      </w:r>
      <w:r>
        <w:rPr>
          <w:szCs w:val="21"/>
          <w:u w:val="single"/>
          <w:lang w:val="fr-FR"/>
        </w:rPr>
        <w:t xml:space="preserve">   </w:t>
      </w:r>
    </w:p>
    <w:p w14:paraId="00674929">
      <w:pPr>
        <w:overflowPunct w:val="0"/>
        <w:adjustRightInd w:val="0"/>
        <w:snapToGrid w:val="0"/>
        <w:spacing w:line="360" w:lineRule="auto"/>
        <w:ind w:firstLine="420" w:firstLineChars="200"/>
        <w:rPr>
          <w:szCs w:val="21"/>
          <w:lang w:val="fr-FR"/>
        </w:rPr>
      </w:pPr>
      <w:r>
        <w:rPr>
          <w:szCs w:val="21"/>
        </w:rPr>
        <w:t>系</w:t>
      </w:r>
      <w:r>
        <w:rPr>
          <w:lang w:val="fr-FR"/>
        </w:rPr>
        <w:t>est représentant légal (responsable de la société) de</w:t>
      </w:r>
      <w:r>
        <w:rPr>
          <w:szCs w:val="21"/>
          <w:u w:val="single"/>
          <w:lang w:val="fr-FR"/>
        </w:rPr>
        <w:t xml:space="preserve">            </w:t>
      </w:r>
      <w:r>
        <w:rPr>
          <w:szCs w:val="21"/>
          <w:lang w:val="fr-FR"/>
        </w:rPr>
        <w:t>（</w:t>
      </w:r>
      <w:r>
        <w:rPr>
          <w:szCs w:val="21"/>
        </w:rPr>
        <w:t>响应人名称</w:t>
      </w:r>
      <w:r>
        <w:rPr>
          <w:lang w:val="fr-FR"/>
        </w:rPr>
        <w:t>nom du soumissionnaire</w:t>
      </w:r>
      <w:r>
        <w:rPr>
          <w:szCs w:val="21"/>
          <w:lang w:val="fr-FR"/>
        </w:rPr>
        <w:t>）</w:t>
      </w:r>
      <w:r>
        <w:rPr>
          <w:szCs w:val="21"/>
        </w:rPr>
        <w:t>的法定代表人</w:t>
      </w:r>
      <w:r>
        <w:rPr>
          <w:szCs w:val="21"/>
          <w:lang w:val="fr-FR"/>
        </w:rPr>
        <w:t>（</w:t>
      </w:r>
      <w:r>
        <w:rPr>
          <w:szCs w:val="21"/>
        </w:rPr>
        <w:t>单位负责人</w:t>
      </w:r>
      <w:r>
        <w:rPr>
          <w:szCs w:val="21"/>
          <w:lang w:val="fr-FR"/>
        </w:rPr>
        <w:t>）</w:t>
      </w:r>
      <w:r>
        <w:rPr>
          <w:szCs w:val="21"/>
        </w:rPr>
        <w:t>。</w:t>
      </w:r>
    </w:p>
    <w:p w14:paraId="156E586E">
      <w:pPr>
        <w:adjustRightInd w:val="0"/>
        <w:snapToGrid w:val="0"/>
        <w:spacing w:line="360" w:lineRule="auto"/>
        <w:ind w:firstLine="840" w:firstLineChars="400"/>
        <w:rPr>
          <w:szCs w:val="21"/>
          <w:lang w:val="fr-FR"/>
        </w:rPr>
      </w:pPr>
      <w:r>
        <w:rPr>
          <w:szCs w:val="21"/>
        </w:rPr>
        <w:t>特此证明。</w:t>
      </w:r>
    </w:p>
    <w:p w14:paraId="45431FB8">
      <w:pPr>
        <w:spacing w:line="360" w:lineRule="auto"/>
        <w:ind w:firstLine="840" w:firstLineChars="400"/>
        <w:rPr>
          <w:lang w:val="fr-FR"/>
        </w:rPr>
      </w:pPr>
      <w:r>
        <w:rPr>
          <w:lang w:val="fr-FR"/>
        </w:rPr>
        <w:t>Certifié par la présente.</w:t>
      </w:r>
    </w:p>
    <w:p w14:paraId="3B24C10C">
      <w:pPr>
        <w:spacing w:line="360" w:lineRule="auto"/>
        <w:ind w:firstLine="420" w:firstLineChars="200"/>
        <w:rPr>
          <w:lang w:val="fr-FR"/>
        </w:rPr>
      </w:pPr>
    </w:p>
    <w:p w14:paraId="0C0EC84C">
      <w:pPr>
        <w:spacing w:line="360" w:lineRule="auto"/>
        <w:ind w:firstLine="420" w:firstLineChars="200"/>
        <w:rPr>
          <w:lang w:val="fr-FR"/>
        </w:rPr>
      </w:pPr>
      <w:r>
        <w:t>附</w:t>
      </w:r>
      <w:r>
        <w:rPr>
          <w:lang w:val="fr-FR"/>
        </w:rPr>
        <w:t>：</w:t>
      </w:r>
      <w:r>
        <w:t>法定代表人</w:t>
      </w:r>
      <w:r>
        <w:rPr>
          <w:lang w:val="fr-FR"/>
        </w:rPr>
        <w:t>（</w:t>
      </w:r>
      <w:r>
        <w:t>单位负责人</w:t>
      </w:r>
      <w:r>
        <w:rPr>
          <w:lang w:val="fr-FR"/>
        </w:rPr>
        <w:t>）</w:t>
      </w:r>
      <w:r>
        <w:t>身份证复印件。</w:t>
      </w:r>
    </w:p>
    <w:p w14:paraId="2E26C468">
      <w:pPr>
        <w:spacing w:line="360" w:lineRule="auto"/>
        <w:ind w:firstLine="420" w:firstLineChars="200"/>
        <w:rPr>
          <w:lang w:val="fr-FR"/>
        </w:rPr>
      </w:pPr>
      <w:r>
        <w:rPr>
          <w:lang w:val="fr-FR"/>
        </w:rPr>
        <w:t>Pièce jointe : une copie de la carte d'identité du représentant légal (responsable de la société).</w:t>
      </w:r>
    </w:p>
    <w:p w14:paraId="2049977C">
      <w:pPr>
        <w:adjustRightInd w:val="0"/>
        <w:snapToGrid w:val="0"/>
        <w:spacing w:line="360" w:lineRule="auto"/>
        <w:ind w:firstLine="420" w:firstLineChars="200"/>
        <w:rPr>
          <w:szCs w:val="21"/>
        </w:rPr>
      </w:pPr>
      <w:r>
        <w:t>注：本身份证明需由响应人加盖单位公章。</w:t>
      </w:r>
    </w:p>
    <w:p w14:paraId="42453162">
      <w:pPr>
        <w:spacing w:line="360" w:lineRule="auto"/>
        <w:ind w:firstLine="420" w:firstLineChars="200"/>
        <w:rPr>
          <w:szCs w:val="21"/>
          <w:lang w:val="fr-FR"/>
        </w:rPr>
      </w:pPr>
      <w:r>
        <w:rPr>
          <w:lang w:val="fr-FR"/>
        </w:rPr>
        <w:t>Remarque : cette pièce d'identité doit porter le cachet officiel de l'unité apposé par le soumissionnaire.</w:t>
      </w:r>
    </w:p>
    <w:p w14:paraId="7384656C">
      <w:pPr>
        <w:adjustRightInd w:val="0"/>
        <w:snapToGrid w:val="0"/>
        <w:spacing w:line="360" w:lineRule="auto"/>
        <w:ind w:firstLine="420" w:firstLineChars="200"/>
        <w:rPr>
          <w:szCs w:val="21"/>
          <w:lang w:val="fr-FR"/>
        </w:rPr>
      </w:pPr>
    </w:p>
    <w:p w14:paraId="3933E4DC">
      <w:pPr>
        <w:adjustRightInd w:val="0"/>
        <w:snapToGrid w:val="0"/>
        <w:spacing w:line="360" w:lineRule="auto"/>
        <w:ind w:firstLine="4200" w:firstLineChars="2000"/>
        <w:rPr>
          <w:szCs w:val="21"/>
          <w:u w:val="single"/>
        </w:rPr>
      </w:pPr>
      <w:r>
        <w:rPr>
          <w:szCs w:val="21"/>
        </w:rPr>
        <w:t>响应人</w:t>
      </w:r>
      <w:r>
        <w:t>soumissionnaire</w:t>
      </w:r>
      <w:r>
        <w:rPr>
          <w:szCs w:val="21"/>
        </w:rPr>
        <w:t>：</w:t>
      </w:r>
      <w:r>
        <w:rPr>
          <w:szCs w:val="21"/>
          <w:u w:val="single"/>
        </w:rPr>
        <w:t xml:space="preserve">           </w:t>
      </w:r>
    </w:p>
    <w:p w14:paraId="16DF92E2">
      <w:pPr>
        <w:adjustRightInd w:val="0"/>
        <w:snapToGrid w:val="0"/>
        <w:spacing w:line="360" w:lineRule="auto"/>
        <w:ind w:firstLine="4200" w:firstLineChars="2000"/>
        <w:rPr>
          <w:szCs w:val="21"/>
        </w:rPr>
      </w:pPr>
      <w:r>
        <w:rPr>
          <w:szCs w:val="21"/>
        </w:rPr>
        <w:t>（盖单位章Cachet de la soci</w:t>
      </w:r>
      <w:r>
        <w:t>été</w:t>
      </w:r>
      <w:r>
        <w:rPr>
          <w:szCs w:val="21"/>
        </w:rPr>
        <w:t>）</w:t>
      </w:r>
    </w:p>
    <w:p w14:paraId="1A129C1B">
      <w:pPr>
        <w:adjustRightInd w:val="0"/>
        <w:snapToGrid w:val="0"/>
        <w:spacing w:line="360" w:lineRule="auto"/>
        <w:ind w:firstLine="4200" w:firstLineChars="2000"/>
        <w:rPr>
          <w:szCs w:val="21"/>
        </w:rPr>
      </w:pPr>
    </w:p>
    <w:p w14:paraId="56FB6D88">
      <w:pPr>
        <w:adjustRightInd w:val="0"/>
        <w:snapToGrid w:val="0"/>
        <w:spacing w:line="360" w:lineRule="auto"/>
        <w:ind w:firstLine="4935" w:firstLineChars="2350"/>
        <w:rPr>
          <w:szCs w:val="21"/>
        </w:rPr>
      </w:pPr>
      <w:r>
        <w:rPr>
          <w:szCs w:val="21"/>
        </w:rPr>
        <w:t xml:space="preserve">日期DATE : </w:t>
      </w:r>
    </w:p>
    <w:tbl>
      <w:tblPr>
        <w:tblStyle w:val="31"/>
        <w:tblpPr w:leftFromText="180" w:rightFromText="180" w:vertAnchor="text" w:horzAnchor="page" w:tblpXSpec="center" w:tblpY="423"/>
        <w:tblOverlap w:val="never"/>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14:paraId="3103C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7" w:hRule="atLeast"/>
          <w:jc w:val="center"/>
        </w:trPr>
        <w:tc>
          <w:tcPr>
            <w:tcW w:w="9571" w:type="dxa"/>
            <w:tcBorders>
              <w:top w:val="single" w:color="auto" w:sz="4" w:space="0"/>
              <w:left w:val="single" w:color="auto" w:sz="4" w:space="0"/>
              <w:bottom w:val="single" w:color="auto" w:sz="4" w:space="0"/>
              <w:right w:val="single" w:color="auto" w:sz="4" w:space="0"/>
            </w:tcBorders>
            <w:vAlign w:val="center"/>
          </w:tcPr>
          <w:p w14:paraId="06A5DD51">
            <w:pPr>
              <w:adjustRightInd w:val="0"/>
              <w:snapToGrid w:val="0"/>
              <w:spacing w:line="360" w:lineRule="auto"/>
              <w:jc w:val="center"/>
              <w:rPr>
                <w:szCs w:val="21"/>
              </w:rPr>
            </w:pPr>
            <w:r>
              <w:rPr>
                <w:szCs w:val="21"/>
              </w:rPr>
              <w:t>法定代表人身份证正反面扫描件粘贴处</w:t>
            </w:r>
          </w:p>
          <w:p w14:paraId="242816EA">
            <w:pPr>
              <w:adjustRightInd w:val="0"/>
              <w:snapToGrid w:val="0"/>
              <w:spacing w:line="360" w:lineRule="auto"/>
              <w:jc w:val="center"/>
              <w:rPr>
                <w:szCs w:val="21"/>
                <w:lang w:val="fr-FR"/>
              </w:rPr>
            </w:pPr>
            <w:r>
              <w:rPr>
                <w:szCs w:val="21"/>
                <w:lang w:val="fr-FR"/>
              </w:rPr>
              <w:t>Lieu de collage de la copie recto-verso de la carte d'identité du représentant légal</w:t>
            </w:r>
          </w:p>
        </w:tc>
      </w:tr>
    </w:tbl>
    <w:p w14:paraId="783A815D">
      <w:pPr>
        <w:pStyle w:val="151"/>
        <w:ind w:left="5250"/>
        <w:rPr>
          <w:lang w:val="fr-FR"/>
        </w:rPr>
        <w:sectPr>
          <w:pgSz w:w="11906" w:h="16838"/>
          <w:pgMar w:top="1417" w:right="1134" w:bottom="1134" w:left="1417" w:header="851" w:footer="850" w:gutter="0"/>
          <w:cols w:space="720" w:num="1"/>
          <w:titlePg/>
          <w:docGrid w:linePitch="312" w:charSpace="0"/>
        </w:sectPr>
      </w:pPr>
    </w:p>
    <w:p w14:paraId="7781BAC7">
      <w:pPr>
        <w:pStyle w:val="3"/>
        <w:spacing w:before="0" w:after="0" w:line="360" w:lineRule="auto"/>
        <w:rPr>
          <w:rFonts w:ascii="Times New Roman" w:hAnsi="Times New Roman"/>
          <w:szCs w:val="22"/>
          <w:lang w:val="fr-FR"/>
        </w:rPr>
      </w:pPr>
      <w:bookmarkStart w:id="110" w:name="_Toc107567207"/>
      <w:bookmarkStart w:id="111" w:name="_Toc12892"/>
      <w:bookmarkStart w:id="112" w:name="_Toc2537"/>
      <w:bookmarkStart w:id="113" w:name="_Toc105679037"/>
      <w:bookmarkStart w:id="114" w:name="_Toc6561271"/>
      <w:r>
        <w:rPr>
          <w:rFonts w:ascii="Times New Roman" w:hAnsi="Times New Roman"/>
          <w:kern w:val="2"/>
          <w:szCs w:val="21"/>
        </w:rPr>
        <w:t>二、授权委托书</w:t>
      </w:r>
      <w:bookmarkEnd w:id="110"/>
      <w:bookmarkEnd w:id="111"/>
      <w:bookmarkEnd w:id="112"/>
      <w:bookmarkEnd w:id="113"/>
      <w:bookmarkEnd w:id="114"/>
    </w:p>
    <w:p w14:paraId="46E75702">
      <w:pPr>
        <w:adjustRightInd w:val="0"/>
        <w:snapToGrid w:val="0"/>
        <w:spacing w:line="360" w:lineRule="auto"/>
        <w:jc w:val="center"/>
        <w:rPr>
          <w:b/>
          <w:bCs/>
          <w:szCs w:val="21"/>
          <w:lang w:val="fr-FR"/>
        </w:rPr>
      </w:pPr>
      <w:r>
        <w:rPr>
          <w:b/>
          <w:bCs/>
          <w:szCs w:val="21"/>
          <w:lang w:val="fr-FR"/>
        </w:rPr>
        <w:t>II. procuration</w:t>
      </w:r>
    </w:p>
    <w:p w14:paraId="3401C52A">
      <w:pPr>
        <w:tabs>
          <w:tab w:val="left" w:pos="630"/>
        </w:tabs>
        <w:spacing w:line="360" w:lineRule="auto"/>
        <w:jc w:val="center"/>
        <w:rPr>
          <w:sz w:val="24"/>
          <w:lang w:val="fr-FR"/>
        </w:rPr>
      </w:pPr>
      <w:r>
        <w:rPr>
          <w:sz w:val="24"/>
        </w:rPr>
        <w:t>响应人法定代表人授权书</w:t>
      </w:r>
      <w:r>
        <w:rPr>
          <w:sz w:val="24"/>
          <w:lang w:val="fr-FR"/>
        </w:rPr>
        <w:t>（</w:t>
      </w:r>
      <w:r>
        <w:rPr>
          <w:sz w:val="24"/>
        </w:rPr>
        <w:t>格式</w:t>
      </w:r>
      <w:r>
        <w:rPr>
          <w:sz w:val="24"/>
          <w:lang w:val="fr-FR"/>
        </w:rPr>
        <w:t>）</w:t>
      </w:r>
    </w:p>
    <w:p w14:paraId="42F5A324">
      <w:pPr>
        <w:tabs>
          <w:tab w:val="left" w:pos="630"/>
          <w:tab w:val="left" w:pos="7350"/>
        </w:tabs>
        <w:spacing w:line="360" w:lineRule="auto"/>
        <w:jc w:val="center"/>
        <w:rPr>
          <w:lang w:val="fr-FR"/>
        </w:rPr>
      </w:pPr>
      <w:r>
        <w:rPr>
          <w:lang w:val="fr-FR"/>
        </w:rPr>
        <w:t>（</w:t>
      </w:r>
      <w:r>
        <w:t>适用于有委托代理人的情况</w:t>
      </w:r>
      <w:r>
        <w:rPr>
          <w:lang w:val="fr-FR"/>
        </w:rPr>
        <w:t>）</w:t>
      </w:r>
    </w:p>
    <w:p w14:paraId="64806F79">
      <w:pPr>
        <w:tabs>
          <w:tab w:val="left" w:pos="630"/>
          <w:tab w:val="left" w:pos="7350"/>
        </w:tabs>
        <w:spacing w:line="360" w:lineRule="auto"/>
        <w:jc w:val="center"/>
        <w:rPr>
          <w:lang w:val="fr-FR"/>
        </w:rPr>
      </w:pPr>
      <w:r>
        <w:rPr>
          <w:lang w:val="fr-FR"/>
        </w:rPr>
        <w:t>Lettre d'autorisation du représentant légal du soumissionnaire (Format)</w:t>
      </w:r>
    </w:p>
    <w:p w14:paraId="2E41552B">
      <w:pPr>
        <w:tabs>
          <w:tab w:val="left" w:pos="630"/>
          <w:tab w:val="left" w:pos="7350"/>
        </w:tabs>
        <w:spacing w:line="360" w:lineRule="auto"/>
        <w:jc w:val="center"/>
        <w:rPr>
          <w:lang w:val="fr-FR"/>
        </w:rPr>
      </w:pPr>
      <w:r>
        <w:rPr>
          <w:lang w:val="fr-FR"/>
        </w:rPr>
        <w:t>(Applicable s'il y a un mandataire)</w:t>
      </w:r>
    </w:p>
    <w:p w14:paraId="1B6D0ECB">
      <w:pPr>
        <w:tabs>
          <w:tab w:val="left" w:pos="630"/>
          <w:tab w:val="left" w:pos="7350"/>
        </w:tabs>
        <w:spacing w:line="360" w:lineRule="auto"/>
        <w:rPr>
          <w:u w:val="single"/>
          <w:lang w:val="fr-FR"/>
        </w:rPr>
      </w:pPr>
      <w:r>
        <w:t>项目名称</w:t>
      </w:r>
      <w:r>
        <w:rPr>
          <w:lang w:val="fr-FR"/>
        </w:rPr>
        <w:t>/Nom du projet：</w:t>
      </w:r>
      <w:r>
        <w:rPr>
          <w:u w:val="single"/>
          <w:lang w:val="fr-FR"/>
        </w:rPr>
        <w:t xml:space="preserve">               </w:t>
      </w:r>
    </w:p>
    <w:p w14:paraId="41DD2FC1">
      <w:pPr>
        <w:tabs>
          <w:tab w:val="left" w:pos="630"/>
          <w:tab w:val="left" w:pos="7920"/>
          <w:tab w:val="left" w:pos="8520"/>
        </w:tabs>
        <w:spacing w:line="360" w:lineRule="auto"/>
        <w:rPr>
          <w:u w:val="single"/>
          <w:lang w:val="fr-FR"/>
        </w:rPr>
      </w:pPr>
      <w:r>
        <w:t>日</w:t>
      </w:r>
      <w:r>
        <w:rPr>
          <w:lang w:val="fr-FR"/>
        </w:rPr>
        <w:t xml:space="preserve">  </w:t>
      </w:r>
      <w:r>
        <w:t>期</w:t>
      </w:r>
      <w:r>
        <w:rPr>
          <w:lang w:val="fr-FR"/>
        </w:rPr>
        <w:t>/Date：</w:t>
      </w:r>
      <w:r>
        <w:rPr>
          <w:u w:val="single"/>
          <w:lang w:val="fr-FR"/>
        </w:rPr>
        <w:t xml:space="preserve">               </w:t>
      </w:r>
    </w:p>
    <w:p w14:paraId="5D7DC6D1">
      <w:pPr>
        <w:tabs>
          <w:tab w:val="left" w:pos="630"/>
        </w:tabs>
        <w:spacing w:line="360" w:lineRule="auto"/>
        <w:rPr>
          <w:lang w:val="fr-FR"/>
        </w:rPr>
      </w:pPr>
      <w:r>
        <w:t>致</w:t>
      </w:r>
      <w:r>
        <w:rPr>
          <w:lang w:val="fr-FR"/>
        </w:rPr>
        <w:t>：</w:t>
      </w:r>
      <w:r>
        <w:t>国家电投国际投资开发</w:t>
      </w:r>
      <w:r>
        <w:rPr>
          <w:lang w:val="fr-FR"/>
        </w:rPr>
        <w:t>（</w:t>
      </w:r>
      <w:r>
        <w:t>几内亚</w:t>
      </w:r>
      <w:r>
        <w:rPr>
          <w:lang w:val="fr-FR"/>
        </w:rPr>
        <w:t>）</w:t>
      </w:r>
      <w:r>
        <w:t>有限责任公司</w:t>
      </w:r>
      <w:r>
        <w:rPr>
          <w:lang w:val="fr-FR"/>
        </w:rPr>
        <w:t xml:space="preserve">  </w:t>
      </w:r>
    </w:p>
    <w:p w14:paraId="3D41399C">
      <w:pPr>
        <w:tabs>
          <w:tab w:val="left" w:pos="630"/>
        </w:tabs>
        <w:spacing w:line="360" w:lineRule="auto"/>
      </w:pPr>
      <w:r>
        <w:t>À SPIC International Investment &amp; Development (Guinea) Co.,Ltd.</w:t>
      </w:r>
    </w:p>
    <w:p w14:paraId="0A4BEEEA">
      <w:pPr>
        <w:tabs>
          <w:tab w:val="left" w:pos="630"/>
        </w:tabs>
        <w:spacing w:line="360" w:lineRule="auto"/>
        <w:ind w:firstLine="420" w:firstLineChars="200"/>
      </w:pPr>
      <w:r>
        <w:rPr>
          <w:u w:val="single"/>
        </w:rPr>
        <w:t xml:space="preserve">（响应人名称nom du soumissionnaire :）           </w:t>
      </w:r>
      <w:r>
        <w:t xml:space="preserve">，几内亚共和国合法企业，法定地址société légale de la République de Guinée, dont l'adresse légale est : </w:t>
      </w:r>
      <w:r>
        <w:rPr>
          <w:u w:val="single"/>
        </w:rPr>
        <w:t xml:space="preserve">                </w:t>
      </w:r>
      <w:r>
        <w:t>。</w:t>
      </w:r>
    </w:p>
    <w:p w14:paraId="1E19474C">
      <w:pPr>
        <w:tabs>
          <w:tab w:val="left" w:pos="420"/>
        </w:tabs>
        <w:spacing w:line="360" w:lineRule="auto"/>
      </w:pPr>
      <w:r>
        <w:tab/>
      </w:r>
      <w:r>
        <w:rPr>
          <w:u w:val="single"/>
        </w:rPr>
        <w:t xml:space="preserve">（授权人姓名nom de l'autorité :）        </w:t>
      </w:r>
      <w:r>
        <w:t>特授权autorise par la présente</w:t>
      </w:r>
      <w:r>
        <w:rPr>
          <w:u w:val="single"/>
        </w:rPr>
        <w:t xml:space="preserve">（被授权人姓名nom du mandataire :）     </w:t>
      </w:r>
      <w:r>
        <w:t>代表我公司全权办理针对上述项目的报价、谈判、签约等具体工作，并签署全部有关的文件、协议及合同au nom de notre société, à s'occuper du devis, de la négociation, de la passation des marchés et d'autres travaux spécifiques concernant le projet susmentionné, et à signer tous les documents, accords et contrats pertinents。</w:t>
      </w:r>
    </w:p>
    <w:p w14:paraId="4AD1029B">
      <w:pPr>
        <w:tabs>
          <w:tab w:val="left" w:pos="630"/>
          <w:tab w:val="left" w:pos="8160"/>
        </w:tabs>
        <w:spacing w:line="360" w:lineRule="auto"/>
        <w:ind w:firstLine="420" w:firstLineChars="200"/>
        <w:jc w:val="left"/>
      </w:pPr>
      <w:r>
        <w:t>我公司对被授权人的签名负全部责任。</w:t>
      </w:r>
    </w:p>
    <w:p w14:paraId="4F5DBF89">
      <w:pPr>
        <w:tabs>
          <w:tab w:val="left" w:pos="630"/>
          <w:tab w:val="left" w:pos="8160"/>
        </w:tabs>
        <w:spacing w:line="360" w:lineRule="auto"/>
        <w:jc w:val="left"/>
        <w:rPr>
          <w:lang w:val="fr-FR"/>
        </w:rPr>
      </w:pPr>
      <w:r>
        <w:t xml:space="preserve">  </w:t>
      </w:r>
      <w:r>
        <w:rPr>
          <w:lang w:val="fr-FR"/>
        </w:rPr>
        <w:t>Nous sommes entièrement responsables de la signature du mandataire.</w:t>
      </w:r>
    </w:p>
    <w:p w14:paraId="5A89D2B2">
      <w:pPr>
        <w:tabs>
          <w:tab w:val="left" w:pos="420"/>
        </w:tabs>
        <w:spacing w:line="360" w:lineRule="auto"/>
      </w:pPr>
      <w:r>
        <w:rPr>
          <w:lang w:val="fr-FR"/>
        </w:rPr>
        <w:tab/>
      </w:r>
      <w:r>
        <w:t>在撤销授权的书面通知以前，本授权书一直有效。被授权人签署的所有文件（在授权书有效期内签署的）不因授权的撤消而失效。</w:t>
      </w:r>
    </w:p>
    <w:p w14:paraId="7464CE07">
      <w:pPr>
        <w:tabs>
          <w:tab w:val="left" w:pos="420"/>
        </w:tabs>
        <w:spacing w:line="360" w:lineRule="auto"/>
        <w:rPr>
          <w:lang w:val="fr-FR"/>
        </w:rPr>
      </w:pPr>
      <w:r>
        <w:t xml:space="preserve">  </w:t>
      </w:r>
      <w:r>
        <w:rPr>
          <w:lang w:val="fr-FR"/>
        </w:rPr>
        <w:t>Cette procuration reste valable jusqu'à ce qu'une notification écrite de révocation soit donnée. Tous les documents signés par le mandataire (pendant la période de validité de la procuration) ne sont pas invalidés par la révocation de la procuration.</w:t>
      </w:r>
    </w:p>
    <w:p w14:paraId="5A40DACD">
      <w:pPr>
        <w:tabs>
          <w:tab w:val="left" w:pos="210"/>
          <w:tab w:val="left" w:pos="7560"/>
        </w:tabs>
        <w:spacing w:line="360" w:lineRule="auto"/>
        <w:rPr>
          <w:lang w:val="fr-FR"/>
        </w:rPr>
      </w:pPr>
      <w:r>
        <w:rPr>
          <w:lang w:val="fr-FR"/>
        </w:rPr>
        <w:tab/>
      </w:r>
      <w:r>
        <w:t>被授权人签名</w:t>
      </w:r>
      <w:r>
        <w:rPr>
          <w:lang w:val="fr-FR"/>
        </w:rPr>
        <w:t>signature du mandataire：</w:t>
      </w:r>
      <w:r>
        <w:rPr>
          <w:u w:val="single"/>
          <w:lang w:val="fr-FR"/>
        </w:rPr>
        <w:t xml:space="preserve">      </w:t>
      </w:r>
      <w:r>
        <w:rPr>
          <w:lang w:val="fr-FR"/>
        </w:rPr>
        <w:t xml:space="preserve"> </w:t>
      </w:r>
    </w:p>
    <w:p w14:paraId="0516D8D9">
      <w:pPr>
        <w:tabs>
          <w:tab w:val="left" w:pos="210"/>
          <w:tab w:val="left" w:pos="7560"/>
        </w:tabs>
        <w:spacing w:line="360" w:lineRule="auto"/>
        <w:rPr>
          <w:u w:val="single"/>
          <w:lang w:val="fr-FR"/>
        </w:rPr>
      </w:pPr>
      <w:r>
        <w:rPr>
          <w:lang w:val="fr-FR"/>
        </w:rPr>
        <w:tab/>
      </w:r>
      <w:r>
        <w:t>职</w:t>
      </w:r>
      <w:r>
        <w:rPr>
          <w:lang w:val="fr-FR"/>
        </w:rPr>
        <w:t xml:space="preserve">    </w:t>
      </w:r>
      <w:r>
        <w:t>务</w:t>
      </w:r>
      <w:r>
        <w:rPr>
          <w:lang w:val="fr-FR"/>
        </w:rPr>
        <w:t>Fonction：</w:t>
      </w:r>
      <w:r>
        <w:rPr>
          <w:u w:val="single"/>
          <w:lang w:val="fr-FR"/>
        </w:rPr>
        <w:t xml:space="preserve">      </w:t>
      </w:r>
      <w:r>
        <w:rPr>
          <w:lang w:val="fr-FR"/>
        </w:rPr>
        <w:t xml:space="preserve">          </w:t>
      </w:r>
    </w:p>
    <w:p w14:paraId="58899F4C">
      <w:pPr>
        <w:tabs>
          <w:tab w:val="left" w:pos="630"/>
          <w:tab w:val="left" w:pos="7560"/>
        </w:tabs>
        <w:spacing w:line="360" w:lineRule="auto"/>
        <w:ind w:firstLine="210" w:firstLineChars="100"/>
        <w:rPr>
          <w:lang w:val="fr-FR"/>
        </w:rPr>
      </w:pPr>
      <w:r>
        <w:t>联系电话</w:t>
      </w:r>
      <w:r>
        <w:rPr>
          <w:lang w:val="fr-FR"/>
        </w:rPr>
        <w:t>Numéro de contact（</w:t>
      </w:r>
      <w:r>
        <w:t>手机</w:t>
      </w:r>
      <w:r>
        <w:rPr>
          <w:lang w:val="fr-FR"/>
        </w:rPr>
        <w:t>TEL）：</w:t>
      </w:r>
      <w:r>
        <w:rPr>
          <w:u w:val="single"/>
          <w:lang w:val="fr-FR"/>
        </w:rPr>
        <w:t xml:space="preserve">      </w:t>
      </w:r>
      <w:r>
        <w:rPr>
          <w:lang w:val="fr-FR"/>
        </w:rPr>
        <w:t xml:space="preserve">         </w:t>
      </w:r>
    </w:p>
    <w:p w14:paraId="32B115BB">
      <w:pPr>
        <w:tabs>
          <w:tab w:val="left" w:pos="630"/>
          <w:tab w:val="left" w:pos="7560"/>
        </w:tabs>
        <w:spacing w:line="360" w:lineRule="auto"/>
        <w:ind w:firstLine="210" w:firstLineChars="100"/>
        <w:rPr>
          <w:lang w:val="fr-FR"/>
        </w:rPr>
      </w:pPr>
    </w:p>
    <w:p w14:paraId="4E9B68B8">
      <w:pPr>
        <w:tabs>
          <w:tab w:val="left" w:pos="210"/>
          <w:tab w:val="left" w:pos="7560"/>
        </w:tabs>
        <w:spacing w:line="360" w:lineRule="auto"/>
        <w:ind w:firstLine="210" w:firstLineChars="100"/>
        <w:rPr>
          <w:lang w:val="fr-FR"/>
        </w:rPr>
      </w:pPr>
      <w:r>
        <w:t>授权人签名</w:t>
      </w:r>
      <w:r>
        <w:rPr>
          <w:lang w:val="fr-FR"/>
        </w:rPr>
        <w:t>signature de l'autorité：</w:t>
      </w:r>
    </w:p>
    <w:p w14:paraId="3B0D471E">
      <w:pPr>
        <w:tabs>
          <w:tab w:val="left" w:pos="210"/>
          <w:tab w:val="left" w:pos="7560"/>
        </w:tabs>
        <w:spacing w:line="360" w:lineRule="auto"/>
        <w:ind w:firstLine="210" w:firstLineChars="100"/>
        <w:rPr>
          <w:u w:val="single"/>
          <w:lang w:val="fr-FR"/>
        </w:rPr>
      </w:pPr>
      <w:r>
        <w:t>职</w:t>
      </w:r>
      <w:r>
        <w:rPr>
          <w:lang w:val="fr-FR"/>
        </w:rPr>
        <w:t xml:space="preserve">    </w:t>
      </w:r>
      <w:r>
        <w:t>务</w:t>
      </w:r>
      <w:r>
        <w:rPr>
          <w:lang w:val="fr-FR"/>
        </w:rPr>
        <w:t>Fonction：</w:t>
      </w:r>
      <w:r>
        <w:rPr>
          <w:u w:val="single"/>
          <w:lang w:val="fr-FR"/>
        </w:rPr>
        <w:t xml:space="preserve">      </w:t>
      </w:r>
      <w:r>
        <w:rPr>
          <w:lang w:val="fr-FR"/>
        </w:rPr>
        <w:t xml:space="preserve">          </w:t>
      </w:r>
    </w:p>
    <w:p w14:paraId="076E0F70">
      <w:pPr>
        <w:tabs>
          <w:tab w:val="left" w:pos="630"/>
          <w:tab w:val="left" w:pos="7560"/>
        </w:tabs>
        <w:spacing w:line="360" w:lineRule="auto"/>
        <w:ind w:firstLine="210" w:firstLineChars="100"/>
        <w:rPr>
          <w:lang w:val="fr-FR"/>
        </w:rPr>
      </w:pPr>
      <w:r>
        <w:t>联系电话</w:t>
      </w:r>
      <w:r>
        <w:rPr>
          <w:lang w:val="fr-FR"/>
        </w:rPr>
        <w:t>Numéro de contact（</w:t>
      </w:r>
      <w:r>
        <w:t>手机</w:t>
      </w:r>
      <w:r>
        <w:rPr>
          <w:lang w:val="fr-FR"/>
        </w:rPr>
        <w:t>TEL）：</w:t>
      </w:r>
      <w:r>
        <w:rPr>
          <w:u w:val="single"/>
          <w:lang w:val="fr-FR"/>
        </w:rPr>
        <w:t xml:space="preserve">      </w:t>
      </w:r>
      <w:r>
        <w:rPr>
          <w:lang w:val="fr-FR"/>
        </w:rPr>
        <w:t xml:space="preserve">                         </w:t>
      </w:r>
    </w:p>
    <w:p w14:paraId="2452DE62">
      <w:pPr>
        <w:spacing w:line="360" w:lineRule="auto"/>
        <w:jc w:val="center"/>
        <w:rPr>
          <w:lang w:val="fr-FR"/>
        </w:rPr>
      </w:pPr>
    </w:p>
    <w:p w14:paraId="1A2A0CE7">
      <w:pPr>
        <w:spacing w:line="360" w:lineRule="auto"/>
        <w:jc w:val="center"/>
        <w:rPr>
          <w:szCs w:val="22"/>
        </w:rPr>
      </w:pPr>
      <w:r>
        <w:rPr>
          <w:lang w:val="fr-FR"/>
        </w:rPr>
        <w:t xml:space="preserve">             </w:t>
      </w:r>
      <w:r>
        <w:t>响应人soumissionnaire ：</w:t>
      </w:r>
      <w:r>
        <w:rPr>
          <w:szCs w:val="21"/>
          <w:u w:val="single"/>
        </w:rPr>
        <w:t xml:space="preserve">      </w:t>
      </w:r>
      <w:r>
        <w:rPr>
          <w:szCs w:val="21"/>
          <w:u w:val="single"/>
        </w:rPr>
        <w:tab/>
      </w:r>
      <w:r>
        <w:rPr>
          <w:szCs w:val="21"/>
        </w:rPr>
        <w:t>（盖单位章Cachet de la société）</w:t>
      </w:r>
    </w:p>
    <w:p w14:paraId="5A3DAF57">
      <w:pPr>
        <w:spacing w:line="360" w:lineRule="auto"/>
      </w:pPr>
    </w:p>
    <w:p w14:paraId="0B7C8A01">
      <w:pPr>
        <w:spacing w:line="360" w:lineRule="auto"/>
        <w:ind w:firstLine="5040" w:firstLineChars="2400"/>
      </w:pPr>
      <w:r>
        <w:t>日期DATE :</w:t>
      </w:r>
    </w:p>
    <w:p w14:paraId="43C70355">
      <w:pPr>
        <w:spacing w:line="360" w:lineRule="auto"/>
      </w:pPr>
    </w:p>
    <w:tbl>
      <w:tblPr>
        <w:tblStyle w:val="31"/>
        <w:tblpPr w:leftFromText="180" w:rightFromText="180" w:vertAnchor="text" w:horzAnchor="page" w:tblpXSpec="center" w:tblpY="983"/>
        <w:tblOverlap w:val="never"/>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14:paraId="0DD47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7" w:hRule="atLeast"/>
          <w:jc w:val="center"/>
        </w:trPr>
        <w:tc>
          <w:tcPr>
            <w:tcW w:w="9571" w:type="dxa"/>
            <w:tcBorders>
              <w:top w:val="single" w:color="auto" w:sz="4" w:space="0"/>
              <w:left w:val="single" w:color="auto" w:sz="4" w:space="0"/>
              <w:bottom w:val="single" w:color="auto" w:sz="4" w:space="0"/>
              <w:right w:val="single" w:color="auto" w:sz="4" w:space="0"/>
            </w:tcBorders>
            <w:vAlign w:val="center"/>
          </w:tcPr>
          <w:p w14:paraId="44D7ABD8">
            <w:pPr>
              <w:adjustRightInd w:val="0"/>
              <w:snapToGrid w:val="0"/>
              <w:spacing w:line="360" w:lineRule="auto"/>
              <w:jc w:val="center"/>
              <w:rPr>
                <w:szCs w:val="21"/>
              </w:rPr>
            </w:pPr>
            <w:r>
              <w:rPr>
                <w:szCs w:val="21"/>
              </w:rPr>
              <w:t>法定代表人身份证正反面扫描件粘贴处</w:t>
            </w:r>
          </w:p>
          <w:p w14:paraId="20E860C0">
            <w:pPr>
              <w:adjustRightInd w:val="0"/>
              <w:snapToGrid w:val="0"/>
              <w:spacing w:line="360" w:lineRule="auto"/>
              <w:jc w:val="center"/>
              <w:rPr>
                <w:szCs w:val="21"/>
                <w:lang w:val="fr-FR"/>
              </w:rPr>
            </w:pPr>
            <w:r>
              <w:rPr>
                <w:szCs w:val="21"/>
                <w:lang w:val="fr-FR"/>
              </w:rPr>
              <w:t>Lieu de collage de la copie recto-verso de la carte d'identité du représentant légal</w:t>
            </w:r>
          </w:p>
        </w:tc>
      </w:tr>
    </w:tbl>
    <w:p w14:paraId="2A4F8B20">
      <w:pPr>
        <w:adjustRightInd w:val="0"/>
        <w:snapToGrid w:val="0"/>
        <w:spacing w:line="360" w:lineRule="auto"/>
        <w:ind w:firstLine="420" w:firstLineChars="200"/>
        <w:rPr>
          <w:szCs w:val="21"/>
          <w:lang w:val="fr-FR"/>
        </w:rPr>
      </w:pPr>
    </w:p>
    <w:p w14:paraId="489921B1">
      <w:pPr>
        <w:adjustRightInd w:val="0"/>
        <w:snapToGrid w:val="0"/>
        <w:spacing w:line="360" w:lineRule="auto"/>
        <w:ind w:firstLine="420" w:firstLineChars="200"/>
        <w:rPr>
          <w:szCs w:val="21"/>
          <w:lang w:val="fr-FR"/>
        </w:rPr>
      </w:pPr>
    </w:p>
    <w:p w14:paraId="35AE5FB0">
      <w:pPr>
        <w:pStyle w:val="3"/>
        <w:spacing w:before="0" w:after="0" w:line="360" w:lineRule="auto"/>
        <w:rPr>
          <w:rFonts w:ascii="Times New Roman" w:hAnsi="Times New Roman"/>
          <w:szCs w:val="21"/>
          <w:lang w:val="fr-FR"/>
        </w:rPr>
        <w:sectPr>
          <w:pgSz w:w="11906" w:h="16838"/>
          <w:pgMar w:top="1417" w:right="1134" w:bottom="1134" w:left="1417" w:header="851" w:footer="850" w:gutter="0"/>
          <w:cols w:space="720" w:num="1"/>
          <w:titlePg/>
          <w:docGrid w:linePitch="312" w:charSpace="0"/>
        </w:sectPr>
      </w:pPr>
    </w:p>
    <w:tbl>
      <w:tblPr>
        <w:tblStyle w:val="31"/>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14:paraId="0027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9" w:hRule="atLeast"/>
          <w:jc w:val="center"/>
        </w:trPr>
        <w:tc>
          <w:tcPr>
            <w:tcW w:w="9571" w:type="dxa"/>
            <w:tcBorders>
              <w:top w:val="single" w:color="auto" w:sz="4" w:space="0"/>
              <w:left w:val="single" w:color="auto" w:sz="4" w:space="0"/>
              <w:bottom w:val="single" w:color="auto" w:sz="4" w:space="0"/>
              <w:right w:val="single" w:color="auto" w:sz="4" w:space="0"/>
            </w:tcBorders>
            <w:vAlign w:val="center"/>
          </w:tcPr>
          <w:p w14:paraId="7D99BB59">
            <w:pPr>
              <w:tabs>
                <w:tab w:val="left" w:pos="630"/>
                <w:tab w:val="left" w:pos="7560"/>
              </w:tabs>
              <w:spacing w:line="360" w:lineRule="auto"/>
              <w:jc w:val="center"/>
              <w:rPr>
                <w:szCs w:val="21"/>
              </w:rPr>
            </w:pPr>
            <w:r>
              <w:rPr>
                <w:szCs w:val="21"/>
              </w:rPr>
              <w:t>被授权人人身份证正反面扫描件粘贴处</w:t>
            </w:r>
          </w:p>
          <w:p w14:paraId="0DB5526D">
            <w:pPr>
              <w:tabs>
                <w:tab w:val="left" w:pos="630"/>
                <w:tab w:val="left" w:pos="7560"/>
              </w:tabs>
              <w:spacing w:line="360" w:lineRule="auto"/>
              <w:jc w:val="center"/>
              <w:rPr>
                <w:szCs w:val="21"/>
                <w:lang w:val="fr-FR"/>
              </w:rPr>
            </w:pPr>
            <w:r>
              <w:rPr>
                <w:szCs w:val="21"/>
                <w:lang w:val="fr-FR"/>
              </w:rPr>
              <w:t xml:space="preserve">Lieu de collage de la copie recto-verso de la carte d'identité du </w:t>
            </w:r>
            <w:r>
              <w:rPr>
                <w:lang w:val="fr-FR"/>
              </w:rPr>
              <w:t>mandataire</w:t>
            </w:r>
          </w:p>
        </w:tc>
      </w:tr>
    </w:tbl>
    <w:p w14:paraId="13074F82">
      <w:pPr>
        <w:spacing w:line="440" w:lineRule="exact"/>
        <w:rPr>
          <w:lang w:val="fr-FR"/>
        </w:rPr>
      </w:pPr>
    </w:p>
    <w:p w14:paraId="1A81EC0C">
      <w:pPr>
        <w:adjustRightInd w:val="0"/>
        <w:snapToGrid w:val="0"/>
        <w:spacing w:line="360" w:lineRule="auto"/>
        <w:ind w:right="840"/>
        <w:rPr>
          <w:lang w:val="fr-FR"/>
        </w:rPr>
      </w:pPr>
    </w:p>
    <w:p w14:paraId="05494496">
      <w:pPr>
        <w:spacing w:line="440" w:lineRule="exact"/>
        <w:ind w:firstLine="4057" w:firstLineChars="1932"/>
        <w:jc w:val="right"/>
        <w:rPr>
          <w:szCs w:val="22"/>
          <w:lang w:val="fr-FR"/>
        </w:rPr>
      </w:pPr>
    </w:p>
    <w:p w14:paraId="66D8EB50">
      <w:pPr>
        <w:pStyle w:val="3"/>
        <w:spacing w:before="0" w:after="0" w:line="360" w:lineRule="auto"/>
        <w:rPr>
          <w:rFonts w:ascii="Times New Roman" w:hAnsi="Times New Roman"/>
          <w:kern w:val="2"/>
          <w:szCs w:val="21"/>
          <w:lang w:val="fr-FR"/>
        </w:rPr>
        <w:sectPr>
          <w:pgSz w:w="11906" w:h="16838"/>
          <w:pgMar w:top="1417" w:right="1134" w:bottom="1134" w:left="1417" w:header="851" w:footer="850" w:gutter="0"/>
          <w:cols w:space="720" w:num="1"/>
          <w:titlePg/>
          <w:docGrid w:linePitch="312" w:charSpace="0"/>
        </w:sectPr>
      </w:pPr>
      <w:bookmarkStart w:id="115" w:name="_Toc106878078"/>
      <w:bookmarkStart w:id="116" w:name="_Toc107566831"/>
      <w:bookmarkStart w:id="117" w:name="_Toc105679038"/>
      <w:bookmarkStart w:id="118" w:name="_Toc106872833"/>
    </w:p>
    <w:p w14:paraId="2AC850A2">
      <w:pPr>
        <w:pStyle w:val="3"/>
        <w:spacing w:before="0" w:after="0" w:line="360" w:lineRule="auto"/>
        <w:rPr>
          <w:rFonts w:ascii="Times New Roman" w:hAnsi="Times New Roman"/>
          <w:kern w:val="2"/>
          <w:szCs w:val="21"/>
        </w:rPr>
      </w:pPr>
      <w:bookmarkStart w:id="119" w:name="_Toc5474"/>
      <w:r>
        <w:rPr>
          <w:rFonts w:ascii="Times New Roman" w:hAnsi="Times New Roman"/>
          <w:kern w:val="2"/>
          <w:szCs w:val="21"/>
        </w:rPr>
        <w:t>三、联合体协议书（如有）</w:t>
      </w:r>
      <w:bookmarkEnd w:id="115"/>
      <w:bookmarkEnd w:id="116"/>
      <w:bookmarkEnd w:id="117"/>
      <w:bookmarkEnd w:id="118"/>
      <w:bookmarkEnd w:id="119"/>
    </w:p>
    <w:p w14:paraId="61CA2A78">
      <w:pPr>
        <w:pStyle w:val="3"/>
        <w:spacing w:before="0" w:after="0" w:line="360" w:lineRule="auto"/>
        <w:rPr>
          <w:rFonts w:ascii="Times New Roman" w:hAnsi="Times New Roman"/>
          <w:kern w:val="2"/>
          <w:szCs w:val="21"/>
          <w:lang w:val="fr-FR"/>
        </w:rPr>
      </w:pPr>
      <w:r>
        <w:rPr>
          <w:rFonts w:ascii="Times New Roman" w:hAnsi="Times New Roman"/>
          <w:kern w:val="2"/>
          <w:szCs w:val="21"/>
          <w:lang w:val="fr-FR"/>
        </w:rPr>
        <w:t>Accord de Consortium (le cas échéant)</w:t>
      </w:r>
    </w:p>
    <w:p w14:paraId="23CC32B5">
      <w:pPr>
        <w:pStyle w:val="30"/>
        <w:adjustRightInd/>
        <w:spacing w:line="240" w:lineRule="auto"/>
        <w:ind w:firstLine="0" w:firstLineChars="0"/>
        <w:jc w:val="center"/>
        <w:rPr>
          <w:sz w:val="21"/>
          <w:szCs w:val="21"/>
        </w:rPr>
      </w:pPr>
      <w:r>
        <w:rPr>
          <w:sz w:val="21"/>
          <w:szCs w:val="21"/>
        </w:rPr>
        <w:t>（注：响应人须知前附表1.9要求中不接受联合体的无需提供）</w:t>
      </w:r>
    </w:p>
    <w:p w14:paraId="6BC21FEB">
      <w:pPr>
        <w:pStyle w:val="30"/>
        <w:adjustRightInd/>
        <w:spacing w:line="240" w:lineRule="auto"/>
        <w:ind w:firstLine="0" w:firstLineChars="0"/>
        <w:jc w:val="center"/>
        <w:rPr>
          <w:sz w:val="21"/>
          <w:szCs w:val="21"/>
          <w:lang w:val="fr-FR"/>
        </w:rPr>
      </w:pPr>
      <w:r>
        <w:rPr>
          <w:sz w:val="21"/>
          <w:szCs w:val="21"/>
          <w:lang w:val="fr-FR"/>
        </w:rPr>
        <w:t>(Remarque : Il n'est pas nécessaire de fournir ce document si l'Annexe préliminaire des Instructions pour les soumissionnaires, section 1.9, stipule que les consortiums ne sont pas acceptés.)</w:t>
      </w:r>
    </w:p>
    <w:p w14:paraId="114F763B">
      <w:pPr>
        <w:spacing w:line="360" w:lineRule="auto"/>
        <w:rPr>
          <w:szCs w:val="22"/>
          <w:lang w:val="fr-FR"/>
        </w:rPr>
      </w:pPr>
    </w:p>
    <w:p w14:paraId="307772A7">
      <w:pPr>
        <w:topLinePunct/>
        <w:spacing w:line="360" w:lineRule="auto"/>
        <w:ind w:firstLine="420" w:firstLineChars="200"/>
      </w:pPr>
      <w:r>
        <w:rPr>
          <w:lang w:val="fr-FR"/>
        </w:rPr>
        <w:t xml:space="preserve">Les entités suivantes : </w:t>
      </w:r>
      <w:r>
        <w:rPr>
          <w:u w:val="single"/>
          <w:lang w:val="fr-FR"/>
        </w:rPr>
        <w:t xml:space="preserve">        </w:t>
      </w:r>
      <w:r>
        <w:rPr>
          <w:lang w:val="fr-FR"/>
        </w:rPr>
        <w:t>（</w:t>
      </w:r>
      <w:r>
        <w:t>所有成员单位名称</w:t>
      </w:r>
      <w:r>
        <w:rPr>
          <w:lang w:val="fr-FR"/>
        </w:rPr>
        <w:t>nom de toutes les entités membres）</w:t>
      </w:r>
      <w:r>
        <w:t>自愿组成</w:t>
      </w:r>
      <w:r>
        <w:rPr>
          <w:lang w:val="fr-FR"/>
        </w:rPr>
        <w:t xml:space="preserve">conviennent volontairement de former un consortium dénommé : </w:t>
      </w:r>
      <w:r>
        <w:rPr>
          <w:u w:val="single"/>
          <w:lang w:val="fr-FR"/>
        </w:rPr>
        <w:t xml:space="preserve">      </w:t>
      </w:r>
      <w:r>
        <w:rPr>
          <w:lang w:val="fr-FR"/>
        </w:rPr>
        <w:t>（</w:t>
      </w:r>
      <w:r>
        <w:t>联合体名称</w:t>
      </w:r>
      <w:r>
        <w:rPr>
          <w:lang w:val="fr-FR"/>
        </w:rPr>
        <w:t>nom du consortium）</w:t>
      </w:r>
      <w:r>
        <w:t>联合体</w:t>
      </w:r>
      <w:r>
        <w:rPr>
          <w:lang w:val="fr-FR"/>
        </w:rPr>
        <w:t>，</w:t>
      </w:r>
      <w:r>
        <w:t>共同参加</w:t>
      </w:r>
      <w:r>
        <w:rPr>
          <w:lang w:val="fr-FR"/>
        </w:rPr>
        <w:t xml:space="preserve">afin de soumettre une offre pour le projet d'approvisionnement en matériaux : </w:t>
      </w:r>
      <w:r>
        <w:rPr>
          <w:u w:val="single"/>
          <w:lang w:val="fr-FR"/>
        </w:rPr>
        <w:t xml:space="preserve">       </w:t>
      </w:r>
      <w:r>
        <w:rPr>
          <w:lang w:val="fr-FR"/>
        </w:rPr>
        <w:t>（</w:t>
      </w:r>
      <w:r>
        <w:t>项目名称</w:t>
      </w:r>
      <w:r>
        <w:rPr>
          <w:lang w:val="fr-FR"/>
        </w:rPr>
        <w:t>nom du projet）</w:t>
      </w:r>
      <w:r>
        <w:t>材料采购项目报价</w:t>
      </w:r>
      <w:r>
        <w:rPr>
          <w:szCs w:val="21"/>
        </w:rPr>
        <w:t>。现就联</w:t>
      </w:r>
      <w:r>
        <w:t xml:space="preserve">合体报价事宜订立如下协议À cet effet, les membres du consortium concluent le présent accord selon les dispositions suivantes : </w:t>
      </w:r>
    </w:p>
    <w:p w14:paraId="71763380">
      <w:pPr>
        <w:topLinePunct/>
        <w:spacing w:line="360" w:lineRule="auto"/>
        <w:ind w:firstLine="420" w:firstLineChars="200"/>
      </w:pPr>
      <w:r>
        <w:t xml:space="preserve">1. </w:t>
      </w:r>
      <w:r>
        <w:rPr>
          <w:u w:val="single"/>
        </w:rPr>
        <w:t xml:space="preserve">            </w:t>
      </w:r>
      <w:r>
        <w:t xml:space="preserve">（某成员单位名称Nom d’une entité membre）为est désigné comme chef de file du consortium </w:t>
      </w:r>
      <w:r>
        <w:rPr>
          <w:u w:val="single"/>
        </w:rPr>
        <w:t xml:space="preserve">             </w:t>
      </w:r>
      <w:r>
        <w:t>（联合体名称nom du consortium）牵头人。</w:t>
      </w:r>
    </w:p>
    <w:p w14:paraId="5EA2B69A">
      <w:pPr>
        <w:topLinePunct/>
        <w:spacing w:line="360" w:lineRule="auto"/>
        <w:ind w:firstLine="420" w:firstLineChars="200"/>
        <w:rPr>
          <w:lang w:val="fr-FR"/>
        </w:rPr>
      </w:pPr>
      <w:r>
        <w:t>2. 联合体各成员授权牵头人代表联合体参加报价活动，签署文件，提交和接收相关的资料、信息及指示，进行合同谈判活动，负责合同实施阶段的组织和协调工作，以及处理与本采购项目有关的一切事宜。</w:t>
      </w:r>
      <w:r>
        <w:rPr>
          <w:lang w:val="fr-FR"/>
        </w:rPr>
        <w:t>Les membres du consortium autorisent le chef de file à les représenter dans toutes les démarches relatives à l'offre, y compris la signature des documents, la soumission et la réception des informations et instructions, la négociation du contrat, l'organisation et la coordination de l'exécution contractuelle, ainsi que le traitement de toutes les affaires liées à ce projet d'approvisionnement.</w:t>
      </w:r>
    </w:p>
    <w:p w14:paraId="23440A96">
      <w:pPr>
        <w:topLinePunct/>
        <w:spacing w:line="360" w:lineRule="auto"/>
        <w:ind w:firstLine="420" w:firstLineChars="200"/>
        <w:rPr>
          <w:lang w:val="fr-FR"/>
        </w:rPr>
      </w:pPr>
      <w:r>
        <w:t>3. 联合体牵头人在本项目中签署的一切文件和处理的一切事宜，联合体各成员均予以承认。联合体各成员将严格按照采购文件、报价文件和合同的要求全面履行义务，并向采购人承担连带责任。</w:t>
      </w:r>
      <w:r>
        <w:rPr>
          <w:lang w:val="fr-FR"/>
        </w:rPr>
        <w:t>Toutes les actions et décisions prises par le chef de file dans le cadre du projet seront reconnues par l’ensemble des membres du consortium. Ces derniers s'engagent à respecter scrupuleusement les obligations stipulées dans les documents d’appel d’offres, l'offre soumise et le contrat, et assument une responsabilité solidaire envers l'acheteur.</w:t>
      </w:r>
    </w:p>
    <w:p w14:paraId="0456F1C4">
      <w:pPr>
        <w:topLinePunct/>
        <w:spacing w:line="360" w:lineRule="auto"/>
        <w:ind w:firstLine="420" w:firstLineChars="200"/>
        <w:rPr>
          <w:lang w:val="fr-FR"/>
        </w:rPr>
      </w:pPr>
      <w:r>
        <w:rPr>
          <w:lang w:val="fr-FR"/>
        </w:rPr>
        <w:t xml:space="preserve">4. </w:t>
      </w:r>
      <w:r>
        <w:t>联合体各成员单位内部的职责分工如下</w:t>
      </w:r>
      <w:r>
        <w:rPr>
          <w:lang w:val="fr-FR"/>
        </w:rPr>
        <w:t>La répartition des responsabilités entre les membres du consortium est définie comme suit ：</w:t>
      </w:r>
      <w:r>
        <w:rPr>
          <w:u w:val="single"/>
          <w:lang w:val="fr-FR"/>
        </w:rPr>
        <w:t xml:space="preserve">                    </w:t>
      </w:r>
      <w:r>
        <w:rPr>
          <w:lang w:val="fr-FR"/>
        </w:rPr>
        <w:t>(détails de la répartition des tâches)</w:t>
      </w:r>
      <w:r>
        <w:t>。</w:t>
      </w:r>
    </w:p>
    <w:p w14:paraId="16859471">
      <w:pPr>
        <w:topLinePunct/>
        <w:spacing w:line="360" w:lineRule="auto"/>
        <w:ind w:firstLine="420" w:firstLineChars="200"/>
        <w:rPr>
          <w:lang w:val="fr-FR"/>
        </w:rPr>
      </w:pPr>
      <w:r>
        <w:t>5. 本协议书自所有成员单位法定代表人（单位负责人）或其委托代理人签字或盖单位章之日起生效，</w:t>
      </w:r>
      <w:r>
        <w:rPr>
          <w:szCs w:val="21"/>
        </w:rPr>
        <w:t>合同履行完毕后自动失效</w:t>
      </w:r>
      <w:r>
        <w:t>。</w:t>
      </w:r>
      <w:r>
        <w:rPr>
          <w:lang w:val="fr-FR"/>
        </w:rPr>
        <w:t>Le présent accord prend effet à la date de signature ou d’apposition du cachet officiel par le représentant légal (ou le responsable de la société) de chaque membre du consortium ou son mandataire autorisé. Il devient caduc automatiquement à l'achèvement de l’exécution du contrat.</w:t>
      </w:r>
    </w:p>
    <w:p w14:paraId="1D9C7B49">
      <w:pPr>
        <w:topLinePunct/>
        <w:spacing w:line="360" w:lineRule="auto"/>
        <w:ind w:firstLine="420" w:firstLineChars="200"/>
        <w:rPr>
          <w:lang w:val="fr-FR"/>
        </w:rPr>
      </w:pPr>
      <w:r>
        <w:rPr>
          <w:lang w:val="fr-FR"/>
        </w:rPr>
        <w:t xml:space="preserve">6. </w:t>
      </w:r>
      <w:r>
        <w:t>本协议书一式</w:t>
      </w:r>
      <w:r>
        <w:rPr>
          <w:lang w:val="fr-FR"/>
        </w:rPr>
        <w:t>Le présent accord est établi en</w:t>
      </w:r>
      <w:r>
        <w:rPr>
          <w:u w:val="single"/>
          <w:lang w:val="fr-FR"/>
        </w:rPr>
        <w:t xml:space="preserve">        </w:t>
      </w:r>
      <w:r>
        <w:t>份</w:t>
      </w:r>
      <w:r>
        <w:rPr>
          <w:lang w:val="fr-FR"/>
        </w:rPr>
        <w:t>exemplaires，</w:t>
      </w:r>
      <w:r>
        <w:t>联合体成员和采购人各执一份</w:t>
      </w:r>
      <w:r>
        <w:rPr>
          <w:lang w:val="fr-FR"/>
        </w:rPr>
        <w:t>chaque membre du consortium et l'acheteur en conservant un exemplaire</w:t>
      </w:r>
      <w:r>
        <w:t>。</w:t>
      </w:r>
      <w:r>
        <w:rPr>
          <w:lang w:val="fr-FR"/>
        </w:rPr>
        <w:t xml:space="preserve"> </w:t>
      </w:r>
    </w:p>
    <w:p w14:paraId="173256E5">
      <w:pPr>
        <w:topLinePunct/>
        <w:spacing w:line="360" w:lineRule="auto"/>
        <w:ind w:firstLine="420" w:firstLineChars="200"/>
      </w:pPr>
      <w:r>
        <w:t>注：本协议书由法定代表人（单位负责人）签字的，应附法定代表人（单位负责人）身份证明；由委托代理人签字的，应附授权委托书。</w:t>
      </w:r>
    </w:p>
    <w:p w14:paraId="013C4B96">
      <w:pPr>
        <w:topLinePunct/>
        <w:spacing w:line="360" w:lineRule="auto"/>
        <w:ind w:firstLine="420" w:firstLineChars="200"/>
        <w:rPr>
          <w:lang w:val="fr-FR"/>
        </w:rPr>
      </w:pPr>
      <w:r>
        <w:rPr>
          <w:lang w:val="fr-FR"/>
        </w:rPr>
        <w:t>Remarque : Si le présent accord est signé par le représentant légal (ou le responsable de la société), une preuve d’identité du signataire doit être jointe. Si la signature est apposée par un mandataire autorisé, une procuration doit être fournie.</w:t>
      </w:r>
    </w:p>
    <w:p w14:paraId="012C7C68">
      <w:pPr>
        <w:topLinePunct/>
        <w:spacing w:line="360" w:lineRule="auto"/>
        <w:rPr>
          <w:lang w:val="fr-FR"/>
        </w:rPr>
      </w:pPr>
    </w:p>
    <w:p w14:paraId="22AD5D21">
      <w:pPr>
        <w:topLinePunct/>
        <w:spacing w:line="360" w:lineRule="auto"/>
        <w:ind w:firstLine="2408" w:firstLineChars="1147"/>
        <w:rPr>
          <w:szCs w:val="21"/>
          <w:u w:val="single"/>
          <w:lang w:val="fr-FR"/>
        </w:rPr>
      </w:pPr>
      <w:r>
        <w:t>联合体牵头人名称</w:t>
      </w:r>
      <w:r>
        <w:rPr>
          <w:lang w:val="fr-FR"/>
        </w:rPr>
        <w:t>Nom du chef de file du consortium：</w:t>
      </w:r>
      <w:r>
        <w:rPr>
          <w:szCs w:val="21"/>
          <w:u w:val="single"/>
          <w:lang w:val="fr-FR"/>
        </w:rPr>
        <w:tab/>
      </w:r>
      <w:r>
        <w:rPr>
          <w:szCs w:val="21"/>
          <w:u w:val="single"/>
          <w:lang w:val="fr-FR"/>
        </w:rPr>
        <w:t xml:space="preserve"> </w:t>
      </w:r>
      <w:r>
        <w:rPr>
          <w:szCs w:val="21"/>
          <w:u w:val="single"/>
          <w:lang w:val="fr-FR"/>
        </w:rPr>
        <w:tab/>
      </w:r>
      <w:r>
        <w:rPr>
          <w:szCs w:val="21"/>
          <w:u w:val="single"/>
          <w:lang w:val="fr-FR"/>
        </w:rPr>
        <w:tab/>
      </w:r>
      <w:r>
        <w:rPr>
          <w:szCs w:val="21"/>
          <w:u w:val="single"/>
          <w:lang w:val="fr-FR"/>
        </w:rPr>
        <w:t xml:space="preserve">     </w:t>
      </w:r>
    </w:p>
    <w:p w14:paraId="6FDA7491">
      <w:pPr>
        <w:topLinePunct/>
        <w:spacing w:line="360" w:lineRule="auto"/>
        <w:ind w:firstLine="5974" w:firstLineChars="2845"/>
        <w:rPr>
          <w:lang w:val="fr-FR"/>
        </w:rPr>
      </w:pPr>
      <w:r>
        <w:rPr>
          <w:lang w:val="fr-FR"/>
        </w:rPr>
        <w:t>（</w:t>
      </w:r>
      <w:r>
        <w:t>盖单位章</w:t>
      </w:r>
      <w:r>
        <w:rPr>
          <w:lang w:val="fr-FR"/>
        </w:rPr>
        <w:t>Cachet de la société）</w:t>
      </w:r>
    </w:p>
    <w:p w14:paraId="2AB6CB5C">
      <w:pPr>
        <w:topLinePunct/>
        <w:spacing w:line="360" w:lineRule="auto"/>
        <w:ind w:firstLine="2408" w:firstLineChars="1147"/>
        <w:jc w:val="left"/>
        <w:rPr>
          <w:szCs w:val="21"/>
          <w:u w:val="single"/>
          <w:lang w:val="fr-FR"/>
        </w:rPr>
      </w:pPr>
      <w:r>
        <w:t>法定代表人</w:t>
      </w:r>
      <w:r>
        <w:rPr>
          <w:lang w:val="fr-FR"/>
        </w:rPr>
        <w:t>（</w:t>
      </w:r>
      <w:r>
        <w:t>单位负责人</w:t>
      </w:r>
      <w:r>
        <w:rPr>
          <w:lang w:val="fr-FR"/>
        </w:rPr>
        <w:t>）</w:t>
      </w:r>
      <w:r>
        <w:t>或其委托代理人</w:t>
      </w:r>
      <w:r>
        <w:rPr>
          <w:lang w:val="fr-FR"/>
        </w:rPr>
        <w:t>Représentant légal (responsable de la société) ou son mandataire autorisé ：</w:t>
      </w:r>
      <w:r>
        <w:rPr>
          <w:szCs w:val="21"/>
          <w:u w:val="single"/>
          <w:lang w:val="fr-FR"/>
        </w:rPr>
        <w:t xml:space="preserve">                                             </w:t>
      </w:r>
      <w:r>
        <w:rPr>
          <w:szCs w:val="21"/>
          <w:u w:val="single"/>
          <w:lang w:val="fr-FR"/>
        </w:rPr>
        <w:tab/>
      </w:r>
    </w:p>
    <w:p w14:paraId="41A46136">
      <w:pPr>
        <w:topLinePunct/>
        <w:spacing w:line="360" w:lineRule="auto"/>
        <w:ind w:firstLine="7350" w:firstLineChars="3500"/>
        <w:jc w:val="left"/>
        <w:rPr>
          <w:lang w:val="fr-FR"/>
        </w:rPr>
      </w:pPr>
      <w:r>
        <w:rPr>
          <w:lang w:val="fr-FR"/>
        </w:rPr>
        <w:t>（</w:t>
      </w:r>
      <w:r>
        <w:t>签字</w:t>
      </w:r>
      <w:r>
        <w:rPr>
          <w:lang w:val="fr-FR"/>
        </w:rPr>
        <w:t>signature）</w:t>
      </w:r>
    </w:p>
    <w:p w14:paraId="5A3237D2">
      <w:pPr>
        <w:topLinePunct/>
        <w:spacing w:line="360" w:lineRule="auto"/>
        <w:ind w:firstLine="2408" w:firstLineChars="1147"/>
        <w:jc w:val="left"/>
        <w:rPr>
          <w:lang w:val="fr-FR"/>
        </w:rPr>
      </w:pPr>
    </w:p>
    <w:p w14:paraId="53946002">
      <w:pPr>
        <w:topLinePunct/>
        <w:spacing w:line="360" w:lineRule="auto"/>
        <w:ind w:firstLine="2408" w:firstLineChars="1147"/>
        <w:jc w:val="left"/>
        <w:rPr>
          <w:szCs w:val="21"/>
          <w:u w:val="single"/>
          <w:lang w:val="fr-FR"/>
        </w:rPr>
      </w:pPr>
      <w:r>
        <w:t>联合体成员名称</w:t>
      </w:r>
      <w:r>
        <w:rPr>
          <w:lang w:val="fr-FR"/>
        </w:rPr>
        <w:t>Nom des membres du consortium：</w:t>
      </w:r>
      <w:r>
        <w:rPr>
          <w:szCs w:val="21"/>
          <w:u w:val="single"/>
          <w:lang w:val="fr-FR"/>
        </w:rPr>
        <w:t xml:space="preserve">             </w:t>
      </w:r>
      <w:r>
        <w:rPr>
          <w:szCs w:val="21"/>
          <w:u w:val="single"/>
          <w:lang w:val="fr-FR"/>
        </w:rPr>
        <w:tab/>
      </w:r>
    </w:p>
    <w:p w14:paraId="7E341C11">
      <w:pPr>
        <w:topLinePunct/>
        <w:spacing w:line="360" w:lineRule="auto"/>
        <w:ind w:firstLine="6090" w:firstLineChars="2900"/>
        <w:jc w:val="left"/>
        <w:rPr>
          <w:lang w:val="fr-FR"/>
        </w:rPr>
      </w:pPr>
      <w:r>
        <w:rPr>
          <w:lang w:val="fr-FR"/>
        </w:rPr>
        <w:t>（</w:t>
      </w:r>
      <w:r>
        <w:t>盖单位章</w:t>
      </w:r>
      <w:r>
        <w:rPr>
          <w:lang w:val="fr-FR"/>
        </w:rPr>
        <w:t>Cachet de la société）</w:t>
      </w:r>
    </w:p>
    <w:p w14:paraId="3025B53B">
      <w:pPr>
        <w:topLinePunct/>
        <w:spacing w:line="360" w:lineRule="auto"/>
        <w:ind w:firstLine="2408" w:firstLineChars="1147"/>
        <w:jc w:val="left"/>
        <w:rPr>
          <w:szCs w:val="21"/>
          <w:u w:val="single"/>
          <w:lang w:val="fr-FR"/>
        </w:rPr>
      </w:pPr>
      <w:r>
        <w:t>法定代表人</w:t>
      </w:r>
      <w:r>
        <w:rPr>
          <w:lang w:val="fr-FR"/>
        </w:rPr>
        <w:t>（</w:t>
      </w:r>
      <w:r>
        <w:t>单位负责人</w:t>
      </w:r>
      <w:r>
        <w:rPr>
          <w:lang w:val="fr-FR"/>
        </w:rPr>
        <w:t>）</w:t>
      </w:r>
      <w:r>
        <w:t>或其委托代理人</w:t>
      </w:r>
      <w:r>
        <w:rPr>
          <w:lang w:val="fr-FR"/>
        </w:rPr>
        <w:t>：Représentant légal (responsable de la société) ou son mandataire autorisé ：</w:t>
      </w:r>
      <w:r>
        <w:rPr>
          <w:szCs w:val="21"/>
          <w:u w:val="single"/>
          <w:lang w:val="fr-FR"/>
        </w:rPr>
        <w:t xml:space="preserve">                                             </w:t>
      </w:r>
      <w:r>
        <w:rPr>
          <w:szCs w:val="21"/>
          <w:u w:val="single"/>
          <w:lang w:val="fr-FR"/>
        </w:rPr>
        <w:tab/>
      </w:r>
    </w:p>
    <w:p w14:paraId="31A6786B">
      <w:pPr>
        <w:topLinePunct/>
        <w:spacing w:line="360" w:lineRule="auto"/>
        <w:ind w:firstLine="7444" w:firstLineChars="3545"/>
        <w:jc w:val="left"/>
        <w:rPr>
          <w:lang w:val="fr-FR"/>
        </w:rPr>
      </w:pPr>
      <w:r>
        <w:rPr>
          <w:lang w:val="fr-FR"/>
        </w:rPr>
        <w:t>（</w:t>
      </w:r>
      <w:r>
        <w:t>签字</w:t>
      </w:r>
      <w:r>
        <w:rPr>
          <w:lang w:val="fr-FR"/>
        </w:rPr>
        <w:t>signature）</w:t>
      </w:r>
    </w:p>
    <w:p w14:paraId="5A666E7F">
      <w:pPr>
        <w:topLinePunct/>
        <w:spacing w:line="360" w:lineRule="auto"/>
        <w:ind w:firstLine="2408" w:firstLineChars="1147"/>
        <w:jc w:val="left"/>
        <w:rPr>
          <w:szCs w:val="21"/>
          <w:u w:val="single"/>
          <w:lang w:val="fr-FR"/>
        </w:rPr>
      </w:pPr>
      <w:r>
        <w:t>联合体成员名称</w:t>
      </w:r>
      <w:r>
        <w:rPr>
          <w:lang w:val="fr-FR"/>
        </w:rPr>
        <w:t>Nom des membres du consortium：</w:t>
      </w:r>
      <w:r>
        <w:rPr>
          <w:szCs w:val="21"/>
          <w:u w:val="single"/>
          <w:lang w:val="fr-FR"/>
        </w:rPr>
        <w:t xml:space="preserve">             </w:t>
      </w:r>
      <w:r>
        <w:rPr>
          <w:szCs w:val="21"/>
          <w:u w:val="single"/>
          <w:lang w:val="fr-FR"/>
        </w:rPr>
        <w:tab/>
      </w:r>
    </w:p>
    <w:p w14:paraId="26A9DEDF">
      <w:pPr>
        <w:topLinePunct/>
        <w:spacing w:line="360" w:lineRule="auto"/>
        <w:ind w:firstLine="6090" w:firstLineChars="2900"/>
        <w:jc w:val="left"/>
        <w:rPr>
          <w:lang w:val="fr-FR"/>
        </w:rPr>
      </w:pPr>
      <w:r>
        <w:rPr>
          <w:lang w:val="fr-FR"/>
        </w:rPr>
        <w:t>（</w:t>
      </w:r>
      <w:r>
        <w:t>盖单位章</w:t>
      </w:r>
      <w:r>
        <w:rPr>
          <w:lang w:val="fr-FR"/>
        </w:rPr>
        <w:t>Cachet de la société）</w:t>
      </w:r>
    </w:p>
    <w:p w14:paraId="5DD7D798">
      <w:pPr>
        <w:topLinePunct/>
        <w:spacing w:line="360" w:lineRule="auto"/>
        <w:ind w:firstLine="2408" w:firstLineChars="1147"/>
        <w:jc w:val="left"/>
        <w:rPr>
          <w:szCs w:val="21"/>
          <w:u w:val="single"/>
          <w:lang w:val="fr-FR"/>
        </w:rPr>
      </w:pPr>
      <w:r>
        <w:t>法定代表人</w:t>
      </w:r>
      <w:r>
        <w:rPr>
          <w:lang w:val="fr-FR"/>
        </w:rPr>
        <w:t>（</w:t>
      </w:r>
      <w:r>
        <w:t>单位负责人</w:t>
      </w:r>
      <w:r>
        <w:rPr>
          <w:lang w:val="fr-FR"/>
        </w:rPr>
        <w:t>）</w:t>
      </w:r>
      <w:r>
        <w:t>或其委托代理人</w:t>
      </w:r>
      <w:r>
        <w:rPr>
          <w:lang w:val="fr-FR"/>
        </w:rPr>
        <w:t>：Représentant légal (responsable de la société) ou son mandataire autorisé ：</w:t>
      </w:r>
      <w:r>
        <w:rPr>
          <w:szCs w:val="21"/>
          <w:u w:val="single"/>
          <w:lang w:val="fr-FR"/>
        </w:rPr>
        <w:t xml:space="preserve">                                             </w:t>
      </w:r>
      <w:r>
        <w:rPr>
          <w:szCs w:val="21"/>
          <w:u w:val="single"/>
          <w:lang w:val="fr-FR"/>
        </w:rPr>
        <w:tab/>
      </w:r>
    </w:p>
    <w:p w14:paraId="3C76C01B">
      <w:pPr>
        <w:topLinePunct/>
        <w:spacing w:line="360" w:lineRule="auto"/>
        <w:ind w:firstLine="7444" w:firstLineChars="3545"/>
        <w:jc w:val="left"/>
        <w:rPr>
          <w:lang w:val="fr-FR"/>
        </w:rPr>
      </w:pPr>
      <w:r>
        <w:rPr>
          <w:lang w:val="fr-FR"/>
        </w:rPr>
        <w:t>（</w:t>
      </w:r>
      <w:r>
        <w:t>签字</w:t>
      </w:r>
      <w:r>
        <w:rPr>
          <w:lang w:val="fr-FR"/>
        </w:rPr>
        <w:t>signature）</w:t>
      </w:r>
    </w:p>
    <w:p w14:paraId="32B49623">
      <w:pPr>
        <w:topLinePunct/>
        <w:spacing w:line="360" w:lineRule="auto"/>
        <w:ind w:firstLine="2408" w:firstLineChars="1147"/>
        <w:rPr>
          <w:lang w:val="fr-FR"/>
        </w:rPr>
      </w:pPr>
      <w:r>
        <w:rPr>
          <w:lang w:val="fr-FR"/>
        </w:rPr>
        <w:t xml:space="preserve">…… </w:t>
      </w:r>
    </w:p>
    <w:p w14:paraId="54F09DBF">
      <w:pPr>
        <w:pStyle w:val="151"/>
        <w:ind w:left="5250"/>
        <w:rPr>
          <w:rFonts w:eastAsia="宋体"/>
          <w:szCs w:val="21"/>
          <w:lang w:val="fr-FR"/>
        </w:rPr>
        <w:sectPr>
          <w:pgSz w:w="11906" w:h="16838"/>
          <w:pgMar w:top="1417" w:right="1134" w:bottom="1134" w:left="1417" w:header="851" w:footer="850" w:gutter="0"/>
          <w:cols w:space="720" w:num="1"/>
          <w:titlePg/>
          <w:docGrid w:linePitch="312" w:charSpace="0"/>
        </w:sectPr>
      </w:pPr>
      <w:r>
        <w:t>日期</w:t>
      </w:r>
      <w:r>
        <w:rPr>
          <w:lang w:val="fr-FR"/>
        </w:rPr>
        <w:t>DATE:</w:t>
      </w:r>
      <w:bookmarkStart w:id="120" w:name="_Toc8902"/>
      <w:bookmarkStart w:id="121" w:name="_Toc6561431"/>
      <w:bookmarkStart w:id="122" w:name="_Toc492288519"/>
      <w:bookmarkStart w:id="123" w:name="_Toc23321"/>
    </w:p>
    <w:p w14:paraId="2DE08AD8">
      <w:pPr>
        <w:pStyle w:val="3"/>
        <w:spacing w:before="0" w:after="0" w:line="360" w:lineRule="auto"/>
        <w:rPr>
          <w:rFonts w:ascii="Times New Roman" w:hAnsi="Times New Roman"/>
          <w:szCs w:val="21"/>
          <w:lang w:val="fr-FR"/>
        </w:rPr>
      </w:pPr>
      <w:bookmarkStart w:id="124" w:name="_Toc12548"/>
      <w:r>
        <w:rPr>
          <w:rFonts w:ascii="Times New Roman" w:hAnsi="Times New Roman"/>
          <w:szCs w:val="21"/>
        </w:rPr>
        <w:t>四、商务和技术偏差表</w:t>
      </w:r>
      <w:bookmarkEnd w:id="120"/>
      <w:bookmarkEnd w:id="121"/>
      <w:bookmarkEnd w:id="122"/>
      <w:bookmarkEnd w:id="123"/>
      <w:bookmarkEnd w:id="124"/>
    </w:p>
    <w:p w14:paraId="1A3B4DDF">
      <w:pPr>
        <w:jc w:val="center"/>
        <w:rPr>
          <w:b/>
          <w:kern w:val="0"/>
          <w:sz w:val="28"/>
          <w:szCs w:val="21"/>
          <w:lang w:val="fr-FR"/>
        </w:rPr>
      </w:pPr>
      <w:r>
        <w:rPr>
          <w:b/>
          <w:kern w:val="0"/>
          <w:sz w:val="28"/>
          <w:szCs w:val="21"/>
          <w:lang w:val="fr-FR"/>
        </w:rPr>
        <w:t>Tableau des écarts commerciaux et techniques</w:t>
      </w:r>
    </w:p>
    <w:p w14:paraId="70272FD6">
      <w:pPr>
        <w:jc w:val="left"/>
      </w:pPr>
      <w:r>
        <w:t>响应人soumissionnaire：</w:t>
      </w:r>
      <w:r>
        <w:rPr>
          <w:szCs w:val="21"/>
          <w:u w:val="single"/>
        </w:rPr>
        <w:t xml:space="preserve">     </w:t>
      </w:r>
      <w:r>
        <w:rPr>
          <w:rFonts w:hint="eastAsia"/>
          <w:szCs w:val="21"/>
          <w:u w:val="single"/>
        </w:rPr>
        <w:t xml:space="preserve">                    </w:t>
      </w:r>
      <w:r>
        <w:rPr>
          <w:szCs w:val="21"/>
          <w:u w:val="single"/>
        </w:rPr>
        <w:t xml:space="preserve"> </w:t>
      </w:r>
      <w:r>
        <w:rPr>
          <w:szCs w:val="21"/>
          <w:u w:val="single"/>
        </w:rPr>
        <w:tab/>
      </w:r>
      <w:r>
        <w:rPr>
          <w:szCs w:val="21"/>
        </w:rPr>
        <w:t>（盖单位章Cachet de la société）</w:t>
      </w:r>
    </w:p>
    <w:p w14:paraId="2A631E0E"/>
    <w:tbl>
      <w:tblPr>
        <w:tblStyle w:val="31"/>
        <w:tblW w:w="94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041"/>
        <w:gridCol w:w="3092"/>
        <w:gridCol w:w="2762"/>
        <w:gridCol w:w="1453"/>
      </w:tblGrid>
      <w:tr w14:paraId="6277E2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6" w:hRule="exact"/>
          <w:jc w:val="center"/>
        </w:trPr>
        <w:tc>
          <w:tcPr>
            <w:tcW w:w="1130" w:type="dxa"/>
            <w:vAlign w:val="center"/>
          </w:tcPr>
          <w:p w14:paraId="3784B58F">
            <w:pPr>
              <w:widowControl/>
              <w:snapToGrid w:val="0"/>
              <w:jc w:val="center"/>
              <w:rPr>
                <w:b/>
                <w:kern w:val="0"/>
                <w:szCs w:val="21"/>
              </w:rPr>
            </w:pPr>
            <w:r>
              <w:rPr>
                <w:kern w:val="0"/>
                <w:szCs w:val="21"/>
              </w:rPr>
              <w:t>偏差</w:t>
            </w:r>
            <w:r>
              <w:rPr>
                <w:b/>
                <w:kern w:val="0"/>
                <w:sz w:val="28"/>
                <w:szCs w:val="21"/>
              </w:rPr>
              <w:t>Écart</w:t>
            </w:r>
          </w:p>
        </w:tc>
        <w:tc>
          <w:tcPr>
            <w:tcW w:w="1041" w:type="dxa"/>
            <w:vAlign w:val="center"/>
          </w:tcPr>
          <w:p w14:paraId="79360ACF">
            <w:pPr>
              <w:widowControl/>
              <w:snapToGrid w:val="0"/>
              <w:jc w:val="center"/>
              <w:rPr>
                <w:b/>
                <w:kern w:val="0"/>
                <w:szCs w:val="21"/>
              </w:rPr>
            </w:pPr>
            <w:r>
              <w:rPr>
                <w:b/>
                <w:kern w:val="0"/>
                <w:szCs w:val="21"/>
              </w:rPr>
              <w:t>序号</w:t>
            </w:r>
            <w:r>
              <w:rPr>
                <w:rFonts w:hint="eastAsia"/>
                <w:b/>
                <w:kern w:val="0"/>
                <w:szCs w:val="21"/>
              </w:rPr>
              <w:t>N</w:t>
            </w:r>
          </w:p>
        </w:tc>
        <w:tc>
          <w:tcPr>
            <w:tcW w:w="3092" w:type="dxa"/>
            <w:vAlign w:val="center"/>
          </w:tcPr>
          <w:p w14:paraId="29499B91">
            <w:pPr>
              <w:widowControl/>
              <w:snapToGrid w:val="0"/>
              <w:jc w:val="center"/>
              <w:rPr>
                <w:b/>
                <w:kern w:val="0"/>
                <w:szCs w:val="21"/>
              </w:rPr>
            </w:pPr>
            <w:r>
              <w:rPr>
                <w:b/>
                <w:kern w:val="0"/>
                <w:szCs w:val="21"/>
              </w:rPr>
              <w:t>竞争性谈判文件章节及条款号Section et clause de l'appel d'offres</w:t>
            </w:r>
          </w:p>
        </w:tc>
        <w:tc>
          <w:tcPr>
            <w:tcW w:w="2762" w:type="dxa"/>
            <w:vAlign w:val="center"/>
          </w:tcPr>
          <w:p w14:paraId="07E1C09A">
            <w:pPr>
              <w:widowControl/>
              <w:snapToGrid w:val="0"/>
              <w:jc w:val="center"/>
              <w:rPr>
                <w:b/>
                <w:kern w:val="0"/>
                <w:szCs w:val="21"/>
              </w:rPr>
            </w:pPr>
            <w:r>
              <w:rPr>
                <w:b/>
                <w:kern w:val="0"/>
                <w:szCs w:val="21"/>
              </w:rPr>
              <w:t>响应文件章节及条款号Section et numéro de clause du document de réponse</w:t>
            </w:r>
          </w:p>
        </w:tc>
        <w:tc>
          <w:tcPr>
            <w:tcW w:w="1453" w:type="dxa"/>
            <w:vAlign w:val="center"/>
          </w:tcPr>
          <w:p w14:paraId="7AA68CE3">
            <w:pPr>
              <w:widowControl/>
              <w:snapToGrid w:val="0"/>
              <w:jc w:val="center"/>
              <w:rPr>
                <w:b/>
                <w:kern w:val="0"/>
                <w:szCs w:val="21"/>
              </w:rPr>
            </w:pPr>
            <w:r>
              <w:rPr>
                <w:b/>
                <w:kern w:val="0"/>
                <w:szCs w:val="21"/>
              </w:rPr>
              <w:t>偏差说明Description des écarts</w:t>
            </w:r>
          </w:p>
        </w:tc>
      </w:tr>
      <w:tr w14:paraId="6D8899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restart"/>
            <w:vAlign w:val="center"/>
          </w:tcPr>
          <w:p w14:paraId="2C37CEC4">
            <w:pPr>
              <w:widowControl/>
              <w:snapToGrid w:val="0"/>
              <w:jc w:val="center"/>
              <w:rPr>
                <w:kern w:val="0"/>
                <w:szCs w:val="21"/>
              </w:rPr>
            </w:pPr>
            <w:r>
              <w:rPr>
                <w:kern w:val="0"/>
                <w:szCs w:val="21"/>
              </w:rPr>
              <w:t>商务</w:t>
            </w:r>
            <w:r>
              <w:rPr>
                <w:b/>
                <w:kern w:val="0"/>
                <w:sz w:val="28"/>
                <w:szCs w:val="21"/>
              </w:rPr>
              <w:t>commerciaux</w:t>
            </w:r>
          </w:p>
        </w:tc>
        <w:tc>
          <w:tcPr>
            <w:tcW w:w="1041" w:type="dxa"/>
            <w:vAlign w:val="center"/>
          </w:tcPr>
          <w:p w14:paraId="7403FF61">
            <w:pPr>
              <w:widowControl/>
              <w:snapToGrid w:val="0"/>
              <w:jc w:val="center"/>
              <w:rPr>
                <w:kern w:val="0"/>
                <w:szCs w:val="21"/>
              </w:rPr>
            </w:pPr>
            <w:r>
              <w:rPr>
                <w:kern w:val="0"/>
                <w:szCs w:val="21"/>
              </w:rPr>
              <w:t>1</w:t>
            </w:r>
          </w:p>
        </w:tc>
        <w:tc>
          <w:tcPr>
            <w:tcW w:w="3092" w:type="dxa"/>
            <w:vAlign w:val="center"/>
          </w:tcPr>
          <w:p w14:paraId="586925B2">
            <w:pPr>
              <w:widowControl/>
              <w:snapToGrid w:val="0"/>
              <w:jc w:val="center"/>
              <w:rPr>
                <w:kern w:val="0"/>
                <w:szCs w:val="21"/>
              </w:rPr>
            </w:pPr>
          </w:p>
        </w:tc>
        <w:tc>
          <w:tcPr>
            <w:tcW w:w="2762" w:type="dxa"/>
            <w:vAlign w:val="center"/>
          </w:tcPr>
          <w:p w14:paraId="54D80870">
            <w:pPr>
              <w:widowControl/>
              <w:snapToGrid w:val="0"/>
              <w:jc w:val="center"/>
              <w:rPr>
                <w:kern w:val="0"/>
                <w:szCs w:val="21"/>
              </w:rPr>
            </w:pPr>
          </w:p>
        </w:tc>
        <w:tc>
          <w:tcPr>
            <w:tcW w:w="1453" w:type="dxa"/>
            <w:vAlign w:val="center"/>
          </w:tcPr>
          <w:p w14:paraId="7EC8844E">
            <w:pPr>
              <w:widowControl/>
              <w:snapToGrid w:val="0"/>
              <w:jc w:val="center"/>
              <w:rPr>
                <w:kern w:val="0"/>
                <w:szCs w:val="21"/>
              </w:rPr>
            </w:pPr>
          </w:p>
        </w:tc>
      </w:tr>
      <w:tr w14:paraId="5B2210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continue"/>
            <w:vAlign w:val="center"/>
          </w:tcPr>
          <w:p w14:paraId="2C73A705">
            <w:pPr>
              <w:widowControl/>
              <w:snapToGrid w:val="0"/>
              <w:jc w:val="center"/>
              <w:rPr>
                <w:kern w:val="0"/>
                <w:szCs w:val="21"/>
              </w:rPr>
            </w:pPr>
          </w:p>
        </w:tc>
        <w:tc>
          <w:tcPr>
            <w:tcW w:w="1041" w:type="dxa"/>
            <w:vAlign w:val="center"/>
          </w:tcPr>
          <w:p w14:paraId="6BDB475A">
            <w:pPr>
              <w:widowControl/>
              <w:snapToGrid w:val="0"/>
              <w:jc w:val="center"/>
              <w:rPr>
                <w:kern w:val="0"/>
                <w:szCs w:val="21"/>
              </w:rPr>
            </w:pPr>
            <w:r>
              <w:rPr>
                <w:kern w:val="0"/>
                <w:szCs w:val="21"/>
              </w:rPr>
              <w:t>2</w:t>
            </w:r>
          </w:p>
        </w:tc>
        <w:tc>
          <w:tcPr>
            <w:tcW w:w="3092" w:type="dxa"/>
            <w:vAlign w:val="center"/>
          </w:tcPr>
          <w:p w14:paraId="564D2E0C">
            <w:pPr>
              <w:widowControl/>
              <w:snapToGrid w:val="0"/>
              <w:jc w:val="center"/>
              <w:rPr>
                <w:kern w:val="0"/>
                <w:szCs w:val="21"/>
              </w:rPr>
            </w:pPr>
          </w:p>
        </w:tc>
        <w:tc>
          <w:tcPr>
            <w:tcW w:w="2762" w:type="dxa"/>
            <w:vAlign w:val="center"/>
          </w:tcPr>
          <w:p w14:paraId="69EC60FE">
            <w:pPr>
              <w:widowControl/>
              <w:snapToGrid w:val="0"/>
              <w:jc w:val="center"/>
              <w:rPr>
                <w:kern w:val="0"/>
                <w:szCs w:val="21"/>
              </w:rPr>
            </w:pPr>
          </w:p>
        </w:tc>
        <w:tc>
          <w:tcPr>
            <w:tcW w:w="1453" w:type="dxa"/>
            <w:vAlign w:val="center"/>
          </w:tcPr>
          <w:p w14:paraId="2C51D9ED">
            <w:pPr>
              <w:widowControl/>
              <w:snapToGrid w:val="0"/>
              <w:jc w:val="center"/>
              <w:rPr>
                <w:kern w:val="0"/>
                <w:szCs w:val="21"/>
              </w:rPr>
            </w:pPr>
          </w:p>
        </w:tc>
      </w:tr>
      <w:tr w14:paraId="4B703B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continue"/>
            <w:vAlign w:val="center"/>
          </w:tcPr>
          <w:p w14:paraId="44EFED93">
            <w:pPr>
              <w:widowControl/>
              <w:snapToGrid w:val="0"/>
              <w:jc w:val="center"/>
              <w:rPr>
                <w:kern w:val="0"/>
                <w:szCs w:val="21"/>
              </w:rPr>
            </w:pPr>
          </w:p>
        </w:tc>
        <w:tc>
          <w:tcPr>
            <w:tcW w:w="1041" w:type="dxa"/>
            <w:vAlign w:val="center"/>
          </w:tcPr>
          <w:p w14:paraId="4379F0F3">
            <w:pPr>
              <w:widowControl/>
              <w:snapToGrid w:val="0"/>
              <w:jc w:val="center"/>
              <w:rPr>
                <w:kern w:val="0"/>
                <w:szCs w:val="21"/>
              </w:rPr>
            </w:pPr>
            <w:r>
              <w:rPr>
                <w:kern w:val="0"/>
                <w:szCs w:val="21"/>
              </w:rPr>
              <w:t>……</w:t>
            </w:r>
          </w:p>
        </w:tc>
        <w:tc>
          <w:tcPr>
            <w:tcW w:w="3092" w:type="dxa"/>
            <w:vAlign w:val="center"/>
          </w:tcPr>
          <w:p w14:paraId="381D7E3C">
            <w:pPr>
              <w:widowControl/>
              <w:snapToGrid w:val="0"/>
              <w:jc w:val="center"/>
              <w:rPr>
                <w:kern w:val="0"/>
                <w:szCs w:val="21"/>
              </w:rPr>
            </w:pPr>
          </w:p>
        </w:tc>
        <w:tc>
          <w:tcPr>
            <w:tcW w:w="2762" w:type="dxa"/>
            <w:vAlign w:val="center"/>
          </w:tcPr>
          <w:p w14:paraId="5E80831C">
            <w:pPr>
              <w:widowControl/>
              <w:snapToGrid w:val="0"/>
              <w:jc w:val="center"/>
              <w:rPr>
                <w:kern w:val="0"/>
                <w:szCs w:val="21"/>
              </w:rPr>
            </w:pPr>
          </w:p>
        </w:tc>
        <w:tc>
          <w:tcPr>
            <w:tcW w:w="1453" w:type="dxa"/>
            <w:vAlign w:val="center"/>
          </w:tcPr>
          <w:p w14:paraId="0332B5AC">
            <w:pPr>
              <w:widowControl/>
              <w:snapToGrid w:val="0"/>
              <w:jc w:val="center"/>
              <w:rPr>
                <w:kern w:val="0"/>
                <w:szCs w:val="21"/>
              </w:rPr>
            </w:pPr>
          </w:p>
        </w:tc>
      </w:tr>
      <w:tr w14:paraId="2F06F1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restart"/>
            <w:vAlign w:val="center"/>
          </w:tcPr>
          <w:p w14:paraId="2BA9C002">
            <w:pPr>
              <w:widowControl/>
              <w:snapToGrid w:val="0"/>
              <w:jc w:val="center"/>
              <w:rPr>
                <w:kern w:val="0"/>
                <w:szCs w:val="21"/>
              </w:rPr>
            </w:pPr>
            <w:r>
              <w:rPr>
                <w:kern w:val="0"/>
                <w:szCs w:val="21"/>
              </w:rPr>
              <w:t>技术</w:t>
            </w:r>
            <w:r>
              <w:rPr>
                <w:b/>
                <w:kern w:val="0"/>
                <w:sz w:val="28"/>
                <w:szCs w:val="21"/>
              </w:rPr>
              <w:t>techniques</w:t>
            </w:r>
          </w:p>
        </w:tc>
        <w:tc>
          <w:tcPr>
            <w:tcW w:w="1041" w:type="dxa"/>
            <w:vAlign w:val="center"/>
          </w:tcPr>
          <w:p w14:paraId="2A37DC27">
            <w:pPr>
              <w:widowControl/>
              <w:snapToGrid w:val="0"/>
              <w:jc w:val="center"/>
              <w:rPr>
                <w:kern w:val="0"/>
                <w:szCs w:val="21"/>
              </w:rPr>
            </w:pPr>
            <w:r>
              <w:rPr>
                <w:kern w:val="0"/>
                <w:szCs w:val="21"/>
              </w:rPr>
              <w:t>1</w:t>
            </w:r>
          </w:p>
        </w:tc>
        <w:tc>
          <w:tcPr>
            <w:tcW w:w="3092" w:type="dxa"/>
            <w:vAlign w:val="center"/>
          </w:tcPr>
          <w:p w14:paraId="3C058C53">
            <w:pPr>
              <w:widowControl/>
              <w:snapToGrid w:val="0"/>
              <w:jc w:val="center"/>
              <w:rPr>
                <w:kern w:val="0"/>
                <w:szCs w:val="21"/>
              </w:rPr>
            </w:pPr>
          </w:p>
        </w:tc>
        <w:tc>
          <w:tcPr>
            <w:tcW w:w="2762" w:type="dxa"/>
            <w:vAlign w:val="center"/>
          </w:tcPr>
          <w:p w14:paraId="3BE522EB">
            <w:pPr>
              <w:widowControl/>
              <w:snapToGrid w:val="0"/>
              <w:jc w:val="center"/>
              <w:rPr>
                <w:kern w:val="0"/>
                <w:szCs w:val="21"/>
              </w:rPr>
            </w:pPr>
          </w:p>
        </w:tc>
        <w:tc>
          <w:tcPr>
            <w:tcW w:w="1453" w:type="dxa"/>
            <w:vAlign w:val="center"/>
          </w:tcPr>
          <w:p w14:paraId="6079783F">
            <w:pPr>
              <w:widowControl/>
              <w:snapToGrid w:val="0"/>
              <w:jc w:val="center"/>
              <w:rPr>
                <w:kern w:val="0"/>
                <w:szCs w:val="21"/>
              </w:rPr>
            </w:pPr>
          </w:p>
        </w:tc>
      </w:tr>
      <w:tr w14:paraId="01A32B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continue"/>
            <w:vAlign w:val="center"/>
          </w:tcPr>
          <w:p w14:paraId="38769140">
            <w:pPr>
              <w:widowControl/>
              <w:snapToGrid w:val="0"/>
              <w:jc w:val="center"/>
              <w:rPr>
                <w:kern w:val="0"/>
                <w:szCs w:val="21"/>
              </w:rPr>
            </w:pPr>
          </w:p>
        </w:tc>
        <w:tc>
          <w:tcPr>
            <w:tcW w:w="1041" w:type="dxa"/>
            <w:vAlign w:val="center"/>
          </w:tcPr>
          <w:p w14:paraId="37AF06F0">
            <w:pPr>
              <w:widowControl/>
              <w:snapToGrid w:val="0"/>
              <w:jc w:val="center"/>
              <w:rPr>
                <w:kern w:val="0"/>
                <w:szCs w:val="21"/>
              </w:rPr>
            </w:pPr>
            <w:r>
              <w:rPr>
                <w:kern w:val="0"/>
                <w:szCs w:val="21"/>
              </w:rPr>
              <w:t>2</w:t>
            </w:r>
          </w:p>
        </w:tc>
        <w:tc>
          <w:tcPr>
            <w:tcW w:w="3092" w:type="dxa"/>
            <w:vAlign w:val="center"/>
          </w:tcPr>
          <w:p w14:paraId="50A9F1FD">
            <w:pPr>
              <w:widowControl/>
              <w:snapToGrid w:val="0"/>
              <w:jc w:val="center"/>
              <w:rPr>
                <w:kern w:val="0"/>
                <w:szCs w:val="21"/>
              </w:rPr>
            </w:pPr>
          </w:p>
        </w:tc>
        <w:tc>
          <w:tcPr>
            <w:tcW w:w="2762" w:type="dxa"/>
            <w:vAlign w:val="center"/>
          </w:tcPr>
          <w:p w14:paraId="22B557B8">
            <w:pPr>
              <w:widowControl/>
              <w:snapToGrid w:val="0"/>
              <w:jc w:val="center"/>
              <w:rPr>
                <w:kern w:val="0"/>
                <w:szCs w:val="21"/>
              </w:rPr>
            </w:pPr>
          </w:p>
        </w:tc>
        <w:tc>
          <w:tcPr>
            <w:tcW w:w="1453" w:type="dxa"/>
            <w:vAlign w:val="center"/>
          </w:tcPr>
          <w:p w14:paraId="21F2FB66">
            <w:pPr>
              <w:widowControl/>
              <w:snapToGrid w:val="0"/>
              <w:jc w:val="center"/>
              <w:rPr>
                <w:kern w:val="0"/>
                <w:szCs w:val="21"/>
              </w:rPr>
            </w:pPr>
          </w:p>
        </w:tc>
      </w:tr>
      <w:tr w14:paraId="669C47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1" w:hRule="exact"/>
          <w:jc w:val="center"/>
        </w:trPr>
        <w:tc>
          <w:tcPr>
            <w:tcW w:w="1130" w:type="dxa"/>
            <w:vMerge w:val="continue"/>
            <w:vAlign w:val="center"/>
          </w:tcPr>
          <w:p w14:paraId="6BC6F234">
            <w:pPr>
              <w:widowControl/>
              <w:snapToGrid w:val="0"/>
              <w:jc w:val="center"/>
              <w:rPr>
                <w:kern w:val="0"/>
                <w:szCs w:val="21"/>
              </w:rPr>
            </w:pPr>
          </w:p>
        </w:tc>
        <w:tc>
          <w:tcPr>
            <w:tcW w:w="1041" w:type="dxa"/>
            <w:vAlign w:val="center"/>
          </w:tcPr>
          <w:p w14:paraId="4A46B8C4">
            <w:pPr>
              <w:widowControl/>
              <w:snapToGrid w:val="0"/>
              <w:jc w:val="center"/>
              <w:rPr>
                <w:kern w:val="0"/>
                <w:szCs w:val="21"/>
              </w:rPr>
            </w:pPr>
            <w:r>
              <w:rPr>
                <w:kern w:val="0"/>
                <w:szCs w:val="21"/>
              </w:rPr>
              <w:t>……</w:t>
            </w:r>
          </w:p>
        </w:tc>
        <w:tc>
          <w:tcPr>
            <w:tcW w:w="3092" w:type="dxa"/>
            <w:vAlign w:val="center"/>
          </w:tcPr>
          <w:p w14:paraId="162B1098">
            <w:pPr>
              <w:widowControl/>
              <w:snapToGrid w:val="0"/>
              <w:jc w:val="center"/>
              <w:rPr>
                <w:kern w:val="0"/>
                <w:szCs w:val="21"/>
              </w:rPr>
            </w:pPr>
          </w:p>
        </w:tc>
        <w:tc>
          <w:tcPr>
            <w:tcW w:w="2762" w:type="dxa"/>
            <w:vAlign w:val="center"/>
          </w:tcPr>
          <w:p w14:paraId="0D286573">
            <w:pPr>
              <w:widowControl/>
              <w:snapToGrid w:val="0"/>
              <w:jc w:val="center"/>
              <w:rPr>
                <w:kern w:val="0"/>
                <w:szCs w:val="21"/>
              </w:rPr>
            </w:pPr>
          </w:p>
        </w:tc>
        <w:tc>
          <w:tcPr>
            <w:tcW w:w="1453" w:type="dxa"/>
            <w:vAlign w:val="center"/>
          </w:tcPr>
          <w:p w14:paraId="61C8922A">
            <w:pPr>
              <w:widowControl/>
              <w:snapToGrid w:val="0"/>
              <w:jc w:val="center"/>
              <w:rPr>
                <w:kern w:val="0"/>
                <w:szCs w:val="21"/>
              </w:rPr>
            </w:pPr>
          </w:p>
        </w:tc>
      </w:tr>
    </w:tbl>
    <w:p w14:paraId="14739978">
      <w:pPr>
        <w:rPr>
          <w:szCs w:val="21"/>
        </w:rPr>
      </w:pPr>
      <w:r>
        <w:rPr>
          <w:szCs w:val="21"/>
        </w:rPr>
        <w:t>注：1.响应人保证：除商务和技术偏差表列出的偏差外，响应人响应竞争性谈判文件的全部要求；</w:t>
      </w:r>
    </w:p>
    <w:p w14:paraId="31D33EC0">
      <w:pPr>
        <w:ind w:firstLine="420" w:firstLineChars="200"/>
      </w:pPr>
      <w:r>
        <w:t>2.响应人要按所提供的表格填写响应文件和竞争性谈判文件之间的偏差，并将商务和技术偏差分别列出；</w:t>
      </w:r>
    </w:p>
    <w:p w14:paraId="101B2165">
      <w:pPr>
        <w:ind w:firstLine="410"/>
      </w:pPr>
      <w:r>
        <w:t>3.响应人在上表中未提出偏差，视为完全响应</w:t>
      </w:r>
      <w:r>
        <w:rPr>
          <w:szCs w:val="21"/>
        </w:rPr>
        <w:t>竞争性谈判文件</w:t>
      </w:r>
      <w:r>
        <w:t>。</w:t>
      </w:r>
    </w:p>
    <w:p w14:paraId="7BDCEAC4">
      <w:pPr>
        <w:ind w:firstLine="410"/>
        <w:rPr>
          <w:szCs w:val="21"/>
          <w:lang w:val="fr-FR"/>
        </w:rPr>
      </w:pPr>
      <w:r>
        <w:rPr>
          <w:szCs w:val="21"/>
          <w:lang w:val="fr-FR"/>
        </w:rPr>
        <w:t>Note : 1) Le soumissionnaire garantit que, à l'exception des écarts énumérés dans le tableau des écarts commerciaux et techniques, il répondra à toutes les exigences du document de négociation concurrentielle ;</w:t>
      </w:r>
    </w:p>
    <w:p w14:paraId="6527618E">
      <w:pPr>
        <w:ind w:firstLine="410"/>
        <w:rPr>
          <w:szCs w:val="21"/>
          <w:lang w:val="fr-FR"/>
        </w:rPr>
      </w:pPr>
      <w:r>
        <w:rPr>
          <w:szCs w:val="21"/>
          <w:lang w:val="fr-FR"/>
        </w:rPr>
        <w:t>2) Le soumissionnaire doit indiquer les écarts entre le</w:t>
      </w:r>
      <w:r>
        <w:rPr>
          <w:rFonts w:hint="eastAsia"/>
          <w:szCs w:val="21"/>
          <w:lang w:val="fr-FR"/>
        </w:rPr>
        <w:t>s</w:t>
      </w:r>
      <w:r>
        <w:rPr>
          <w:szCs w:val="21"/>
          <w:lang w:val="fr-FR"/>
        </w:rPr>
        <w:t xml:space="preserve"> document</w:t>
      </w:r>
      <w:r>
        <w:rPr>
          <w:rFonts w:hint="eastAsia"/>
          <w:szCs w:val="21"/>
          <w:lang w:val="fr-FR"/>
        </w:rPr>
        <w:t>s</w:t>
      </w:r>
      <w:r>
        <w:rPr>
          <w:szCs w:val="21"/>
          <w:lang w:val="fr-FR"/>
        </w:rPr>
        <w:t xml:space="preserve"> de réponse et le document de négociation concurrentielle conformément au tableau fourni, et énumérer les écarts commerciaux et techniques séparément ;</w:t>
      </w:r>
    </w:p>
    <w:p w14:paraId="32D66445">
      <w:pPr>
        <w:ind w:firstLine="410"/>
        <w:rPr>
          <w:lang w:val="fr-FR"/>
        </w:rPr>
      </w:pPr>
      <w:r>
        <w:rPr>
          <w:szCs w:val="21"/>
          <w:lang w:val="fr-FR"/>
        </w:rPr>
        <w:t>3. les soumissionnaires qui ne proposent pas de divergences dans le tableau ci-dessus sont réputés avoir pleinement répondu au document de négociation concurrentielle.</w:t>
      </w:r>
    </w:p>
    <w:p w14:paraId="65D1832E">
      <w:pPr>
        <w:ind w:firstLine="410"/>
        <w:rPr>
          <w:lang w:val="fr-FR"/>
        </w:rPr>
      </w:pPr>
    </w:p>
    <w:p w14:paraId="31A26CEE">
      <w:pPr>
        <w:ind w:firstLine="410"/>
        <w:rPr>
          <w:lang w:val="fr-FR"/>
        </w:rPr>
      </w:pPr>
    </w:p>
    <w:p w14:paraId="3F39AB8C">
      <w:pPr>
        <w:ind w:firstLine="410"/>
        <w:rPr>
          <w:lang w:val="fr-FR"/>
        </w:rPr>
      </w:pPr>
    </w:p>
    <w:p w14:paraId="2276DF78">
      <w:pPr>
        <w:ind w:firstLine="410"/>
        <w:rPr>
          <w:szCs w:val="21"/>
          <w:lang w:val="fr-FR"/>
        </w:rPr>
      </w:pPr>
    </w:p>
    <w:p w14:paraId="4567CE9E">
      <w:pPr>
        <w:pStyle w:val="3"/>
        <w:spacing w:before="0" w:after="0" w:line="360" w:lineRule="auto"/>
        <w:rPr>
          <w:rFonts w:ascii="Times New Roman" w:hAnsi="Times New Roman"/>
          <w:kern w:val="2"/>
          <w:szCs w:val="21"/>
          <w:lang w:val="fr-FR"/>
        </w:rPr>
      </w:pPr>
      <w:r>
        <w:rPr>
          <w:rFonts w:ascii="Times New Roman" w:hAnsi="Times New Roman" w:eastAsia="黑体"/>
          <w:sz w:val="20"/>
          <w:lang w:val="fr-FR"/>
        </w:rPr>
        <w:br w:type="page"/>
      </w:r>
      <w:bookmarkStart w:id="125" w:name="_Toc6561435"/>
      <w:bookmarkStart w:id="126" w:name="_Toc492288523"/>
      <w:bookmarkStart w:id="127" w:name="_Toc27797"/>
      <w:bookmarkStart w:id="128" w:name="_Toc7213"/>
      <w:bookmarkStart w:id="129" w:name="_Toc492288524"/>
      <w:bookmarkStart w:id="130" w:name="_Toc6561436"/>
      <w:r>
        <w:rPr>
          <w:rFonts w:ascii="Times New Roman" w:hAnsi="Times New Roman"/>
          <w:kern w:val="2"/>
          <w:szCs w:val="21"/>
        </w:rPr>
        <w:t>五、</w:t>
      </w:r>
      <w:bookmarkEnd w:id="125"/>
      <w:bookmarkEnd w:id="126"/>
      <w:r>
        <w:rPr>
          <w:rFonts w:ascii="Times New Roman" w:hAnsi="Times New Roman"/>
          <w:kern w:val="2"/>
          <w:szCs w:val="21"/>
        </w:rPr>
        <w:t>资格审查资料</w:t>
      </w:r>
      <w:bookmarkEnd w:id="127"/>
      <w:bookmarkEnd w:id="128"/>
    </w:p>
    <w:p w14:paraId="3A6E5CF0">
      <w:pPr>
        <w:jc w:val="center"/>
        <w:rPr>
          <w:b/>
          <w:sz w:val="28"/>
          <w:szCs w:val="21"/>
          <w:lang w:val="fr-FR"/>
        </w:rPr>
      </w:pPr>
      <w:r>
        <w:rPr>
          <w:b/>
          <w:sz w:val="28"/>
          <w:szCs w:val="21"/>
          <w:lang w:val="fr-FR"/>
        </w:rPr>
        <w:t>Informations sur l'éligibilité</w:t>
      </w:r>
    </w:p>
    <w:p w14:paraId="36F03F5A">
      <w:pPr>
        <w:spacing w:line="360" w:lineRule="auto"/>
        <w:jc w:val="center"/>
        <w:rPr>
          <w:szCs w:val="21"/>
          <w:lang w:val="fr-FR"/>
        </w:rPr>
      </w:pPr>
      <w:bookmarkStart w:id="131" w:name="_Toc15348"/>
      <w:r>
        <w:rPr>
          <w:szCs w:val="21"/>
          <w:lang w:val="fr-FR"/>
        </w:rPr>
        <w:t>（</w:t>
      </w:r>
      <w:r>
        <w:rPr>
          <w:szCs w:val="21"/>
        </w:rPr>
        <w:t>注</w:t>
      </w:r>
      <w:r>
        <w:rPr>
          <w:szCs w:val="21"/>
          <w:lang w:val="fr-FR"/>
        </w:rPr>
        <w:t>：</w:t>
      </w:r>
      <w:r>
        <w:rPr>
          <w:szCs w:val="21"/>
        </w:rPr>
        <w:t>响应人根据前附表资质要求在此处附相关证明材料</w:t>
      </w:r>
      <w:r>
        <w:rPr>
          <w:szCs w:val="21"/>
          <w:lang w:val="fr-FR"/>
        </w:rPr>
        <w:t>）</w:t>
      </w:r>
    </w:p>
    <w:p w14:paraId="39BB2335">
      <w:pPr>
        <w:spacing w:line="360" w:lineRule="auto"/>
        <w:jc w:val="center"/>
        <w:rPr>
          <w:szCs w:val="21"/>
          <w:lang w:val="fr-FR"/>
        </w:rPr>
      </w:pPr>
      <w:r>
        <w:rPr>
          <w:szCs w:val="21"/>
          <w:lang w:val="fr-FR"/>
        </w:rPr>
        <w:t xml:space="preserve">(Note : Le </w:t>
      </w:r>
      <w:r>
        <w:rPr>
          <w:rFonts w:hint="eastAsia"/>
          <w:szCs w:val="21"/>
          <w:lang w:val="fr-FR"/>
        </w:rPr>
        <w:t xml:space="preserve">soumissionnaire </w:t>
      </w:r>
      <w:r>
        <w:rPr>
          <w:szCs w:val="21"/>
          <w:lang w:val="fr-FR"/>
        </w:rPr>
        <w:t>est tenu de joindre ici les documents justificatifs pertinents conformément aux exigences de qualification figurant dans le tableau précédent.)</w:t>
      </w:r>
    </w:p>
    <w:p w14:paraId="5B4274FB">
      <w:pPr>
        <w:pStyle w:val="30"/>
        <w:adjustRightInd/>
        <w:ind w:firstLine="0" w:firstLineChars="0"/>
        <w:rPr>
          <w:b/>
          <w:bCs/>
          <w:szCs w:val="21"/>
        </w:rPr>
      </w:pPr>
      <w:r>
        <w:rPr>
          <w:b/>
          <w:bCs/>
          <w:sz w:val="21"/>
          <w:szCs w:val="21"/>
        </w:rPr>
        <w:t>【编注：编制采购文件时，将前附表的资质要求逐条复制粘贴在此页</w:t>
      </w:r>
      <w:r>
        <w:rPr>
          <w:b/>
          <w:bCs/>
          <w:szCs w:val="21"/>
        </w:rPr>
        <w:t>】</w:t>
      </w:r>
    </w:p>
    <w:p w14:paraId="1F8E9B06">
      <w:pPr>
        <w:pStyle w:val="30"/>
        <w:adjustRightInd/>
        <w:ind w:firstLine="0" w:firstLineChars="0"/>
        <w:rPr>
          <w:b/>
          <w:bCs/>
          <w:szCs w:val="21"/>
          <w:lang w:val="fr-FR"/>
        </w:rPr>
      </w:pPr>
      <w:r>
        <w:rPr>
          <w:b/>
          <w:bCs/>
          <w:szCs w:val="21"/>
          <w:lang w:val="fr-FR"/>
        </w:rPr>
        <w:t>[Note de rédaction : Lors de l'élaboration du dossier d'achat, copiez et collez ligne par ligne les exigences de qualification de l'Annexe préliminaire des Instructions pour les soumissionnaires sur cette page.]</w:t>
      </w:r>
    </w:p>
    <w:p w14:paraId="3CDE06DA">
      <w:pPr>
        <w:pStyle w:val="30"/>
        <w:numPr>
          <w:ilvl w:val="0"/>
          <w:numId w:val="16"/>
        </w:numPr>
        <w:adjustRightInd/>
        <w:ind w:firstLine="0" w:firstLineChars="0"/>
        <w:rPr>
          <w:sz w:val="21"/>
          <w:szCs w:val="21"/>
        </w:rPr>
      </w:pPr>
      <w:r>
        <w:rPr>
          <w:sz w:val="21"/>
          <w:szCs w:val="21"/>
        </w:rPr>
        <w:t>响应人营业执照</w:t>
      </w:r>
    </w:p>
    <w:p w14:paraId="2CB9B296">
      <w:pPr>
        <w:pStyle w:val="30"/>
        <w:adjustRightInd/>
        <w:ind w:firstLine="0" w:firstLineChars="0"/>
        <w:rPr>
          <w:sz w:val="21"/>
          <w:szCs w:val="21"/>
        </w:rPr>
      </w:pPr>
      <w:r>
        <w:rPr>
          <w:sz w:val="21"/>
          <w:szCs w:val="21"/>
        </w:rPr>
        <w:t>Licence d'exploitation/RCCM du</w:t>
      </w:r>
      <w:r>
        <w:rPr>
          <w:rFonts w:hint="eastAsia"/>
          <w:sz w:val="21"/>
          <w:szCs w:val="21"/>
        </w:rPr>
        <w:t xml:space="preserve"> soumissionnaire </w:t>
      </w:r>
    </w:p>
    <w:p w14:paraId="6B04F2B7">
      <w:pPr>
        <w:pStyle w:val="30"/>
        <w:adjustRightInd/>
        <w:ind w:firstLine="0" w:firstLineChars="0"/>
        <w:rPr>
          <w:sz w:val="21"/>
          <w:szCs w:val="21"/>
        </w:rPr>
      </w:pPr>
    </w:p>
    <w:p w14:paraId="37E04899">
      <w:pPr>
        <w:pStyle w:val="30"/>
        <w:numPr>
          <w:ilvl w:val="0"/>
          <w:numId w:val="16"/>
        </w:numPr>
        <w:adjustRightInd/>
        <w:ind w:firstLine="0" w:firstLineChars="0"/>
        <w:rPr>
          <w:sz w:val="21"/>
          <w:szCs w:val="21"/>
        </w:rPr>
      </w:pPr>
      <w:r>
        <w:rPr>
          <w:sz w:val="21"/>
          <w:szCs w:val="21"/>
        </w:rPr>
        <w:t>……</w:t>
      </w:r>
    </w:p>
    <w:p w14:paraId="324DE1A3">
      <w:pPr>
        <w:pStyle w:val="30"/>
        <w:adjustRightInd/>
        <w:ind w:firstLine="0" w:firstLineChars="0"/>
        <w:rPr>
          <w:sz w:val="21"/>
          <w:szCs w:val="21"/>
        </w:rPr>
      </w:pPr>
    </w:p>
    <w:p w14:paraId="70D5EBB3">
      <w:pPr>
        <w:numPr>
          <w:ilvl w:val="0"/>
          <w:numId w:val="16"/>
        </w:numPr>
        <w:spacing w:line="360" w:lineRule="auto"/>
        <w:rPr>
          <w:szCs w:val="21"/>
        </w:rPr>
      </w:pPr>
      <w:r>
        <w:rPr>
          <w:szCs w:val="21"/>
        </w:rPr>
        <w:t>……</w:t>
      </w:r>
    </w:p>
    <w:p w14:paraId="59C028CA">
      <w:pPr>
        <w:pStyle w:val="151"/>
        <w:ind w:left="5250"/>
        <w:rPr>
          <w:rFonts w:eastAsia="宋体"/>
          <w:szCs w:val="21"/>
        </w:rPr>
      </w:pPr>
    </w:p>
    <w:p w14:paraId="3BE9A37A">
      <w:pPr>
        <w:pStyle w:val="151"/>
        <w:ind w:left="5250"/>
        <w:rPr>
          <w:rFonts w:eastAsia="宋体"/>
          <w:szCs w:val="21"/>
        </w:rPr>
      </w:pPr>
    </w:p>
    <w:p w14:paraId="0D314DD9">
      <w:pPr>
        <w:numPr>
          <w:ilvl w:val="0"/>
          <w:numId w:val="16"/>
        </w:numPr>
        <w:spacing w:line="360" w:lineRule="auto"/>
        <w:rPr>
          <w:szCs w:val="21"/>
        </w:rPr>
      </w:pPr>
      <w:r>
        <w:rPr>
          <w:szCs w:val="21"/>
        </w:rPr>
        <w:t>总负责人简历表</w:t>
      </w:r>
      <w:r>
        <w:rPr>
          <w:rFonts w:hint="eastAsia"/>
          <w:szCs w:val="21"/>
        </w:rPr>
        <w:t xml:space="preserve"> Curriculum vitae du responsable principal</w:t>
      </w:r>
    </w:p>
    <w:tbl>
      <w:tblPr>
        <w:tblStyle w:val="31"/>
        <w:tblW w:w="95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402"/>
        <w:gridCol w:w="775"/>
        <w:gridCol w:w="1076"/>
        <w:gridCol w:w="1196"/>
        <w:gridCol w:w="794"/>
        <w:gridCol w:w="1417"/>
        <w:gridCol w:w="448"/>
        <w:gridCol w:w="2131"/>
      </w:tblGrid>
      <w:tr w14:paraId="2BD7B1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32" w:type="dxa"/>
            <w:vAlign w:val="center"/>
          </w:tcPr>
          <w:p w14:paraId="37843F18">
            <w:pPr>
              <w:adjustRightInd w:val="0"/>
              <w:snapToGrid w:val="0"/>
              <w:jc w:val="center"/>
            </w:pPr>
            <w:r>
              <w:t>姓  名</w:t>
            </w:r>
          </w:p>
          <w:p w14:paraId="67755D93">
            <w:pPr>
              <w:adjustRightInd w:val="0"/>
              <w:snapToGrid w:val="0"/>
              <w:jc w:val="center"/>
            </w:pPr>
            <w:r>
              <w:t>Nom</w:t>
            </w:r>
          </w:p>
        </w:tc>
        <w:tc>
          <w:tcPr>
            <w:tcW w:w="1177" w:type="dxa"/>
            <w:gridSpan w:val="2"/>
            <w:vAlign w:val="center"/>
          </w:tcPr>
          <w:p w14:paraId="1C93B2C9">
            <w:pPr>
              <w:adjustRightInd w:val="0"/>
              <w:snapToGrid w:val="0"/>
              <w:jc w:val="center"/>
            </w:pPr>
          </w:p>
        </w:tc>
        <w:tc>
          <w:tcPr>
            <w:tcW w:w="1076" w:type="dxa"/>
            <w:vAlign w:val="center"/>
          </w:tcPr>
          <w:p w14:paraId="693E8F73">
            <w:pPr>
              <w:adjustRightInd w:val="0"/>
              <w:snapToGrid w:val="0"/>
              <w:jc w:val="center"/>
            </w:pPr>
            <w:r>
              <w:t>年龄</w:t>
            </w:r>
          </w:p>
          <w:p w14:paraId="20122517">
            <w:pPr>
              <w:adjustRightInd w:val="0"/>
              <w:snapToGrid w:val="0"/>
              <w:jc w:val="center"/>
            </w:pPr>
            <w:r>
              <w:t>Age</w:t>
            </w:r>
          </w:p>
        </w:tc>
        <w:tc>
          <w:tcPr>
            <w:tcW w:w="1196" w:type="dxa"/>
            <w:vAlign w:val="center"/>
          </w:tcPr>
          <w:p w14:paraId="7325B5EC">
            <w:pPr>
              <w:adjustRightInd w:val="0"/>
              <w:snapToGrid w:val="0"/>
              <w:jc w:val="center"/>
            </w:pPr>
          </w:p>
        </w:tc>
        <w:tc>
          <w:tcPr>
            <w:tcW w:w="2659" w:type="dxa"/>
            <w:gridSpan w:val="3"/>
            <w:vAlign w:val="center"/>
          </w:tcPr>
          <w:p w14:paraId="08C12562">
            <w:pPr>
              <w:adjustRightInd w:val="0"/>
              <w:snapToGrid w:val="0"/>
              <w:jc w:val="center"/>
            </w:pPr>
            <w:r>
              <w:t>执业资格证书（或上岗证书）名称</w:t>
            </w:r>
          </w:p>
          <w:p w14:paraId="74C3E3CF">
            <w:pPr>
              <w:adjustRightInd w:val="0"/>
              <w:snapToGrid w:val="0"/>
              <w:jc w:val="center"/>
              <w:rPr>
                <w:lang w:val="fr-FR"/>
              </w:rPr>
            </w:pPr>
            <w:r>
              <w:rPr>
                <w:lang w:val="fr-FR"/>
              </w:rPr>
              <w:t>Le nom du certificat de qualification professionnelle (ou certificat d'aptitude)</w:t>
            </w:r>
          </w:p>
        </w:tc>
        <w:tc>
          <w:tcPr>
            <w:tcW w:w="2131" w:type="dxa"/>
            <w:vAlign w:val="center"/>
          </w:tcPr>
          <w:p w14:paraId="1A0779C8">
            <w:pPr>
              <w:adjustRightInd w:val="0"/>
              <w:snapToGrid w:val="0"/>
              <w:jc w:val="center"/>
              <w:rPr>
                <w:lang w:val="fr-FR"/>
              </w:rPr>
            </w:pPr>
          </w:p>
        </w:tc>
      </w:tr>
      <w:tr w14:paraId="30583C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332" w:type="dxa"/>
            <w:vAlign w:val="center"/>
          </w:tcPr>
          <w:p w14:paraId="0CC5CA93">
            <w:pPr>
              <w:adjustRightInd w:val="0"/>
              <w:snapToGrid w:val="0"/>
              <w:jc w:val="center"/>
            </w:pPr>
            <w:r>
              <w:t>职  称</w:t>
            </w:r>
          </w:p>
          <w:p w14:paraId="1AF92A85">
            <w:pPr>
              <w:adjustRightInd w:val="0"/>
              <w:snapToGrid w:val="0"/>
              <w:jc w:val="center"/>
            </w:pPr>
            <w:r>
              <w:t>Titre professionnel</w:t>
            </w:r>
          </w:p>
        </w:tc>
        <w:tc>
          <w:tcPr>
            <w:tcW w:w="1177" w:type="dxa"/>
            <w:gridSpan w:val="2"/>
            <w:vAlign w:val="center"/>
          </w:tcPr>
          <w:p w14:paraId="63E0DDDF">
            <w:pPr>
              <w:adjustRightInd w:val="0"/>
              <w:snapToGrid w:val="0"/>
              <w:jc w:val="center"/>
            </w:pPr>
          </w:p>
        </w:tc>
        <w:tc>
          <w:tcPr>
            <w:tcW w:w="1076" w:type="dxa"/>
            <w:vAlign w:val="center"/>
          </w:tcPr>
          <w:p w14:paraId="44AC9EA2">
            <w:pPr>
              <w:adjustRightInd w:val="0"/>
              <w:snapToGrid w:val="0"/>
              <w:jc w:val="center"/>
            </w:pPr>
            <w:r>
              <w:t>学历</w:t>
            </w:r>
          </w:p>
          <w:p w14:paraId="2D4E98E6">
            <w:pPr>
              <w:adjustRightInd w:val="0"/>
              <w:snapToGrid w:val="0"/>
              <w:jc w:val="center"/>
            </w:pPr>
            <w:r>
              <w:t>Diplôme</w:t>
            </w:r>
          </w:p>
        </w:tc>
        <w:tc>
          <w:tcPr>
            <w:tcW w:w="1196" w:type="dxa"/>
            <w:vAlign w:val="center"/>
          </w:tcPr>
          <w:p w14:paraId="3B4C868C">
            <w:pPr>
              <w:adjustRightInd w:val="0"/>
              <w:snapToGrid w:val="0"/>
              <w:jc w:val="center"/>
            </w:pPr>
          </w:p>
        </w:tc>
        <w:tc>
          <w:tcPr>
            <w:tcW w:w="2659" w:type="dxa"/>
            <w:gridSpan w:val="3"/>
            <w:vAlign w:val="center"/>
          </w:tcPr>
          <w:p w14:paraId="01D27E48">
            <w:pPr>
              <w:adjustRightInd w:val="0"/>
              <w:snapToGrid w:val="0"/>
              <w:jc w:val="center"/>
            </w:pPr>
            <w:r>
              <w:t>拟在本项目任职</w:t>
            </w:r>
          </w:p>
          <w:p w14:paraId="03434655">
            <w:pPr>
              <w:adjustRightInd w:val="0"/>
              <w:snapToGrid w:val="0"/>
              <w:jc w:val="center"/>
            </w:pPr>
            <w:r>
              <w:t>Le poste prévu dans ce projet</w:t>
            </w:r>
          </w:p>
        </w:tc>
        <w:tc>
          <w:tcPr>
            <w:tcW w:w="2131" w:type="dxa"/>
            <w:vAlign w:val="center"/>
          </w:tcPr>
          <w:p w14:paraId="46EDEADF">
            <w:pPr>
              <w:adjustRightInd w:val="0"/>
              <w:snapToGrid w:val="0"/>
              <w:jc w:val="center"/>
            </w:pPr>
          </w:p>
        </w:tc>
      </w:tr>
      <w:tr w14:paraId="47D11C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332" w:type="dxa"/>
            <w:vAlign w:val="center"/>
          </w:tcPr>
          <w:p w14:paraId="4407AF5B">
            <w:pPr>
              <w:adjustRightInd w:val="0"/>
              <w:snapToGrid w:val="0"/>
              <w:jc w:val="center"/>
              <w:rPr>
                <w:lang w:val="fr-FR"/>
              </w:rPr>
            </w:pPr>
            <w:r>
              <w:t>工作年限</w:t>
            </w:r>
          </w:p>
          <w:p w14:paraId="75DF0914">
            <w:pPr>
              <w:adjustRightInd w:val="0"/>
              <w:snapToGrid w:val="0"/>
              <w:jc w:val="center"/>
              <w:rPr>
                <w:lang w:val="fr-FR"/>
              </w:rPr>
            </w:pPr>
            <w:r>
              <w:rPr>
                <w:lang w:val="fr-FR"/>
              </w:rPr>
              <w:t>Années d'expérience professionnelle</w:t>
            </w:r>
          </w:p>
        </w:tc>
        <w:tc>
          <w:tcPr>
            <w:tcW w:w="3449" w:type="dxa"/>
            <w:gridSpan w:val="4"/>
            <w:vAlign w:val="center"/>
          </w:tcPr>
          <w:p w14:paraId="086C2800">
            <w:pPr>
              <w:adjustRightInd w:val="0"/>
              <w:snapToGrid w:val="0"/>
              <w:jc w:val="center"/>
              <w:rPr>
                <w:lang w:val="fr-FR"/>
              </w:rPr>
            </w:pPr>
          </w:p>
        </w:tc>
        <w:tc>
          <w:tcPr>
            <w:tcW w:w="2659" w:type="dxa"/>
            <w:gridSpan w:val="3"/>
            <w:vAlign w:val="center"/>
          </w:tcPr>
          <w:p w14:paraId="3847327C">
            <w:pPr>
              <w:adjustRightInd w:val="0"/>
              <w:snapToGrid w:val="0"/>
              <w:jc w:val="center"/>
            </w:pPr>
            <w:r>
              <w:t>从事服务工作年限</w:t>
            </w:r>
          </w:p>
          <w:p w14:paraId="1E689883">
            <w:pPr>
              <w:adjustRightInd w:val="0"/>
              <w:snapToGrid w:val="0"/>
              <w:jc w:val="center"/>
            </w:pPr>
            <w:r>
              <w:t>Années d'expérience dans le service</w:t>
            </w:r>
          </w:p>
        </w:tc>
        <w:tc>
          <w:tcPr>
            <w:tcW w:w="2131" w:type="dxa"/>
            <w:vAlign w:val="center"/>
          </w:tcPr>
          <w:p w14:paraId="2DAFAEC9">
            <w:pPr>
              <w:adjustRightInd w:val="0"/>
              <w:snapToGrid w:val="0"/>
              <w:jc w:val="center"/>
            </w:pPr>
          </w:p>
        </w:tc>
      </w:tr>
      <w:tr w14:paraId="0AC9A5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332" w:type="dxa"/>
            <w:vAlign w:val="center"/>
          </w:tcPr>
          <w:p w14:paraId="3C44FF05">
            <w:pPr>
              <w:adjustRightInd w:val="0"/>
              <w:snapToGrid w:val="0"/>
              <w:jc w:val="center"/>
            </w:pPr>
            <w:r>
              <w:t>毕业学校</w:t>
            </w:r>
          </w:p>
          <w:p w14:paraId="3DF8402D">
            <w:pPr>
              <w:adjustRightInd w:val="0"/>
              <w:snapToGrid w:val="0"/>
              <w:jc w:val="center"/>
            </w:pPr>
            <w:r>
              <w:t>École de graduation</w:t>
            </w:r>
          </w:p>
        </w:tc>
        <w:tc>
          <w:tcPr>
            <w:tcW w:w="8239" w:type="dxa"/>
            <w:gridSpan w:val="8"/>
            <w:vAlign w:val="center"/>
          </w:tcPr>
          <w:p w14:paraId="77C2E49F">
            <w:pPr>
              <w:adjustRightInd w:val="0"/>
              <w:snapToGrid w:val="0"/>
            </w:pPr>
            <w:r>
              <w:t>Diplômé en</w:t>
            </w:r>
            <w:r>
              <w:rPr>
                <w:rFonts w:hint="eastAsia"/>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t>(an)年毕业于de l'école</w:t>
            </w:r>
            <w:r>
              <w:rPr>
                <w:rFonts w:hint="eastAsia"/>
              </w:rPr>
              <w:t xml:space="preserve"> :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学校, avec une spécialisation en</w:t>
            </w:r>
            <w:r>
              <w:rPr>
                <w:rFonts w:hint="eastAsia"/>
              </w:rPr>
              <w:t xml:space="preserve"> </w:t>
            </w:r>
            <w:r>
              <w:rPr>
                <w:u w:val="single"/>
              </w:rPr>
              <w:t xml:space="preserve">   </w:t>
            </w:r>
            <w:r>
              <w:rPr>
                <w:rFonts w:hint="eastAsia"/>
                <w:u w:val="single"/>
              </w:rPr>
              <w:t xml:space="preserve">                         </w:t>
            </w:r>
            <w:r>
              <w:rPr>
                <w:u w:val="single"/>
              </w:rPr>
              <w:t xml:space="preserve"> </w:t>
            </w:r>
            <w:r>
              <w:t>专业.</w:t>
            </w:r>
          </w:p>
        </w:tc>
      </w:tr>
      <w:tr w14:paraId="78ECF6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571" w:type="dxa"/>
            <w:gridSpan w:val="9"/>
            <w:vAlign w:val="center"/>
          </w:tcPr>
          <w:p w14:paraId="74E46469">
            <w:pPr>
              <w:adjustRightInd w:val="0"/>
              <w:snapToGrid w:val="0"/>
              <w:jc w:val="left"/>
            </w:pPr>
            <w:r>
              <w:t>主要工作经历 Expérience professionnelle principale</w:t>
            </w:r>
          </w:p>
        </w:tc>
      </w:tr>
      <w:tr w14:paraId="4A9148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734" w:type="dxa"/>
            <w:gridSpan w:val="2"/>
            <w:vAlign w:val="center"/>
          </w:tcPr>
          <w:p w14:paraId="35ADC54A">
            <w:pPr>
              <w:adjustRightInd w:val="0"/>
              <w:snapToGrid w:val="0"/>
              <w:jc w:val="center"/>
            </w:pPr>
            <w:r>
              <w:t>时  间</w:t>
            </w:r>
          </w:p>
          <w:p w14:paraId="66767BBA">
            <w:pPr>
              <w:adjustRightInd w:val="0"/>
              <w:snapToGrid w:val="0"/>
              <w:jc w:val="center"/>
            </w:pPr>
            <w:r>
              <w:t>Date</w:t>
            </w:r>
          </w:p>
        </w:tc>
        <w:tc>
          <w:tcPr>
            <w:tcW w:w="3841" w:type="dxa"/>
            <w:gridSpan w:val="4"/>
            <w:vAlign w:val="center"/>
          </w:tcPr>
          <w:p w14:paraId="6A757239">
            <w:pPr>
              <w:adjustRightInd w:val="0"/>
              <w:snapToGrid w:val="0"/>
              <w:jc w:val="center"/>
            </w:pPr>
            <w:r>
              <w:t>参加过的类似项目</w:t>
            </w:r>
          </w:p>
          <w:p w14:paraId="36ABE4E0">
            <w:pPr>
              <w:adjustRightInd w:val="0"/>
              <w:snapToGrid w:val="0"/>
              <w:jc w:val="center"/>
            </w:pPr>
            <w:r>
              <w:t>Les projets similaires auxquels vous avez participé</w:t>
            </w:r>
          </w:p>
        </w:tc>
        <w:tc>
          <w:tcPr>
            <w:tcW w:w="1417" w:type="dxa"/>
            <w:vAlign w:val="center"/>
          </w:tcPr>
          <w:p w14:paraId="7B783BFD">
            <w:pPr>
              <w:adjustRightInd w:val="0"/>
              <w:snapToGrid w:val="0"/>
              <w:jc w:val="center"/>
            </w:pPr>
            <w:r>
              <w:t>担任职务</w:t>
            </w:r>
          </w:p>
          <w:p w14:paraId="4EA25836">
            <w:pPr>
              <w:adjustRightInd w:val="0"/>
              <w:snapToGrid w:val="0"/>
              <w:jc w:val="center"/>
            </w:pPr>
            <w:r>
              <w:t>Poste occupé</w:t>
            </w:r>
          </w:p>
        </w:tc>
        <w:tc>
          <w:tcPr>
            <w:tcW w:w="2579" w:type="dxa"/>
            <w:gridSpan w:val="2"/>
            <w:vAlign w:val="center"/>
          </w:tcPr>
          <w:p w14:paraId="451F00D5">
            <w:pPr>
              <w:adjustRightInd w:val="0"/>
              <w:snapToGrid w:val="0"/>
              <w:jc w:val="center"/>
            </w:pPr>
            <w:r>
              <w:t>委托人及联系电话</w:t>
            </w:r>
          </w:p>
          <w:p w14:paraId="516FD6D3">
            <w:pPr>
              <w:adjustRightInd w:val="0"/>
              <w:snapToGrid w:val="0"/>
              <w:jc w:val="center"/>
            </w:pPr>
            <w:r>
              <w:t>Mandant et numéro de téléphone de contact</w:t>
            </w:r>
          </w:p>
        </w:tc>
      </w:tr>
      <w:tr w14:paraId="0224EE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tcPr>
          <w:p w14:paraId="429BF226">
            <w:pPr>
              <w:adjustRightInd w:val="0"/>
              <w:snapToGrid w:val="0"/>
            </w:pPr>
          </w:p>
        </w:tc>
        <w:tc>
          <w:tcPr>
            <w:tcW w:w="3841" w:type="dxa"/>
            <w:gridSpan w:val="4"/>
          </w:tcPr>
          <w:p w14:paraId="73A57557">
            <w:pPr>
              <w:adjustRightInd w:val="0"/>
              <w:snapToGrid w:val="0"/>
            </w:pPr>
          </w:p>
        </w:tc>
        <w:tc>
          <w:tcPr>
            <w:tcW w:w="1417" w:type="dxa"/>
          </w:tcPr>
          <w:p w14:paraId="2D938D22">
            <w:pPr>
              <w:adjustRightInd w:val="0"/>
              <w:snapToGrid w:val="0"/>
            </w:pPr>
          </w:p>
        </w:tc>
        <w:tc>
          <w:tcPr>
            <w:tcW w:w="2579" w:type="dxa"/>
            <w:gridSpan w:val="2"/>
          </w:tcPr>
          <w:p w14:paraId="109A1504">
            <w:pPr>
              <w:adjustRightInd w:val="0"/>
              <w:snapToGrid w:val="0"/>
            </w:pPr>
          </w:p>
        </w:tc>
      </w:tr>
      <w:tr w14:paraId="78E0DE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tcPr>
          <w:p w14:paraId="5DE833B5">
            <w:pPr>
              <w:adjustRightInd w:val="0"/>
              <w:snapToGrid w:val="0"/>
            </w:pPr>
          </w:p>
        </w:tc>
        <w:tc>
          <w:tcPr>
            <w:tcW w:w="3841" w:type="dxa"/>
            <w:gridSpan w:val="4"/>
          </w:tcPr>
          <w:p w14:paraId="30149F8B">
            <w:pPr>
              <w:adjustRightInd w:val="0"/>
              <w:snapToGrid w:val="0"/>
            </w:pPr>
          </w:p>
        </w:tc>
        <w:tc>
          <w:tcPr>
            <w:tcW w:w="1417" w:type="dxa"/>
          </w:tcPr>
          <w:p w14:paraId="22395A7C">
            <w:pPr>
              <w:adjustRightInd w:val="0"/>
              <w:snapToGrid w:val="0"/>
            </w:pPr>
          </w:p>
        </w:tc>
        <w:tc>
          <w:tcPr>
            <w:tcW w:w="2579" w:type="dxa"/>
            <w:gridSpan w:val="2"/>
          </w:tcPr>
          <w:p w14:paraId="0D51095D">
            <w:pPr>
              <w:adjustRightInd w:val="0"/>
              <w:snapToGrid w:val="0"/>
            </w:pPr>
          </w:p>
        </w:tc>
      </w:tr>
      <w:tr w14:paraId="693F4E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tcPr>
          <w:p w14:paraId="65CE146F">
            <w:pPr>
              <w:adjustRightInd w:val="0"/>
              <w:snapToGrid w:val="0"/>
            </w:pPr>
          </w:p>
        </w:tc>
        <w:tc>
          <w:tcPr>
            <w:tcW w:w="3841" w:type="dxa"/>
            <w:gridSpan w:val="4"/>
          </w:tcPr>
          <w:p w14:paraId="2DF2D871">
            <w:pPr>
              <w:adjustRightInd w:val="0"/>
              <w:snapToGrid w:val="0"/>
            </w:pPr>
          </w:p>
        </w:tc>
        <w:tc>
          <w:tcPr>
            <w:tcW w:w="1417" w:type="dxa"/>
          </w:tcPr>
          <w:p w14:paraId="58663307">
            <w:pPr>
              <w:adjustRightInd w:val="0"/>
              <w:snapToGrid w:val="0"/>
            </w:pPr>
          </w:p>
        </w:tc>
        <w:tc>
          <w:tcPr>
            <w:tcW w:w="2579" w:type="dxa"/>
            <w:gridSpan w:val="2"/>
          </w:tcPr>
          <w:p w14:paraId="63C0746C">
            <w:pPr>
              <w:adjustRightInd w:val="0"/>
              <w:snapToGrid w:val="0"/>
            </w:pPr>
          </w:p>
        </w:tc>
      </w:tr>
      <w:tr w14:paraId="6005E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vAlign w:val="center"/>
          </w:tcPr>
          <w:p w14:paraId="3CA4AA8B">
            <w:pPr>
              <w:adjustRightInd w:val="0"/>
              <w:snapToGrid w:val="0"/>
            </w:pPr>
          </w:p>
        </w:tc>
        <w:tc>
          <w:tcPr>
            <w:tcW w:w="3841" w:type="dxa"/>
            <w:gridSpan w:val="4"/>
            <w:vAlign w:val="center"/>
          </w:tcPr>
          <w:p w14:paraId="142F6194">
            <w:pPr>
              <w:adjustRightInd w:val="0"/>
              <w:snapToGrid w:val="0"/>
            </w:pPr>
          </w:p>
        </w:tc>
        <w:tc>
          <w:tcPr>
            <w:tcW w:w="1417" w:type="dxa"/>
            <w:vAlign w:val="center"/>
          </w:tcPr>
          <w:p w14:paraId="78BF1E63">
            <w:pPr>
              <w:adjustRightInd w:val="0"/>
              <w:snapToGrid w:val="0"/>
            </w:pPr>
          </w:p>
        </w:tc>
        <w:tc>
          <w:tcPr>
            <w:tcW w:w="2579" w:type="dxa"/>
            <w:gridSpan w:val="2"/>
            <w:vAlign w:val="center"/>
          </w:tcPr>
          <w:p w14:paraId="56FDC1F0">
            <w:pPr>
              <w:adjustRightInd w:val="0"/>
              <w:snapToGrid w:val="0"/>
            </w:pPr>
          </w:p>
        </w:tc>
      </w:tr>
      <w:tr w14:paraId="5F1224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vAlign w:val="center"/>
          </w:tcPr>
          <w:p w14:paraId="5D3BE337">
            <w:pPr>
              <w:adjustRightInd w:val="0"/>
              <w:snapToGrid w:val="0"/>
            </w:pPr>
          </w:p>
        </w:tc>
        <w:tc>
          <w:tcPr>
            <w:tcW w:w="3841" w:type="dxa"/>
            <w:gridSpan w:val="4"/>
            <w:vAlign w:val="center"/>
          </w:tcPr>
          <w:p w14:paraId="5D88A00D">
            <w:pPr>
              <w:adjustRightInd w:val="0"/>
              <w:snapToGrid w:val="0"/>
            </w:pPr>
          </w:p>
        </w:tc>
        <w:tc>
          <w:tcPr>
            <w:tcW w:w="1417" w:type="dxa"/>
            <w:vAlign w:val="center"/>
          </w:tcPr>
          <w:p w14:paraId="5D710237">
            <w:pPr>
              <w:adjustRightInd w:val="0"/>
              <w:snapToGrid w:val="0"/>
            </w:pPr>
          </w:p>
        </w:tc>
        <w:tc>
          <w:tcPr>
            <w:tcW w:w="2579" w:type="dxa"/>
            <w:gridSpan w:val="2"/>
            <w:vAlign w:val="center"/>
          </w:tcPr>
          <w:p w14:paraId="536EDC9C">
            <w:pPr>
              <w:adjustRightInd w:val="0"/>
              <w:snapToGrid w:val="0"/>
            </w:pPr>
          </w:p>
        </w:tc>
      </w:tr>
      <w:tr w14:paraId="71E63B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vAlign w:val="center"/>
          </w:tcPr>
          <w:p w14:paraId="5608E503">
            <w:pPr>
              <w:adjustRightInd w:val="0"/>
              <w:snapToGrid w:val="0"/>
            </w:pPr>
          </w:p>
        </w:tc>
        <w:tc>
          <w:tcPr>
            <w:tcW w:w="3841" w:type="dxa"/>
            <w:gridSpan w:val="4"/>
            <w:vAlign w:val="center"/>
          </w:tcPr>
          <w:p w14:paraId="2E4681E7">
            <w:pPr>
              <w:adjustRightInd w:val="0"/>
              <w:snapToGrid w:val="0"/>
            </w:pPr>
          </w:p>
        </w:tc>
        <w:tc>
          <w:tcPr>
            <w:tcW w:w="1417" w:type="dxa"/>
            <w:vAlign w:val="center"/>
          </w:tcPr>
          <w:p w14:paraId="61F23E47">
            <w:pPr>
              <w:adjustRightInd w:val="0"/>
              <w:snapToGrid w:val="0"/>
            </w:pPr>
          </w:p>
        </w:tc>
        <w:tc>
          <w:tcPr>
            <w:tcW w:w="2579" w:type="dxa"/>
            <w:gridSpan w:val="2"/>
            <w:vAlign w:val="center"/>
          </w:tcPr>
          <w:p w14:paraId="254C0EF3">
            <w:pPr>
              <w:adjustRightInd w:val="0"/>
              <w:snapToGrid w:val="0"/>
            </w:pPr>
          </w:p>
        </w:tc>
      </w:tr>
    </w:tbl>
    <w:p w14:paraId="28987690">
      <w:r>
        <w:t>注：响应人应根据响应人须知第1.8项的要求在本表后附相关证明材料。</w:t>
      </w:r>
    </w:p>
    <w:p w14:paraId="7C092C61">
      <w:pPr>
        <w:pStyle w:val="151"/>
        <w:ind w:left="0" w:leftChars="0"/>
        <w:rPr>
          <w:rFonts w:eastAsia="宋体"/>
          <w:szCs w:val="21"/>
          <w:lang w:val="fr-FR"/>
        </w:rPr>
      </w:pPr>
      <w:r>
        <w:rPr>
          <w:rFonts w:eastAsia="宋体"/>
          <w:szCs w:val="21"/>
          <w:lang w:val="fr-FR"/>
        </w:rPr>
        <w:t>Remarque : Le soumissionnaire doit fournir les documents justificatifs pertinents conformément à l'article 1.8 des Instructions aux soumissionnaires, à joindre à ce formulaire.</w:t>
      </w:r>
    </w:p>
    <w:p w14:paraId="06F87CAE">
      <w:pPr>
        <w:pStyle w:val="151"/>
        <w:ind w:left="0" w:leftChars="0"/>
        <w:rPr>
          <w:rFonts w:eastAsia="宋体"/>
          <w:szCs w:val="21"/>
          <w:lang w:val="fr-FR"/>
        </w:rPr>
      </w:pPr>
    </w:p>
    <w:p w14:paraId="05D3C102">
      <w:pPr>
        <w:numPr>
          <w:ilvl w:val="0"/>
          <w:numId w:val="16"/>
        </w:numPr>
        <w:spacing w:line="360" w:lineRule="auto"/>
        <w:rPr>
          <w:szCs w:val="21"/>
          <w:lang w:val="fr-FR"/>
        </w:rPr>
      </w:pPr>
      <w:r>
        <w:rPr>
          <w:szCs w:val="21"/>
        </w:rPr>
        <w:t>响应人提供未被最高人民法院在</w:t>
      </w:r>
      <w:r>
        <w:rPr>
          <w:szCs w:val="21"/>
          <w:lang w:val="fr-FR"/>
        </w:rPr>
        <w:t>“</w:t>
      </w:r>
      <w:r>
        <w:rPr>
          <w:szCs w:val="21"/>
        </w:rPr>
        <w:t>信用中国</w:t>
      </w:r>
      <w:r>
        <w:rPr>
          <w:szCs w:val="21"/>
          <w:lang w:val="fr-FR"/>
        </w:rPr>
        <w:t>”</w:t>
      </w:r>
      <w:r>
        <w:rPr>
          <w:szCs w:val="21"/>
        </w:rPr>
        <w:t>网站</w:t>
      </w:r>
      <w:r>
        <w:rPr>
          <w:szCs w:val="21"/>
          <w:lang w:val="fr-FR"/>
        </w:rPr>
        <w:t>（www.creditchina.gov.cn）</w:t>
      </w:r>
      <w:r>
        <w:rPr>
          <w:szCs w:val="21"/>
        </w:rPr>
        <w:t>列入失信被执行人名单的查询截图等证明材料</w:t>
      </w:r>
      <w:r>
        <w:rPr>
          <w:szCs w:val="21"/>
          <w:lang w:val="fr-FR"/>
        </w:rPr>
        <w:t>Le soumissionnaire doit fournir une capture d'écran de la recherche ainsi que d'autres documents justificatifs prouvant qu'il n'est pas inscrit sur la liste des débiteurs défaillants publiée par la Cour suprême du peuple sur le site « Crédit Chine » (www.creditchina.gov.cn).</w:t>
      </w:r>
    </w:p>
    <w:p w14:paraId="27A01A22">
      <w:pPr>
        <w:pStyle w:val="151"/>
        <w:ind w:left="5250"/>
        <w:rPr>
          <w:rFonts w:eastAsia="宋体"/>
          <w:szCs w:val="21"/>
          <w:lang w:val="fr-FR"/>
        </w:rPr>
      </w:pPr>
    </w:p>
    <w:p w14:paraId="44174ADD">
      <w:pPr>
        <w:numPr>
          <w:ilvl w:val="0"/>
          <w:numId w:val="16"/>
        </w:numPr>
        <w:spacing w:line="360" w:lineRule="auto"/>
        <w:rPr>
          <w:szCs w:val="21"/>
          <w:lang w:val="fr-FR"/>
        </w:rPr>
      </w:pPr>
      <w:r>
        <w:rPr>
          <w:szCs w:val="21"/>
        </w:rPr>
        <w:t>响应人提供近</w:t>
      </w:r>
      <w:r>
        <w:rPr>
          <w:szCs w:val="21"/>
          <w:lang w:val="fr-FR"/>
        </w:rPr>
        <w:t>36</w:t>
      </w:r>
      <w:r>
        <w:rPr>
          <w:szCs w:val="21"/>
        </w:rPr>
        <w:t>个月内不存在骗取中标、严重违约及因自身的责任而使任何合同被解除的情形的承诺或证明材料</w:t>
      </w:r>
      <w:r>
        <w:rPr>
          <w:szCs w:val="21"/>
          <w:lang w:val="fr-FR"/>
        </w:rPr>
        <w:t>Le soumissionnaire s'engage ou certifie qu'il n'y a pas eu d'attribution frauduleuse de l'offre, de rupture grave de contrat ou d'annulation de contrat de sa propre responsabilité au cours des 36 derniers mois.</w:t>
      </w:r>
    </w:p>
    <w:p w14:paraId="4C9FE92F">
      <w:pPr>
        <w:pStyle w:val="151"/>
        <w:ind w:left="0" w:leftChars="0"/>
        <w:rPr>
          <w:rFonts w:eastAsia="宋体"/>
          <w:szCs w:val="21"/>
          <w:lang w:val="fr-FR"/>
        </w:rPr>
      </w:pPr>
    </w:p>
    <w:p w14:paraId="2DC1954E">
      <w:pPr>
        <w:numPr>
          <w:ilvl w:val="0"/>
          <w:numId w:val="16"/>
        </w:numPr>
        <w:spacing w:line="360" w:lineRule="auto"/>
        <w:rPr>
          <w:lang w:val="fr-FR"/>
        </w:rPr>
      </w:pPr>
      <w:r>
        <w:rPr>
          <w:szCs w:val="21"/>
        </w:rPr>
        <w:t>响应人经营状况良好</w:t>
      </w:r>
      <w:r>
        <w:rPr>
          <w:szCs w:val="21"/>
          <w:lang w:val="fr-FR"/>
        </w:rPr>
        <w:t>，</w:t>
      </w:r>
      <w:r>
        <w:rPr>
          <w:szCs w:val="21"/>
        </w:rPr>
        <w:t>提供没有处于被责令停业</w:t>
      </w:r>
      <w:r>
        <w:rPr>
          <w:szCs w:val="21"/>
          <w:lang w:val="fr-FR"/>
        </w:rPr>
        <w:t>，</w:t>
      </w:r>
      <w:r>
        <w:rPr>
          <w:szCs w:val="21"/>
        </w:rPr>
        <w:t>财产被接管、冻结</w:t>
      </w:r>
      <w:r>
        <w:rPr>
          <w:szCs w:val="21"/>
          <w:lang w:val="fr-FR"/>
        </w:rPr>
        <w:t>，</w:t>
      </w:r>
      <w:r>
        <w:rPr>
          <w:szCs w:val="21"/>
        </w:rPr>
        <w:t>破产状态的承诺或证明材料</w:t>
      </w:r>
      <w:r>
        <w:rPr>
          <w:szCs w:val="21"/>
          <w:lang w:val="fr-FR"/>
        </w:rPr>
        <w:t>Le soumissionnaire est en bonne santé commerciale et fournit l'engagement ou le matériel de certification attestant qu'il n'est pas en état de cessation d'activité, de reprise de biens, de gel ou de faillite.</w:t>
      </w:r>
    </w:p>
    <w:p w14:paraId="76899405">
      <w:pPr>
        <w:pStyle w:val="151"/>
        <w:ind w:left="5250"/>
        <w:rPr>
          <w:rFonts w:eastAsia="宋体"/>
          <w:szCs w:val="21"/>
          <w:lang w:val="fr-FR"/>
        </w:rPr>
      </w:pPr>
    </w:p>
    <w:p w14:paraId="170076FC">
      <w:pPr>
        <w:pStyle w:val="151"/>
        <w:ind w:left="5250"/>
        <w:rPr>
          <w:rFonts w:eastAsia="宋体"/>
          <w:szCs w:val="21"/>
          <w:lang w:val="fr-FR"/>
        </w:rPr>
      </w:pPr>
    </w:p>
    <w:p w14:paraId="07E15C12">
      <w:pPr>
        <w:numPr>
          <w:ilvl w:val="0"/>
          <w:numId w:val="16"/>
        </w:numPr>
        <w:spacing w:line="360" w:lineRule="auto"/>
        <w:rPr>
          <w:lang w:val="fr-FR"/>
        </w:rPr>
      </w:pPr>
      <w:r>
        <w:rPr>
          <w:szCs w:val="21"/>
        </w:rPr>
        <w:t>响应人提供近</w:t>
      </w:r>
      <w:r>
        <w:rPr>
          <w:szCs w:val="21"/>
          <w:lang w:val="fr-FR"/>
        </w:rPr>
        <w:t>18</w:t>
      </w:r>
      <w:r>
        <w:rPr>
          <w:szCs w:val="21"/>
        </w:rPr>
        <w:t>个月内不存在较大及以上安全生产责任事故的承诺或证明材料</w:t>
      </w:r>
      <w:r>
        <w:rPr>
          <w:szCs w:val="21"/>
          <w:lang w:val="fr-FR"/>
        </w:rPr>
        <w:t>Le soumissionnaire fourni</w:t>
      </w:r>
      <w:r>
        <w:rPr>
          <w:rFonts w:hint="eastAsia"/>
          <w:szCs w:val="21"/>
          <w:lang w:val="fr-FR"/>
        </w:rPr>
        <w:t>t</w:t>
      </w:r>
      <w:r>
        <w:rPr>
          <w:szCs w:val="21"/>
          <w:lang w:val="fr-FR"/>
        </w:rPr>
        <w:t xml:space="preserve"> des engagements ou des certificats attestant qu'il n'y a pas eu, au cours des 18 derniers mois, d'accidents majeurs ou plus graves liés à la responsabilité en matière de sécurité de la production.</w:t>
      </w:r>
    </w:p>
    <w:p w14:paraId="6B95CCB1">
      <w:pPr>
        <w:pStyle w:val="151"/>
        <w:ind w:left="5250"/>
        <w:rPr>
          <w:szCs w:val="21"/>
          <w:lang w:val="fr-FR"/>
        </w:rPr>
      </w:pPr>
    </w:p>
    <w:p w14:paraId="6CDA9E4E">
      <w:pPr>
        <w:pStyle w:val="151"/>
        <w:ind w:left="5250"/>
        <w:rPr>
          <w:szCs w:val="21"/>
          <w:lang w:val="fr-FR"/>
        </w:rPr>
      </w:pPr>
    </w:p>
    <w:p w14:paraId="19F807DB">
      <w:pPr>
        <w:numPr>
          <w:ilvl w:val="0"/>
          <w:numId w:val="16"/>
        </w:numPr>
        <w:spacing w:line="360" w:lineRule="auto"/>
      </w:pPr>
      <w:r>
        <w:rPr>
          <w:szCs w:val="21"/>
        </w:rPr>
        <w:t>……</w:t>
      </w:r>
    </w:p>
    <w:p w14:paraId="5B52173A">
      <w:pPr>
        <w:pStyle w:val="151"/>
        <w:ind w:left="5250"/>
      </w:pPr>
    </w:p>
    <w:p w14:paraId="7751EE86">
      <w:pPr>
        <w:topLinePunct/>
        <w:spacing w:line="440" w:lineRule="exact"/>
        <w:jc w:val="center"/>
        <w:outlineLvl w:val="1"/>
        <w:rPr>
          <w:b/>
          <w:sz w:val="28"/>
          <w:szCs w:val="21"/>
        </w:rPr>
        <w:sectPr>
          <w:pgSz w:w="11906" w:h="16838"/>
          <w:pgMar w:top="1417" w:right="1134" w:bottom="1134" w:left="1417" w:header="851" w:footer="850" w:gutter="0"/>
          <w:cols w:space="720" w:num="1"/>
          <w:titlePg/>
          <w:docGrid w:linePitch="312" w:charSpace="0"/>
        </w:sectPr>
      </w:pPr>
    </w:p>
    <w:p w14:paraId="1D387E72">
      <w:pPr>
        <w:topLinePunct/>
        <w:spacing w:line="440" w:lineRule="exact"/>
        <w:jc w:val="center"/>
        <w:outlineLvl w:val="1"/>
        <w:rPr>
          <w:b/>
          <w:sz w:val="28"/>
          <w:szCs w:val="21"/>
        </w:rPr>
      </w:pPr>
      <w:r>
        <w:rPr>
          <w:b/>
          <w:sz w:val="28"/>
          <w:szCs w:val="21"/>
        </w:rPr>
        <w:t>六、近年完成的类似项目情况表</w:t>
      </w:r>
      <w:bookmarkEnd w:id="129"/>
      <w:bookmarkEnd w:id="130"/>
      <w:bookmarkEnd w:id="131"/>
    </w:p>
    <w:p w14:paraId="1B57A752">
      <w:pPr>
        <w:topLinePunct/>
        <w:spacing w:line="440" w:lineRule="exact"/>
        <w:jc w:val="center"/>
        <w:outlineLvl w:val="1"/>
        <w:rPr>
          <w:b/>
          <w:sz w:val="28"/>
          <w:szCs w:val="21"/>
          <w:lang w:val="fr-FR"/>
        </w:rPr>
      </w:pPr>
      <w:r>
        <w:rPr>
          <w:b/>
          <w:sz w:val="28"/>
          <w:szCs w:val="21"/>
          <w:lang w:val="fr-FR"/>
        </w:rPr>
        <w:t>tableau des projets similaires réalisés au cours des dernières années</w:t>
      </w:r>
    </w:p>
    <w:tbl>
      <w:tblPr>
        <w:tblStyle w:val="32"/>
        <w:tblW w:w="973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7"/>
        <w:gridCol w:w="1188"/>
        <w:gridCol w:w="1424"/>
        <w:gridCol w:w="1204"/>
        <w:gridCol w:w="1206"/>
        <w:gridCol w:w="1206"/>
        <w:gridCol w:w="1285"/>
        <w:gridCol w:w="1504"/>
      </w:tblGrid>
      <w:tr w14:paraId="58D645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717" w:type="dxa"/>
            <w:vAlign w:val="center"/>
          </w:tcPr>
          <w:p w14:paraId="0CBAA858">
            <w:pPr>
              <w:widowControl/>
              <w:jc w:val="center"/>
              <w:rPr>
                <w:b/>
                <w:bCs/>
              </w:rPr>
            </w:pPr>
            <w:r>
              <w:rPr>
                <w:b/>
                <w:bCs/>
                <w:kern w:val="0"/>
                <w:szCs w:val="21"/>
              </w:rPr>
              <w:t>序号</w:t>
            </w:r>
            <w:r>
              <w:rPr>
                <w:rFonts w:hint="eastAsia"/>
                <w:b/>
                <w:bCs/>
                <w:kern w:val="0"/>
                <w:szCs w:val="21"/>
              </w:rPr>
              <w:t>N</w:t>
            </w:r>
          </w:p>
        </w:tc>
        <w:tc>
          <w:tcPr>
            <w:tcW w:w="1188" w:type="dxa"/>
            <w:vAlign w:val="center"/>
          </w:tcPr>
          <w:p w14:paraId="6FD8EA3E">
            <w:pPr>
              <w:widowControl/>
              <w:jc w:val="center"/>
              <w:rPr>
                <w:b/>
                <w:bCs/>
              </w:rPr>
            </w:pPr>
            <w:r>
              <w:rPr>
                <w:b/>
                <w:bCs/>
                <w:kern w:val="0"/>
                <w:szCs w:val="21"/>
              </w:rPr>
              <w:t>项目名称</w:t>
            </w:r>
            <w:r>
              <w:rPr>
                <w:b/>
                <w:bCs/>
                <w:color w:val="000000"/>
                <w:kern w:val="0"/>
                <w:szCs w:val="21"/>
              </w:rPr>
              <w:t>Nom du proje</w:t>
            </w:r>
            <w:r>
              <w:rPr>
                <w:rFonts w:hint="eastAsia"/>
                <w:b/>
                <w:bCs/>
                <w:color w:val="000000"/>
                <w:kern w:val="0"/>
                <w:szCs w:val="21"/>
              </w:rPr>
              <w:t>t</w:t>
            </w:r>
          </w:p>
        </w:tc>
        <w:tc>
          <w:tcPr>
            <w:tcW w:w="1424" w:type="dxa"/>
            <w:vAlign w:val="center"/>
          </w:tcPr>
          <w:p w14:paraId="6F9F4827">
            <w:pPr>
              <w:widowControl/>
              <w:jc w:val="center"/>
              <w:rPr>
                <w:b/>
                <w:bCs/>
              </w:rPr>
            </w:pPr>
            <w:r>
              <w:rPr>
                <w:b/>
                <w:bCs/>
                <w:kern w:val="0"/>
                <w:szCs w:val="21"/>
              </w:rPr>
              <w:t>项目所在地Localisation du projet</w:t>
            </w:r>
          </w:p>
        </w:tc>
        <w:tc>
          <w:tcPr>
            <w:tcW w:w="1204" w:type="dxa"/>
            <w:vAlign w:val="center"/>
          </w:tcPr>
          <w:p w14:paraId="4C9FF548">
            <w:pPr>
              <w:widowControl/>
              <w:jc w:val="center"/>
              <w:rPr>
                <w:b/>
                <w:bCs/>
                <w:lang w:val="fr-FR"/>
              </w:rPr>
            </w:pPr>
            <w:r>
              <w:rPr>
                <w:b/>
                <w:bCs/>
                <w:kern w:val="0"/>
                <w:szCs w:val="21"/>
              </w:rPr>
              <w:t>合同价格</w:t>
            </w:r>
            <w:r>
              <w:rPr>
                <w:b/>
                <w:bCs/>
                <w:kern w:val="0"/>
                <w:szCs w:val="21"/>
                <w:lang w:val="fr-FR"/>
              </w:rPr>
              <w:t>Prix du contrat</w:t>
            </w:r>
          </w:p>
        </w:tc>
        <w:tc>
          <w:tcPr>
            <w:tcW w:w="1206" w:type="dxa"/>
            <w:vAlign w:val="center"/>
          </w:tcPr>
          <w:p w14:paraId="2F91A166">
            <w:pPr>
              <w:widowControl/>
              <w:jc w:val="center"/>
              <w:rPr>
                <w:b/>
                <w:bCs/>
              </w:rPr>
            </w:pPr>
            <w:r>
              <w:rPr>
                <w:b/>
                <w:bCs/>
                <w:kern w:val="0"/>
                <w:szCs w:val="21"/>
              </w:rPr>
              <w:t>服务期限Durée du service</w:t>
            </w:r>
          </w:p>
        </w:tc>
        <w:tc>
          <w:tcPr>
            <w:tcW w:w="1206" w:type="dxa"/>
            <w:vAlign w:val="center"/>
          </w:tcPr>
          <w:p w14:paraId="00E9A285">
            <w:pPr>
              <w:widowControl/>
              <w:jc w:val="center"/>
              <w:rPr>
                <w:b/>
                <w:bCs/>
              </w:rPr>
            </w:pPr>
            <w:r>
              <w:rPr>
                <w:b/>
                <w:bCs/>
                <w:kern w:val="0"/>
                <w:szCs w:val="21"/>
              </w:rPr>
              <w:t>总负责人Responsable principal</w:t>
            </w:r>
          </w:p>
        </w:tc>
        <w:tc>
          <w:tcPr>
            <w:tcW w:w="1285" w:type="dxa"/>
            <w:vAlign w:val="center"/>
          </w:tcPr>
          <w:p w14:paraId="1E0C8157">
            <w:pPr>
              <w:widowControl/>
              <w:jc w:val="center"/>
              <w:rPr>
                <w:b/>
                <w:bCs/>
                <w:szCs w:val="21"/>
              </w:rPr>
            </w:pPr>
            <w:r>
              <w:rPr>
                <w:b/>
                <w:bCs/>
                <w:kern w:val="0"/>
                <w:szCs w:val="21"/>
              </w:rPr>
              <w:t>项目描述Description du projet</w:t>
            </w:r>
          </w:p>
        </w:tc>
        <w:tc>
          <w:tcPr>
            <w:tcW w:w="1504" w:type="dxa"/>
            <w:vAlign w:val="center"/>
          </w:tcPr>
          <w:p w14:paraId="60CAA2D9">
            <w:pPr>
              <w:widowControl/>
              <w:jc w:val="center"/>
              <w:rPr>
                <w:b/>
                <w:bCs/>
              </w:rPr>
            </w:pPr>
            <w:r>
              <w:rPr>
                <w:b/>
                <w:bCs/>
                <w:kern w:val="0"/>
                <w:szCs w:val="21"/>
              </w:rPr>
              <w:t>备注Remarques</w:t>
            </w:r>
          </w:p>
        </w:tc>
      </w:tr>
      <w:tr w14:paraId="1667A8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717" w:type="dxa"/>
            <w:vAlign w:val="center"/>
          </w:tcPr>
          <w:p w14:paraId="2F3BA9C2">
            <w:pPr>
              <w:jc w:val="center"/>
            </w:pPr>
          </w:p>
        </w:tc>
        <w:tc>
          <w:tcPr>
            <w:tcW w:w="1188" w:type="dxa"/>
            <w:vAlign w:val="center"/>
          </w:tcPr>
          <w:p w14:paraId="1EEC3BE3">
            <w:pPr>
              <w:jc w:val="center"/>
            </w:pPr>
          </w:p>
        </w:tc>
        <w:tc>
          <w:tcPr>
            <w:tcW w:w="1424" w:type="dxa"/>
            <w:vAlign w:val="center"/>
          </w:tcPr>
          <w:p w14:paraId="67C24715">
            <w:pPr>
              <w:jc w:val="center"/>
            </w:pPr>
          </w:p>
        </w:tc>
        <w:tc>
          <w:tcPr>
            <w:tcW w:w="1204" w:type="dxa"/>
            <w:vAlign w:val="center"/>
          </w:tcPr>
          <w:p w14:paraId="232DE5BE">
            <w:pPr>
              <w:jc w:val="center"/>
            </w:pPr>
          </w:p>
        </w:tc>
        <w:tc>
          <w:tcPr>
            <w:tcW w:w="1206" w:type="dxa"/>
            <w:vAlign w:val="center"/>
          </w:tcPr>
          <w:p w14:paraId="32D38031">
            <w:pPr>
              <w:jc w:val="center"/>
            </w:pPr>
          </w:p>
        </w:tc>
        <w:tc>
          <w:tcPr>
            <w:tcW w:w="1206" w:type="dxa"/>
            <w:vAlign w:val="center"/>
          </w:tcPr>
          <w:p w14:paraId="76E9AD4A">
            <w:pPr>
              <w:jc w:val="center"/>
            </w:pPr>
          </w:p>
        </w:tc>
        <w:tc>
          <w:tcPr>
            <w:tcW w:w="1285" w:type="dxa"/>
            <w:vAlign w:val="center"/>
          </w:tcPr>
          <w:p w14:paraId="7DA9F9BF">
            <w:pPr>
              <w:jc w:val="center"/>
            </w:pPr>
          </w:p>
        </w:tc>
        <w:tc>
          <w:tcPr>
            <w:tcW w:w="1504" w:type="dxa"/>
            <w:vAlign w:val="center"/>
          </w:tcPr>
          <w:p w14:paraId="7CDF1CFA">
            <w:pPr>
              <w:jc w:val="center"/>
            </w:pPr>
          </w:p>
        </w:tc>
      </w:tr>
      <w:tr w14:paraId="2A71B7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717" w:type="dxa"/>
            <w:vAlign w:val="center"/>
          </w:tcPr>
          <w:p w14:paraId="21A96622">
            <w:pPr>
              <w:jc w:val="center"/>
            </w:pPr>
          </w:p>
        </w:tc>
        <w:tc>
          <w:tcPr>
            <w:tcW w:w="1188" w:type="dxa"/>
            <w:vAlign w:val="center"/>
          </w:tcPr>
          <w:p w14:paraId="7ABFFB04">
            <w:pPr>
              <w:jc w:val="center"/>
            </w:pPr>
          </w:p>
        </w:tc>
        <w:tc>
          <w:tcPr>
            <w:tcW w:w="1424" w:type="dxa"/>
            <w:vAlign w:val="center"/>
          </w:tcPr>
          <w:p w14:paraId="320DD266">
            <w:pPr>
              <w:jc w:val="center"/>
            </w:pPr>
          </w:p>
        </w:tc>
        <w:tc>
          <w:tcPr>
            <w:tcW w:w="1204" w:type="dxa"/>
            <w:vAlign w:val="center"/>
          </w:tcPr>
          <w:p w14:paraId="574D55F7">
            <w:pPr>
              <w:jc w:val="center"/>
            </w:pPr>
          </w:p>
        </w:tc>
        <w:tc>
          <w:tcPr>
            <w:tcW w:w="1206" w:type="dxa"/>
            <w:vAlign w:val="center"/>
          </w:tcPr>
          <w:p w14:paraId="4CE7C670">
            <w:pPr>
              <w:jc w:val="center"/>
            </w:pPr>
          </w:p>
        </w:tc>
        <w:tc>
          <w:tcPr>
            <w:tcW w:w="1206" w:type="dxa"/>
            <w:vAlign w:val="center"/>
          </w:tcPr>
          <w:p w14:paraId="72B48B21">
            <w:pPr>
              <w:jc w:val="center"/>
            </w:pPr>
          </w:p>
        </w:tc>
        <w:tc>
          <w:tcPr>
            <w:tcW w:w="1285" w:type="dxa"/>
            <w:vAlign w:val="center"/>
          </w:tcPr>
          <w:p w14:paraId="134A6608">
            <w:pPr>
              <w:jc w:val="center"/>
            </w:pPr>
          </w:p>
        </w:tc>
        <w:tc>
          <w:tcPr>
            <w:tcW w:w="1504" w:type="dxa"/>
            <w:vAlign w:val="center"/>
          </w:tcPr>
          <w:p w14:paraId="2838E9E5">
            <w:pPr>
              <w:jc w:val="center"/>
            </w:pPr>
          </w:p>
        </w:tc>
      </w:tr>
      <w:tr w14:paraId="2413E0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717" w:type="dxa"/>
            <w:vAlign w:val="center"/>
          </w:tcPr>
          <w:p w14:paraId="6794DF20">
            <w:pPr>
              <w:jc w:val="center"/>
            </w:pPr>
          </w:p>
        </w:tc>
        <w:tc>
          <w:tcPr>
            <w:tcW w:w="1188" w:type="dxa"/>
            <w:vAlign w:val="center"/>
          </w:tcPr>
          <w:p w14:paraId="5540B520">
            <w:pPr>
              <w:jc w:val="center"/>
            </w:pPr>
          </w:p>
        </w:tc>
        <w:tc>
          <w:tcPr>
            <w:tcW w:w="1424" w:type="dxa"/>
            <w:vAlign w:val="center"/>
          </w:tcPr>
          <w:p w14:paraId="2E71790C">
            <w:pPr>
              <w:jc w:val="center"/>
            </w:pPr>
          </w:p>
        </w:tc>
        <w:tc>
          <w:tcPr>
            <w:tcW w:w="1204" w:type="dxa"/>
            <w:vAlign w:val="center"/>
          </w:tcPr>
          <w:p w14:paraId="523D94D4">
            <w:pPr>
              <w:jc w:val="center"/>
            </w:pPr>
          </w:p>
        </w:tc>
        <w:tc>
          <w:tcPr>
            <w:tcW w:w="1206" w:type="dxa"/>
            <w:vAlign w:val="center"/>
          </w:tcPr>
          <w:p w14:paraId="1F837032">
            <w:pPr>
              <w:jc w:val="center"/>
            </w:pPr>
          </w:p>
        </w:tc>
        <w:tc>
          <w:tcPr>
            <w:tcW w:w="1206" w:type="dxa"/>
            <w:vAlign w:val="center"/>
          </w:tcPr>
          <w:p w14:paraId="1073E637">
            <w:pPr>
              <w:jc w:val="center"/>
            </w:pPr>
          </w:p>
        </w:tc>
        <w:tc>
          <w:tcPr>
            <w:tcW w:w="1285" w:type="dxa"/>
            <w:vAlign w:val="center"/>
          </w:tcPr>
          <w:p w14:paraId="49537A5C">
            <w:pPr>
              <w:jc w:val="center"/>
            </w:pPr>
          </w:p>
        </w:tc>
        <w:tc>
          <w:tcPr>
            <w:tcW w:w="1504" w:type="dxa"/>
            <w:vAlign w:val="center"/>
          </w:tcPr>
          <w:p w14:paraId="228A05F9">
            <w:pPr>
              <w:jc w:val="center"/>
            </w:pPr>
          </w:p>
        </w:tc>
      </w:tr>
      <w:tr w14:paraId="3CEF2A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717" w:type="dxa"/>
            <w:vAlign w:val="center"/>
          </w:tcPr>
          <w:p w14:paraId="298BD319">
            <w:pPr>
              <w:jc w:val="center"/>
            </w:pPr>
          </w:p>
        </w:tc>
        <w:tc>
          <w:tcPr>
            <w:tcW w:w="1188" w:type="dxa"/>
            <w:vAlign w:val="center"/>
          </w:tcPr>
          <w:p w14:paraId="742E3B1F">
            <w:pPr>
              <w:jc w:val="center"/>
            </w:pPr>
          </w:p>
        </w:tc>
        <w:tc>
          <w:tcPr>
            <w:tcW w:w="1424" w:type="dxa"/>
            <w:vAlign w:val="center"/>
          </w:tcPr>
          <w:p w14:paraId="2C9F1AAF">
            <w:pPr>
              <w:jc w:val="center"/>
            </w:pPr>
          </w:p>
        </w:tc>
        <w:tc>
          <w:tcPr>
            <w:tcW w:w="1204" w:type="dxa"/>
            <w:vAlign w:val="center"/>
          </w:tcPr>
          <w:p w14:paraId="6ECF8051">
            <w:pPr>
              <w:jc w:val="center"/>
            </w:pPr>
          </w:p>
        </w:tc>
        <w:tc>
          <w:tcPr>
            <w:tcW w:w="1206" w:type="dxa"/>
            <w:vAlign w:val="center"/>
          </w:tcPr>
          <w:p w14:paraId="297A8DFA">
            <w:pPr>
              <w:jc w:val="center"/>
            </w:pPr>
          </w:p>
        </w:tc>
        <w:tc>
          <w:tcPr>
            <w:tcW w:w="1206" w:type="dxa"/>
            <w:vAlign w:val="center"/>
          </w:tcPr>
          <w:p w14:paraId="5DA56EAF">
            <w:pPr>
              <w:jc w:val="center"/>
            </w:pPr>
          </w:p>
        </w:tc>
        <w:tc>
          <w:tcPr>
            <w:tcW w:w="1285" w:type="dxa"/>
            <w:vAlign w:val="center"/>
          </w:tcPr>
          <w:p w14:paraId="2E9418A0">
            <w:pPr>
              <w:jc w:val="center"/>
            </w:pPr>
          </w:p>
        </w:tc>
        <w:tc>
          <w:tcPr>
            <w:tcW w:w="1504" w:type="dxa"/>
            <w:vAlign w:val="center"/>
          </w:tcPr>
          <w:p w14:paraId="02817EEE">
            <w:pPr>
              <w:jc w:val="center"/>
            </w:pPr>
          </w:p>
        </w:tc>
      </w:tr>
    </w:tbl>
    <w:p w14:paraId="3E4DD3D6">
      <w:r>
        <w:t>注：1. 响应人应根据竞争性谈判文件要求的业绩在本表后附相关证明材料；</w:t>
      </w:r>
    </w:p>
    <w:p w14:paraId="4AC48325">
      <w:pPr>
        <w:ind w:firstLine="420" w:firstLineChars="200"/>
        <w:rPr>
          <w:szCs w:val="21"/>
        </w:rPr>
      </w:pPr>
      <w:r>
        <w:rPr>
          <w:szCs w:val="21"/>
        </w:rPr>
        <w:t>2. 提供业绩数量以满足资格要求的合同复印件数量为准。响应人在递交响应文件时，须同时提交能证明响应人满足业绩资格要求的合同复印件（提供合同封面、签字盖章页和服务范围页）。</w:t>
      </w:r>
    </w:p>
    <w:p w14:paraId="6FE80A70">
      <w:pPr>
        <w:rPr>
          <w:szCs w:val="21"/>
          <w:lang w:val="fr-FR"/>
        </w:rPr>
      </w:pPr>
      <w:r>
        <w:rPr>
          <w:szCs w:val="21"/>
          <w:lang w:val="fr-FR"/>
        </w:rPr>
        <w:t>Remarque :</w:t>
      </w:r>
    </w:p>
    <w:p w14:paraId="33E56F63">
      <w:pPr>
        <w:ind w:firstLine="420" w:firstLineChars="200"/>
        <w:rPr>
          <w:szCs w:val="21"/>
          <w:lang w:val="fr-FR"/>
        </w:rPr>
      </w:pPr>
      <w:r>
        <w:rPr>
          <w:rFonts w:hint="eastAsia"/>
          <w:szCs w:val="21"/>
          <w:lang w:val="fr-FR"/>
        </w:rPr>
        <w:t>1.</w:t>
      </w:r>
      <w:r>
        <w:rPr>
          <w:szCs w:val="21"/>
          <w:lang w:val="fr-FR"/>
        </w:rPr>
        <w:t>Le soumissionnaire doit annexer à ce tableau les documents justificatifs correspondants, conformément aux exigences de performance stipulées dans le document de négociation concurrentielle.</w:t>
      </w:r>
    </w:p>
    <w:p w14:paraId="03EEF6D2">
      <w:pPr>
        <w:ind w:firstLine="420" w:firstLineChars="200"/>
        <w:rPr>
          <w:szCs w:val="21"/>
          <w:lang w:val="fr-FR"/>
        </w:rPr>
      </w:pPr>
      <w:r>
        <w:rPr>
          <w:rFonts w:hint="eastAsia"/>
          <w:szCs w:val="21"/>
          <w:lang w:val="fr-FR"/>
        </w:rPr>
        <w:t>2.</w:t>
      </w:r>
      <w:r>
        <w:rPr>
          <w:szCs w:val="21"/>
          <w:lang w:val="fr-FR"/>
        </w:rPr>
        <w:t>Le nombre de contrats fournis doit être suffisant pour répondre aux exigences de qualification. Lors de la soumission du document de réponse, le soumissionnaire doit fournir des copies des contrats prouvant qu'il satisfait aux critères de performance requis (incluant la couverture du contrat, la page avec les signatures et cachets, ainsi que la page précisant le périmètre des services).</w:t>
      </w:r>
    </w:p>
    <w:p w14:paraId="017F7F34">
      <w:pPr>
        <w:adjustRightInd w:val="0"/>
        <w:snapToGrid w:val="0"/>
        <w:spacing w:line="360" w:lineRule="auto"/>
        <w:jc w:val="left"/>
        <w:rPr>
          <w:b/>
          <w:bCs/>
          <w:szCs w:val="21"/>
          <w:lang w:val="fr-FR"/>
        </w:rPr>
      </w:pPr>
      <w:bookmarkStart w:id="132" w:name="_Toc6561439"/>
      <w:r>
        <w:rPr>
          <w:b/>
          <w:bCs/>
          <w:szCs w:val="21"/>
        </w:rPr>
        <w:t>业绩证明材料</w:t>
      </w:r>
      <w:r>
        <w:rPr>
          <w:b/>
          <w:bCs/>
          <w:lang w:val="fr-FR"/>
        </w:rPr>
        <w:t xml:space="preserve">Documents justificatifs de performance </w:t>
      </w:r>
      <w:r>
        <w:rPr>
          <w:b/>
          <w:bCs/>
          <w:szCs w:val="21"/>
          <w:lang w:val="fr-FR"/>
        </w:rPr>
        <w:t>：</w:t>
      </w:r>
    </w:p>
    <w:p w14:paraId="133FA81D">
      <w:pPr>
        <w:adjustRightInd w:val="0"/>
        <w:snapToGrid w:val="0"/>
        <w:spacing w:line="360" w:lineRule="auto"/>
        <w:jc w:val="left"/>
        <w:rPr>
          <w:b/>
          <w:bCs/>
          <w:szCs w:val="21"/>
          <w:lang w:val="fr-FR"/>
        </w:rPr>
      </w:pPr>
      <w:r>
        <w:rPr>
          <w:b/>
          <w:bCs/>
          <w:szCs w:val="21"/>
        </w:rPr>
        <w:t>【编注</w:t>
      </w:r>
      <w:r>
        <w:rPr>
          <w:b/>
          <w:bCs/>
          <w:szCs w:val="21"/>
          <w:lang w:val="fr-FR"/>
        </w:rPr>
        <w:t>：</w:t>
      </w:r>
      <w:r>
        <w:rPr>
          <w:b/>
          <w:bCs/>
          <w:szCs w:val="21"/>
        </w:rPr>
        <w:t>编制采购文件时</w:t>
      </w:r>
      <w:r>
        <w:rPr>
          <w:b/>
          <w:bCs/>
          <w:szCs w:val="21"/>
          <w:lang w:val="fr-FR"/>
        </w:rPr>
        <w:t>，</w:t>
      </w:r>
      <w:r>
        <w:rPr>
          <w:b/>
          <w:bCs/>
          <w:szCs w:val="21"/>
        </w:rPr>
        <w:t>将前附表的业绩要求复制粘贴在此处】</w:t>
      </w:r>
      <w:r>
        <w:rPr>
          <w:b/>
          <w:bCs/>
          <w:szCs w:val="21"/>
          <w:lang w:val="fr-FR"/>
        </w:rPr>
        <w:t xml:space="preserve"> </w:t>
      </w:r>
      <w:r>
        <w:rPr>
          <w:b/>
          <w:bCs/>
          <w:szCs w:val="21"/>
        </w:rPr>
        <w:t>示例</w:t>
      </w:r>
      <w:r>
        <w:rPr>
          <w:b/>
          <w:bCs/>
          <w:szCs w:val="21"/>
          <w:lang w:val="fr-FR"/>
        </w:rPr>
        <w:t>：</w:t>
      </w:r>
    </w:p>
    <w:p w14:paraId="0C211930">
      <w:pPr>
        <w:adjustRightInd w:val="0"/>
        <w:snapToGrid w:val="0"/>
        <w:spacing w:line="360" w:lineRule="auto"/>
        <w:jc w:val="left"/>
        <w:rPr>
          <w:b/>
          <w:bCs/>
          <w:szCs w:val="21"/>
          <w:lang w:val="fr-FR"/>
        </w:rPr>
      </w:pPr>
      <w:r>
        <w:rPr>
          <w:b/>
          <w:bCs/>
          <w:lang w:val="fr-FR"/>
        </w:rPr>
        <w:t>[Note de rédaction : Lors de l'élaboration du dossier d'achat, copiez et collez ici les exigences de performance de l'Annexe préliminaire.]</w:t>
      </w:r>
      <w:r>
        <w:rPr>
          <w:rFonts w:hint="eastAsia"/>
          <w:b/>
          <w:bCs/>
          <w:lang w:val="fr-FR"/>
        </w:rPr>
        <w:t xml:space="preserve">  </w:t>
      </w:r>
      <w:r>
        <w:rPr>
          <w:b/>
          <w:bCs/>
          <w:lang w:val="fr-FR"/>
        </w:rPr>
        <w:t>Exemple</w:t>
      </w:r>
      <w:r>
        <w:rPr>
          <w:rFonts w:hint="eastAsia"/>
          <w:b/>
          <w:bCs/>
          <w:lang w:val="fr-FR"/>
        </w:rPr>
        <w:t xml:space="preserve"> : </w:t>
      </w:r>
    </w:p>
    <w:p w14:paraId="6CCFEB56">
      <w:pPr>
        <w:adjustRightInd w:val="0"/>
        <w:snapToGrid w:val="0"/>
        <w:spacing w:line="360" w:lineRule="auto"/>
        <w:jc w:val="left"/>
        <w:rPr>
          <w:lang w:val="fr-FR"/>
        </w:rPr>
      </w:pPr>
      <w:r>
        <w:rPr>
          <w:rFonts w:hint="eastAsia"/>
          <w:lang w:val="fr-FR"/>
        </w:rPr>
        <w:t>E</w:t>
      </w:r>
      <w:r>
        <w:rPr>
          <w:lang w:val="fr-FR"/>
        </w:rPr>
        <w:t>ntre</w:t>
      </w:r>
      <w:r>
        <w:rPr>
          <w:rFonts w:hint="eastAsia"/>
          <w:u w:val="single"/>
          <w:lang w:val="fr-FR"/>
        </w:rPr>
        <w:t xml:space="preserve">          </w:t>
      </w:r>
      <w:r>
        <w:rPr>
          <w:u w:val="single"/>
          <w:lang w:val="fr-FR"/>
        </w:rPr>
        <w:t xml:space="preserve"> </w:t>
      </w:r>
      <w:r>
        <w:rPr>
          <w:lang w:val="fr-FR"/>
        </w:rPr>
        <w:t xml:space="preserve">(date) </w:t>
      </w:r>
      <w:r>
        <w:rPr>
          <w:rFonts w:hint="eastAsia"/>
          <w:lang w:val="fr-FR"/>
        </w:rPr>
        <w:t>~</w:t>
      </w:r>
      <w:r>
        <w:rPr>
          <w:lang w:val="fr-FR"/>
        </w:rPr>
        <w:t xml:space="preserve"> </w:t>
      </w:r>
      <w:r>
        <w:rPr>
          <w:rFonts w:hint="eastAsia"/>
          <w:u w:val="single"/>
          <w:lang w:val="fr-FR"/>
        </w:rPr>
        <w:t xml:space="preserve">          </w:t>
      </w:r>
      <w:r>
        <w:rPr>
          <w:u w:val="single"/>
          <w:lang w:val="fr-FR"/>
        </w:rPr>
        <w:t xml:space="preserve"> </w:t>
      </w:r>
      <w:r>
        <w:rPr>
          <w:lang w:val="fr-FR"/>
        </w:rPr>
        <w:t>(date)</w:t>
      </w:r>
      <w:r>
        <w:rPr>
          <w:rFonts w:hint="eastAsia"/>
          <w:lang w:val="fr-FR"/>
        </w:rPr>
        <w:t xml:space="preserve"> </w:t>
      </w:r>
      <w:r>
        <w:rPr>
          <w:szCs w:val="21"/>
        </w:rPr>
        <w:t>响应人</w:t>
      </w:r>
      <w:r>
        <w:t>完成</w:t>
      </w:r>
      <w:r>
        <w:rPr>
          <w:lang w:val="fr-FR"/>
        </w:rPr>
        <w:t>/</w:t>
      </w:r>
      <w:r>
        <w:t>具有</w:t>
      </w:r>
      <w:r>
        <w:rPr>
          <w:szCs w:val="21"/>
        </w:rPr>
        <w:t>不少于</w:t>
      </w:r>
      <w:r>
        <w:rPr>
          <w:lang w:val="fr-FR"/>
        </w:rPr>
        <w:t>Le soumissionnaire doit avoir réalisé au moins</w:t>
      </w:r>
      <w:r>
        <w:rPr>
          <w:rFonts w:hint="eastAsia"/>
          <w:szCs w:val="21"/>
          <w:u w:val="single"/>
          <w:lang w:val="fr-FR"/>
        </w:rPr>
        <w:t xml:space="preserve">        </w:t>
      </w:r>
      <w:r>
        <w:rPr>
          <w:szCs w:val="21"/>
        </w:rPr>
        <w:t>个</w:t>
      </w:r>
      <w:r>
        <w:rPr>
          <w:lang w:val="fr-FR"/>
        </w:rPr>
        <w:t>prestations de</w:t>
      </w:r>
      <w:r>
        <w:rPr>
          <w:rFonts w:hint="eastAsia"/>
          <w:u w:val="single"/>
          <w:lang w:val="fr-FR"/>
        </w:rPr>
        <w:t xml:space="preserve">                     </w:t>
      </w:r>
      <w:r>
        <w:rPr>
          <w:szCs w:val="21"/>
          <w:u w:val="single"/>
          <w:lang w:val="fr-FR"/>
        </w:rPr>
        <w:t>（</w:t>
      </w:r>
      <w:r>
        <w:rPr>
          <w:szCs w:val="21"/>
          <w:u w:val="single"/>
        </w:rPr>
        <w:t>服务名称</w:t>
      </w:r>
      <w:r>
        <w:rPr>
          <w:u w:val="single"/>
          <w:lang w:val="fr-FR"/>
        </w:rPr>
        <w:t>nom du service</w:t>
      </w:r>
      <w:r>
        <w:rPr>
          <w:szCs w:val="21"/>
          <w:u w:val="single"/>
          <w:lang w:val="fr-FR"/>
        </w:rPr>
        <w:t>）</w:t>
      </w:r>
      <w:r>
        <w:t>相同或类似服务业绩</w:t>
      </w:r>
      <w:r>
        <w:rPr>
          <w:lang w:val="fr-FR"/>
        </w:rPr>
        <w:t>similaires ou équivalentes，（</w:t>
      </w:r>
      <w:r>
        <w:t>提供符合本采购要求的业绩合同扫描件</w:t>
      </w:r>
      <w:r>
        <w:rPr>
          <w:lang w:val="fr-FR"/>
        </w:rPr>
        <w:t>，</w:t>
      </w:r>
      <w:r>
        <w:t>包括合同封面、合同范围页、签字页等</w:t>
      </w:r>
      <w:r>
        <w:rPr>
          <w:lang w:val="fr-FR"/>
        </w:rPr>
        <w:t>incluant la couverture du contrat, la page précisant le périmètre des services et la page avec les signatures）</w:t>
      </w:r>
      <w:r>
        <w:t>。</w:t>
      </w:r>
    </w:p>
    <w:p w14:paraId="7F8440D4">
      <w:pPr>
        <w:adjustRightInd w:val="0"/>
        <w:snapToGrid w:val="0"/>
        <w:spacing w:line="360" w:lineRule="auto"/>
        <w:jc w:val="left"/>
        <w:rPr>
          <w:lang w:val="fr-FR"/>
        </w:rPr>
      </w:pPr>
    </w:p>
    <w:p w14:paraId="0FB813E8">
      <w:pPr>
        <w:pStyle w:val="151"/>
        <w:spacing w:line="360" w:lineRule="auto"/>
        <w:ind w:left="0" w:leftChars="0"/>
        <w:rPr>
          <w:rFonts w:eastAsia="宋体"/>
          <w:b/>
          <w:sz w:val="28"/>
          <w:szCs w:val="21"/>
          <w:lang w:val="fr-FR"/>
        </w:rPr>
        <w:sectPr>
          <w:pgSz w:w="11906" w:h="16838"/>
          <w:pgMar w:top="1417" w:right="1134" w:bottom="1134" w:left="1417" w:header="851" w:footer="850" w:gutter="0"/>
          <w:cols w:space="720" w:num="1"/>
          <w:titlePg/>
          <w:docGrid w:linePitch="312" w:charSpace="0"/>
        </w:sectPr>
      </w:pPr>
    </w:p>
    <w:bookmarkEnd w:id="132"/>
    <w:p w14:paraId="23E06DBF">
      <w:pPr>
        <w:pStyle w:val="3"/>
        <w:spacing w:before="0" w:after="0" w:line="360" w:lineRule="auto"/>
        <w:rPr>
          <w:rFonts w:ascii="Times New Roman" w:hAnsi="Times New Roman"/>
          <w:kern w:val="2"/>
          <w:szCs w:val="21"/>
          <w:lang w:val="fr-FR"/>
        </w:rPr>
      </w:pPr>
      <w:bookmarkStart w:id="133" w:name="_Toc28085"/>
      <w:bookmarkStart w:id="134" w:name="_Toc9871"/>
      <w:r>
        <w:rPr>
          <w:rFonts w:ascii="Times New Roman" w:hAnsi="Times New Roman"/>
          <w:kern w:val="2"/>
          <w:szCs w:val="21"/>
        </w:rPr>
        <w:t>七、服务大纲</w:t>
      </w:r>
      <w:bookmarkEnd w:id="133"/>
      <w:bookmarkEnd w:id="134"/>
    </w:p>
    <w:p w14:paraId="73DEF048">
      <w:pPr>
        <w:pStyle w:val="3"/>
        <w:spacing w:before="0" w:after="0" w:line="360" w:lineRule="auto"/>
        <w:rPr>
          <w:rFonts w:ascii="Times New Roman" w:hAnsi="Times New Roman"/>
          <w:sz w:val="21"/>
          <w:szCs w:val="21"/>
          <w:lang w:val="fr-FR"/>
        </w:rPr>
      </w:pPr>
      <w:r>
        <w:rPr>
          <w:rFonts w:ascii="Times New Roman" w:hAnsi="Times New Roman"/>
          <w:kern w:val="2"/>
          <w:szCs w:val="21"/>
          <w:lang w:val="fr-FR"/>
        </w:rPr>
        <w:t>aperçu des services</w:t>
      </w:r>
    </w:p>
    <w:p w14:paraId="4AB4E754">
      <w:pPr>
        <w:spacing w:line="360" w:lineRule="auto"/>
        <w:rPr>
          <w:b/>
          <w:szCs w:val="21"/>
          <w:lang w:val="fr-FR"/>
        </w:rPr>
      </w:pPr>
      <w:r>
        <w:rPr>
          <w:b/>
          <w:bCs/>
          <w:szCs w:val="21"/>
        </w:rPr>
        <w:t>【编注</w:t>
      </w:r>
      <w:r>
        <w:rPr>
          <w:b/>
          <w:bCs/>
          <w:szCs w:val="21"/>
          <w:lang w:val="fr-FR"/>
        </w:rPr>
        <w:t>：</w:t>
      </w:r>
      <w:r>
        <w:rPr>
          <w:b/>
          <w:szCs w:val="21"/>
        </w:rPr>
        <w:t>编制人根据需要响应人</w:t>
      </w:r>
      <w:r>
        <w:rPr>
          <w:b/>
          <w:bCs/>
          <w:szCs w:val="21"/>
        </w:rPr>
        <w:t>提供的服务内容</w:t>
      </w:r>
      <w:r>
        <w:rPr>
          <w:b/>
          <w:szCs w:val="21"/>
        </w:rPr>
        <w:t>对以下内容进行调整】</w:t>
      </w:r>
    </w:p>
    <w:p w14:paraId="191B4E05">
      <w:pPr>
        <w:spacing w:line="360" w:lineRule="auto"/>
        <w:rPr>
          <w:b/>
          <w:szCs w:val="21"/>
          <w:lang w:val="fr-FR"/>
        </w:rPr>
      </w:pPr>
      <w:r>
        <w:rPr>
          <w:b/>
          <w:szCs w:val="21"/>
          <w:lang w:val="fr-FR"/>
        </w:rPr>
        <w:t>[Note de l'éditeur : le préparateur ajuste ce qui suit en fonction des services à fournir par le soumissionnaire ].</w:t>
      </w:r>
    </w:p>
    <w:p w14:paraId="478CDAC0">
      <w:pPr>
        <w:adjustRightInd w:val="0"/>
        <w:snapToGrid w:val="0"/>
        <w:spacing w:line="360" w:lineRule="auto"/>
        <w:rPr>
          <w:szCs w:val="21"/>
        </w:rPr>
      </w:pPr>
      <w:r>
        <w:rPr>
          <w:szCs w:val="21"/>
        </w:rPr>
        <w:t>一、服务项目概况；</w:t>
      </w:r>
    </w:p>
    <w:p w14:paraId="01B0D5CA">
      <w:pPr>
        <w:adjustRightInd w:val="0"/>
        <w:snapToGrid w:val="0"/>
        <w:spacing w:line="360" w:lineRule="auto"/>
        <w:rPr>
          <w:szCs w:val="21"/>
        </w:rPr>
      </w:pPr>
      <w:r>
        <w:rPr>
          <w:szCs w:val="21"/>
        </w:rPr>
        <w:t>二、服务范围、服务内容；</w:t>
      </w:r>
    </w:p>
    <w:p w14:paraId="78065848">
      <w:pPr>
        <w:adjustRightInd w:val="0"/>
        <w:snapToGrid w:val="0"/>
        <w:spacing w:line="360" w:lineRule="auto"/>
        <w:rPr>
          <w:szCs w:val="21"/>
        </w:rPr>
      </w:pPr>
      <w:r>
        <w:rPr>
          <w:szCs w:val="21"/>
        </w:rPr>
        <w:t>三、服务依据、</w:t>
      </w:r>
      <w:r>
        <w:t>服务工作目标</w:t>
      </w:r>
      <w:r>
        <w:rPr>
          <w:szCs w:val="21"/>
        </w:rPr>
        <w:t>；</w:t>
      </w:r>
    </w:p>
    <w:p w14:paraId="2675C150">
      <w:pPr>
        <w:adjustRightInd w:val="0"/>
        <w:snapToGrid w:val="0"/>
        <w:spacing w:line="360" w:lineRule="auto"/>
        <w:rPr>
          <w:szCs w:val="21"/>
        </w:rPr>
      </w:pPr>
      <w:r>
        <w:rPr>
          <w:szCs w:val="21"/>
        </w:rPr>
        <w:t>四、服务机构设置、岗位职责；</w:t>
      </w:r>
    </w:p>
    <w:p w14:paraId="0E85EDE9">
      <w:pPr>
        <w:adjustRightInd w:val="0"/>
        <w:snapToGrid w:val="0"/>
        <w:spacing w:line="360" w:lineRule="auto"/>
        <w:rPr>
          <w:szCs w:val="21"/>
        </w:rPr>
      </w:pPr>
      <w:r>
        <w:rPr>
          <w:szCs w:val="21"/>
        </w:rPr>
        <w:t>五、服务工作程序、方法和制度；</w:t>
      </w:r>
    </w:p>
    <w:p w14:paraId="4304C0F0">
      <w:pPr>
        <w:adjustRightInd w:val="0"/>
        <w:snapToGrid w:val="0"/>
        <w:spacing w:line="360" w:lineRule="auto"/>
        <w:rPr>
          <w:szCs w:val="21"/>
        </w:rPr>
      </w:pPr>
      <w:r>
        <w:rPr>
          <w:szCs w:val="21"/>
        </w:rPr>
        <w:t>六、拟投入的服务人员、试验检测仪器设备；</w:t>
      </w:r>
    </w:p>
    <w:p w14:paraId="286A80FE">
      <w:pPr>
        <w:adjustRightInd w:val="0"/>
        <w:snapToGrid w:val="0"/>
        <w:spacing w:line="360" w:lineRule="auto"/>
        <w:rPr>
          <w:szCs w:val="21"/>
        </w:rPr>
      </w:pPr>
      <w:r>
        <w:rPr>
          <w:szCs w:val="21"/>
        </w:rPr>
        <w:t>七、质量、进度、造价、安全、环保服务措施；</w:t>
      </w:r>
    </w:p>
    <w:p w14:paraId="18E366E5">
      <w:pPr>
        <w:adjustRightInd w:val="0"/>
        <w:snapToGrid w:val="0"/>
        <w:spacing w:line="360" w:lineRule="auto"/>
        <w:rPr>
          <w:szCs w:val="21"/>
          <w:lang w:val="fr-FR"/>
        </w:rPr>
      </w:pPr>
      <w:r>
        <w:rPr>
          <w:szCs w:val="21"/>
        </w:rPr>
        <w:t>八、</w:t>
      </w:r>
      <w:r>
        <w:rPr>
          <w:szCs w:val="21"/>
          <w:lang w:val="fr-FR"/>
        </w:rPr>
        <w:t xml:space="preserve">…… </w:t>
      </w:r>
    </w:p>
    <w:p w14:paraId="66EF11C4">
      <w:pPr>
        <w:spacing w:line="360" w:lineRule="auto"/>
        <w:jc w:val="left"/>
        <w:rPr>
          <w:szCs w:val="21"/>
          <w:lang w:val="fr-FR"/>
        </w:rPr>
      </w:pPr>
      <w:r>
        <w:rPr>
          <w:szCs w:val="21"/>
          <w:lang w:val="fr-FR"/>
        </w:rPr>
        <w:t>I. Présentation du projet de service ;</w:t>
      </w:r>
    </w:p>
    <w:p w14:paraId="7C897D57">
      <w:pPr>
        <w:spacing w:line="360" w:lineRule="auto"/>
        <w:jc w:val="left"/>
        <w:rPr>
          <w:szCs w:val="21"/>
          <w:lang w:val="fr-FR"/>
        </w:rPr>
      </w:pPr>
      <w:r>
        <w:rPr>
          <w:szCs w:val="21"/>
          <w:lang w:val="fr-FR"/>
        </w:rPr>
        <w:t>II. étendue du service, contenu du service</w:t>
      </w:r>
    </w:p>
    <w:p w14:paraId="419A7D73">
      <w:pPr>
        <w:spacing w:line="360" w:lineRule="auto"/>
        <w:jc w:val="left"/>
        <w:rPr>
          <w:szCs w:val="21"/>
          <w:lang w:val="fr-FR"/>
        </w:rPr>
      </w:pPr>
      <w:r>
        <w:rPr>
          <w:szCs w:val="21"/>
          <w:lang w:val="fr-FR"/>
        </w:rPr>
        <w:t>III. base du service, objectifs du travail de service</w:t>
      </w:r>
    </w:p>
    <w:p w14:paraId="5ECB6E95">
      <w:pPr>
        <w:spacing w:line="360" w:lineRule="auto"/>
        <w:jc w:val="left"/>
        <w:rPr>
          <w:szCs w:val="21"/>
          <w:lang w:val="fr-FR"/>
        </w:rPr>
      </w:pPr>
      <w:r>
        <w:rPr>
          <w:szCs w:val="21"/>
          <w:lang w:val="fr-FR"/>
        </w:rPr>
        <w:t>IV. organisation du service, responsabilités professionnelles</w:t>
      </w:r>
    </w:p>
    <w:p w14:paraId="3D5E20BF">
      <w:pPr>
        <w:spacing w:line="360" w:lineRule="auto"/>
        <w:jc w:val="left"/>
        <w:rPr>
          <w:szCs w:val="21"/>
          <w:lang w:val="fr-FR"/>
        </w:rPr>
      </w:pPr>
      <w:r>
        <w:rPr>
          <w:szCs w:val="21"/>
          <w:lang w:val="fr-FR"/>
        </w:rPr>
        <w:t>V. Procédures, méthodes et systèmes de travail du service ;</w:t>
      </w:r>
    </w:p>
    <w:p w14:paraId="5F1B1853">
      <w:pPr>
        <w:spacing w:line="360" w:lineRule="auto"/>
        <w:jc w:val="left"/>
        <w:rPr>
          <w:szCs w:val="21"/>
          <w:lang w:val="fr-FR"/>
        </w:rPr>
      </w:pPr>
      <w:r>
        <w:rPr>
          <w:szCs w:val="21"/>
          <w:lang w:val="fr-FR"/>
        </w:rPr>
        <w:t>VI. le personnel de service, les instruments d'essai et d'inspection et l'équipement à investir ;</w:t>
      </w:r>
    </w:p>
    <w:p w14:paraId="2D81194C">
      <w:pPr>
        <w:spacing w:line="360" w:lineRule="auto"/>
        <w:jc w:val="left"/>
        <w:rPr>
          <w:szCs w:val="21"/>
          <w:lang w:val="fr-FR"/>
        </w:rPr>
      </w:pPr>
      <w:r>
        <w:rPr>
          <w:szCs w:val="21"/>
          <w:lang w:val="fr-FR"/>
        </w:rPr>
        <w:t>VII. les mesures de qualité, de progrès, de coût, de sécurité et de protection de l'environnement ;</w:t>
      </w:r>
    </w:p>
    <w:p w14:paraId="4CB436B9">
      <w:pPr>
        <w:spacing w:line="360" w:lineRule="auto"/>
        <w:jc w:val="left"/>
        <w:rPr>
          <w:szCs w:val="21"/>
        </w:rPr>
        <w:sectPr>
          <w:pgSz w:w="11906" w:h="16838"/>
          <w:pgMar w:top="1417" w:right="1134" w:bottom="1134" w:left="1417" w:header="851" w:footer="850" w:gutter="0"/>
          <w:cols w:space="720" w:num="1"/>
          <w:titlePg/>
          <w:docGrid w:linePitch="312" w:charSpace="0"/>
        </w:sectPr>
      </w:pPr>
      <w:r>
        <w:rPr>
          <w:szCs w:val="21"/>
        </w:rPr>
        <w:t xml:space="preserve">VIII. ...... </w:t>
      </w:r>
    </w:p>
    <w:p w14:paraId="38A4474D">
      <w:pPr>
        <w:spacing w:line="360" w:lineRule="auto"/>
        <w:jc w:val="left"/>
        <w:rPr>
          <w:b/>
          <w:bCs/>
          <w:szCs w:val="21"/>
        </w:rPr>
      </w:pPr>
      <w:r>
        <w:rPr>
          <w:b/>
          <w:bCs/>
          <w:szCs w:val="21"/>
        </w:rPr>
        <w:t>附表1：拟委任的主要人员汇总表</w:t>
      </w:r>
    </w:p>
    <w:p w14:paraId="115024A0">
      <w:pPr>
        <w:spacing w:line="360" w:lineRule="auto"/>
        <w:jc w:val="left"/>
        <w:rPr>
          <w:b/>
          <w:bCs/>
          <w:szCs w:val="21"/>
          <w:lang w:val="fr-FR"/>
        </w:rPr>
      </w:pPr>
      <w:r>
        <w:rPr>
          <w:b/>
          <w:bCs/>
          <w:szCs w:val="21"/>
          <w:lang w:val="fr-FR"/>
        </w:rPr>
        <w:t>Annexe 1 : Résumé du personnel clé à nommer</w:t>
      </w:r>
    </w:p>
    <w:tbl>
      <w:tblPr>
        <w:tblStyle w:val="31"/>
        <w:tblW w:w="95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32"/>
        <w:gridCol w:w="1395"/>
        <w:gridCol w:w="892"/>
        <w:gridCol w:w="1375"/>
        <w:gridCol w:w="1056"/>
        <w:gridCol w:w="1285"/>
        <w:gridCol w:w="846"/>
        <w:gridCol w:w="1039"/>
        <w:gridCol w:w="1351"/>
      </w:tblGrid>
      <w:tr w14:paraId="0E8279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2" w:type="dxa"/>
            <w:vMerge w:val="restart"/>
            <w:vAlign w:val="center"/>
          </w:tcPr>
          <w:p w14:paraId="4A99C4D3">
            <w:pPr>
              <w:jc w:val="center"/>
            </w:pPr>
            <w:r>
              <w:t>序号</w:t>
            </w:r>
            <w:r>
              <w:rPr>
                <w:rFonts w:hint="eastAsia"/>
              </w:rPr>
              <w:t>N</w:t>
            </w:r>
          </w:p>
        </w:tc>
        <w:tc>
          <w:tcPr>
            <w:tcW w:w="1395" w:type="dxa"/>
            <w:vMerge w:val="restart"/>
            <w:vAlign w:val="center"/>
          </w:tcPr>
          <w:p w14:paraId="08209D0F">
            <w:pPr>
              <w:jc w:val="center"/>
            </w:pPr>
            <w:r>
              <w:t>本项目任职Poste dans ce projet</w:t>
            </w:r>
          </w:p>
        </w:tc>
        <w:tc>
          <w:tcPr>
            <w:tcW w:w="892" w:type="dxa"/>
            <w:vMerge w:val="restart"/>
            <w:vAlign w:val="center"/>
          </w:tcPr>
          <w:p w14:paraId="66360A16">
            <w:pPr>
              <w:jc w:val="center"/>
            </w:pPr>
            <w:r>
              <w:t>姓名Nom</w:t>
            </w:r>
          </w:p>
        </w:tc>
        <w:tc>
          <w:tcPr>
            <w:tcW w:w="1375" w:type="dxa"/>
            <w:vMerge w:val="restart"/>
            <w:vAlign w:val="center"/>
          </w:tcPr>
          <w:p w14:paraId="422DCC54">
            <w:pPr>
              <w:jc w:val="center"/>
            </w:pPr>
            <w:r>
              <w:t>职称Titre professionnel</w:t>
            </w:r>
          </w:p>
        </w:tc>
        <w:tc>
          <w:tcPr>
            <w:tcW w:w="1056" w:type="dxa"/>
            <w:vMerge w:val="restart"/>
            <w:vAlign w:val="center"/>
          </w:tcPr>
          <w:p w14:paraId="7204804A">
            <w:pPr>
              <w:jc w:val="center"/>
            </w:pPr>
            <w:r>
              <w:t>专业Spécialité</w:t>
            </w:r>
          </w:p>
        </w:tc>
        <w:tc>
          <w:tcPr>
            <w:tcW w:w="3170" w:type="dxa"/>
            <w:gridSpan w:val="3"/>
            <w:vAlign w:val="center"/>
          </w:tcPr>
          <w:p w14:paraId="31BA858E">
            <w:pPr>
              <w:jc w:val="center"/>
            </w:pPr>
            <w:r>
              <w:t>执业或职业资格证明</w:t>
            </w:r>
          </w:p>
          <w:p w14:paraId="5BA25700">
            <w:pPr>
              <w:jc w:val="center"/>
            </w:pPr>
            <w:r>
              <w:t>Preuve de qualification professionnelle ou certificats</w:t>
            </w:r>
          </w:p>
        </w:tc>
        <w:tc>
          <w:tcPr>
            <w:tcW w:w="1351" w:type="dxa"/>
            <w:vAlign w:val="center"/>
          </w:tcPr>
          <w:p w14:paraId="7DF08099">
            <w:pPr>
              <w:jc w:val="center"/>
            </w:pPr>
            <w:r>
              <w:t>备注Remarques</w:t>
            </w:r>
          </w:p>
        </w:tc>
      </w:tr>
      <w:tr w14:paraId="0A76FE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2" w:type="dxa"/>
            <w:vMerge w:val="continue"/>
            <w:vAlign w:val="center"/>
          </w:tcPr>
          <w:p w14:paraId="3E7AF598"/>
        </w:tc>
        <w:tc>
          <w:tcPr>
            <w:tcW w:w="1395" w:type="dxa"/>
            <w:vMerge w:val="continue"/>
            <w:vAlign w:val="center"/>
          </w:tcPr>
          <w:p w14:paraId="0E2C8B82"/>
        </w:tc>
        <w:tc>
          <w:tcPr>
            <w:tcW w:w="892" w:type="dxa"/>
            <w:vMerge w:val="continue"/>
            <w:vAlign w:val="center"/>
          </w:tcPr>
          <w:p w14:paraId="5DF0B20C"/>
        </w:tc>
        <w:tc>
          <w:tcPr>
            <w:tcW w:w="1375" w:type="dxa"/>
            <w:vMerge w:val="continue"/>
            <w:vAlign w:val="center"/>
          </w:tcPr>
          <w:p w14:paraId="75EB5C8F"/>
        </w:tc>
        <w:tc>
          <w:tcPr>
            <w:tcW w:w="1056" w:type="dxa"/>
            <w:vMerge w:val="continue"/>
            <w:vAlign w:val="center"/>
          </w:tcPr>
          <w:p w14:paraId="614AD0DC">
            <w:pPr>
              <w:jc w:val="center"/>
            </w:pPr>
          </w:p>
        </w:tc>
        <w:tc>
          <w:tcPr>
            <w:tcW w:w="1285" w:type="dxa"/>
            <w:vAlign w:val="center"/>
          </w:tcPr>
          <w:p w14:paraId="0E3B6BF4">
            <w:pPr>
              <w:spacing w:before="100" w:beforeAutospacing="1" w:after="100" w:afterAutospacing="1"/>
              <w:jc w:val="center"/>
            </w:pPr>
            <w:r>
              <w:t>证书名称Certificat</w:t>
            </w:r>
          </w:p>
        </w:tc>
        <w:tc>
          <w:tcPr>
            <w:tcW w:w="846" w:type="dxa"/>
            <w:vAlign w:val="center"/>
          </w:tcPr>
          <w:p w14:paraId="18A935ED">
            <w:pPr>
              <w:spacing w:before="100" w:beforeAutospacing="1" w:after="100" w:afterAutospacing="1"/>
              <w:jc w:val="center"/>
            </w:pPr>
            <w:r>
              <w:t>级别Niveau</w:t>
            </w:r>
          </w:p>
        </w:tc>
        <w:tc>
          <w:tcPr>
            <w:tcW w:w="1039" w:type="dxa"/>
            <w:vAlign w:val="center"/>
          </w:tcPr>
          <w:p w14:paraId="2E86871C">
            <w:pPr>
              <w:spacing w:before="100" w:beforeAutospacing="1" w:after="100" w:afterAutospacing="1"/>
              <w:jc w:val="center"/>
            </w:pPr>
            <w:r>
              <w:t>证号Numéro de certificat</w:t>
            </w:r>
          </w:p>
        </w:tc>
        <w:tc>
          <w:tcPr>
            <w:tcW w:w="1351" w:type="dxa"/>
            <w:vAlign w:val="center"/>
          </w:tcPr>
          <w:p w14:paraId="79FA17FB">
            <w:pPr>
              <w:jc w:val="center"/>
            </w:pPr>
          </w:p>
        </w:tc>
      </w:tr>
      <w:tr w14:paraId="1C175D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2" w:type="dxa"/>
            <w:vAlign w:val="center"/>
          </w:tcPr>
          <w:p w14:paraId="11FE35E3">
            <w:pPr>
              <w:jc w:val="center"/>
            </w:pPr>
          </w:p>
        </w:tc>
        <w:tc>
          <w:tcPr>
            <w:tcW w:w="1395" w:type="dxa"/>
            <w:vAlign w:val="center"/>
          </w:tcPr>
          <w:p w14:paraId="6065F92A">
            <w:pPr>
              <w:jc w:val="center"/>
            </w:pPr>
          </w:p>
        </w:tc>
        <w:tc>
          <w:tcPr>
            <w:tcW w:w="892" w:type="dxa"/>
            <w:vAlign w:val="center"/>
          </w:tcPr>
          <w:p w14:paraId="4314A6D6">
            <w:pPr>
              <w:jc w:val="center"/>
            </w:pPr>
          </w:p>
        </w:tc>
        <w:tc>
          <w:tcPr>
            <w:tcW w:w="1375" w:type="dxa"/>
            <w:vAlign w:val="center"/>
          </w:tcPr>
          <w:p w14:paraId="0A512CC6">
            <w:pPr>
              <w:jc w:val="center"/>
            </w:pPr>
          </w:p>
        </w:tc>
        <w:tc>
          <w:tcPr>
            <w:tcW w:w="1056" w:type="dxa"/>
            <w:vAlign w:val="center"/>
          </w:tcPr>
          <w:p w14:paraId="672F50EA">
            <w:pPr>
              <w:jc w:val="center"/>
            </w:pPr>
          </w:p>
        </w:tc>
        <w:tc>
          <w:tcPr>
            <w:tcW w:w="1285" w:type="dxa"/>
            <w:vAlign w:val="center"/>
          </w:tcPr>
          <w:p w14:paraId="1D400890">
            <w:pPr>
              <w:jc w:val="center"/>
            </w:pPr>
          </w:p>
        </w:tc>
        <w:tc>
          <w:tcPr>
            <w:tcW w:w="846" w:type="dxa"/>
            <w:vAlign w:val="center"/>
          </w:tcPr>
          <w:p w14:paraId="3C9530D6">
            <w:pPr>
              <w:jc w:val="center"/>
            </w:pPr>
          </w:p>
        </w:tc>
        <w:tc>
          <w:tcPr>
            <w:tcW w:w="1039" w:type="dxa"/>
            <w:vAlign w:val="center"/>
          </w:tcPr>
          <w:p w14:paraId="427F683F">
            <w:pPr>
              <w:jc w:val="center"/>
            </w:pPr>
          </w:p>
        </w:tc>
        <w:tc>
          <w:tcPr>
            <w:tcW w:w="1351" w:type="dxa"/>
            <w:vAlign w:val="center"/>
          </w:tcPr>
          <w:p w14:paraId="2CCEFEF2">
            <w:pPr>
              <w:jc w:val="center"/>
            </w:pPr>
          </w:p>
        </w:tc>
      </w:tr>
      <w:tr w14:paraId="4376DA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2" w:type="dxa"/>
            <w:vAlign w:val="center"/>
          </w:tcPr>
          <w:p w14:paraId="47665FC7">
            <w:pPr>
              <w:jc w:val="center"/>
            </w:pPr>
          </w:p>
        </w:tc>
        <w:tc>
          <w:tcPr>
            <w:tcW w:w="1395" w:type="dxa"/>
            <w:vAlign w:val="center"/>
          </w:tcPr>
          <w:p w14:paraId="3D7533B4">
            <w:pPr>
              <w:jc w:val="center"/>
            </w:pPr>
          </w:p>
        </w:tc>
        <w:tc>
          <w:tcPr>
            <w:tcW w:w="892" w:type="dxa"/>
            <w:vAlign w:val="center"/>
          </w:tcPr>
          <w:p w14:paraId="544D5522">
            <w:pPr>
              <w:jc w:val="center"/>
            </w:pPr>
          </w:p>
        </w:tc>
        <w:tc>
          <w:tcPr>
            <w:tcW w:w="1375" w:type="dxa"/>
            <w:vAlign w:val="center"/>
          </w:tcPr>
          <w:p w14:paraId="35C7E3E7">
            <w:pPr>
              <w:jc w:val="center"/>
            </w:pPr>
          </w:p>
        </w:tc>
        <w:tc>
          <w:tcPr>
            <w:tcW w:w="1056" w:type="dxa"/>
            <w:vAlign w:val="center"/>
          </w:tcPr>
          <w:p w14:paraId="507ED3A2">
            <w:pPr>
              <w:jc w:val="center"/>
            </w:pPr>
          </w:p>
        </w:tc>
        <w:tc>
          <w:tcPr>
            <w:tcW w:w="1285" w:type="dxa"/>
            <w:vAlign w:val="center"/>
          </w:tcPr>
          <w:p w14:paraId="2C89C8F7">
            <w:pPr>
              <w:jc w:val="center"/>
            </w:pPr>
          </w:p>
        </w:tc>
        <w:tc>
          <w:tcPr>
            <w:tcW w:w="846" w:type="dxa"/>
            <w:vAlign w:val="center"/>
          </w:tcPr>
          <w:p w14:paraId="3CEF80C6">
            <w:pPr>
              <w:jc w:val="center"/>
            </w:pPr>
          </w:p>
        </w:tc>
        <w:tc>
          <w:tcPr>
            <w:tcW w:w="1039" w:type="dxa"/>
            <w:vAlign w:val="center"/>
          </w:tcPr>
          <w:p w14:paraId="4B2C0BFD">
            <w:pPr>
              <w:jc w:val="center"/>
            </w:pPr>
          </w:p>
        </w:tc>
        <w:tc>
          <w:tcPr>
            <w:tcW w:w="1351" w:type="dxa"/>
            <w:vAlign w:val="center"/>
          </w:tcPr>
          <w:p w14:paraId="73D4BD80">
            <w:pPr>
              <w:jc w:val="center"/>
            </w:pPr>
          </w:p>
        </w:tc>
      </w:tr>
      <w:tr w14:paraId="3B823D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2" w:type="dxa"/>
            <w:vAlign w:val="center"/>
          </w:tcPr>
          <w:p w14:paraId="41A84147">
            <w:pPr>
              <w:jc w:val="center"/>
            </w:pPr>
          </w:p>
        </w:tc>
        <w:tc>
          <w:tcPr>
            <w:tcW w:w="1395" w:type="dxa"/>
            <w:vAlign w:val="center"/>
          </w:tcPr>
          <w:p w14:paraId="6EDD1B27">
            <w:pPr>
              <w:jc w:val="center"/>
            </w:pPr>
          </w:p>
        </w:tc>
        <w:tc>
          <w:tcPr>
            <w:tcW w:w="892" w:type="dxa"/>
            <w:vAlign w:val="center"/>
          </w:tcPr>
          <w:p w14:paraId="3367A99F">
            <w:pPr>
              <w:jc w:val="center"/>
            </w:pPr>
          </w:p>
        </w:tc>
        <w:tc>
          <w:tcPr>
            <w:tcW w:w="1375" w:type="dxa"/>
            <w:vAlign w:val="center"/>
          </w:tcPr>
          <w:p w14:paraId="2AE2F561">
            <w:pPr>
              <w:jc w:val="center"/>
            </w:pPr>
          </w:p>
        </w:tc>
        <w:tc>
          <w:tcPr>
            <w:tcW w:w="1056" w:type="dxa"/>
            <w:vAlign w:val="center"/>
          </w:tcPr>
          <w:p w14:paraId="5FEC620D">
            <w:pPr>
              <w:jc w:val="center"/>
            </w:pPr>
          </w:p>
        </w:tc>
        <w:tc>
          <w:tcPr>
            <w:tcW w:w="1285" w:type="dxa"/>
            <w:vAlign w:val="center"/>
          </w:tcPr>
          <w:p w14:paraId="0A7A886F">
            <w:pPr>
              <w:jc w:val="center"/>
            </w:pPr>
          </w:p>
        </w:tc>
        <w:tc>
          <w:tcPr>
            <w:tcW w:w="846" w:type="dxa"/>
            <w:vAlign w:val="center"/>
          </w:tcPr>
          <w:p w14:paraId="19D0B988">
            <w:pPr>
              <w:jc w:val="center"/>
            </w:pPr>
          </w:p>
        </w:tc>
        <w:tc>
          <w:tcPr>
            <w:tcW w:w="1039" w:type="dxa"/>
            <w:vAlign w:val="center"/>
          </w:tcPr>
          <w:p w14:paraId="776A5A83">
            <w:pPr>
              <w:jc w:val="center"/>
            </w:pPr>
          </w:p>
        </w:tc>
        <w:tc>
          <w:tcPr>
            <w:tcW w:w="1351" w:type="dxa"/>
            <w:vAlign w:val="center"/>
          </w:tcPr>
          <w:p w14:paraId="461F5810">
            <w:pPr>
              <w:jc w:val="center"/>
            </w:pPr>
          </w:p>
        </w:tc>
      </w:tr>
      <w:tr w14:paraId="5278AB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2" w:type="dxa"/>
            <w:vAlign w:val="center"/>
          </w:tcPr>
          <w:p w14:paraId="0E6CCA08">
            <w:pPr>
              <w:jc w:val="center"/>
            </w:pPr>
          </w:p>
        </w:tc>
        <w:tc>
          <w:tcPr>
            <w:tcW w:w="1395" w:type="dxa"/>
            <w:vAlign w:val="center"/>
          </w:tcPr>
          <w:p w14:paraId="7E8F521F">
            <w:pPr>
              <w:jc w:val="center"/>
            </w:pPr>
          </w:p>
        </w:tc>
        <w:tc>
          <w:tcPr>
            <w:tcW w:w="892" w:type="dxa"/>
            <w:vAlign w:val="center"/>
          </w:tcPr>
          <w:p w14:paraId="5B4E5876">
            <w:pPr>
              <w:jc w:val="center"/>
            </w:pPr>
          </w:p>
        </w:tc>
        <w:tc>
          <w:tcPr>
            <w:tcW w:w="1375" w:type="dxa"/>
            <w:vAlign w:val="center"/>
          </w:tcPr>
          <w:p w14:paraId="67A4819A">
            <w:pPr>
              <w:jc w:val="center"/>
            </w:pPr>
          </w:p>
        </w:tc>
        <w:tc>
          <w:tcPr>
            <w:tcW w:w="1056" w:type="dxa"/>
            <w:vAlign w:val="center"/>
          </w:tcPr>
          <w:p w14:paraId="2D0CEFE0">
            <w:pPr>
              <w:jc w:val="center"/>
            </w:pPr>
          </w:p>
        </w:tc>
        <w:tc>
          <w:tcPr>
            <w:tcW w:w="1285" w:type="dxa"/>
            <w:vAlign w:val="center"/>
          </w:tcPr>
          <w:p w14:paraId="645B32AC">
            <w:pPr>
              <w:jc w:val="center"/>
            </w:pPr>
          </w:p>
        </w:tc>
        <w:tc>
          <w:tcPr>
            <w:tcW w:w="846" w:type="dxa"/>
            <w:vAlign w:val="center"/>
          </w:tcPr>
          <w:p w14:paraId="19B3E992">
            <w:pPr>
              <w:jc w:val="center"/>
            </w:pPr>
          </w:p>
        </w:tc>
        <w:tc>
          <w:tcPr>
            <w:tcW w:w="1039" w:type="dxa"/>
            <w:vAlign w:val="center"/>
          </w:tcPr>
          <w:p w14:paraId="26144DE6">
            <w:pPr>
              <w:jc w:val="center"/>
            </w:pPr>
          </w:p>
        </w:tc>
        <w:tc>
          <w:tcPr>
            <w:tcW w:w="1351" w:type="dxa"/>
            <w:vAlign w:val="center"/>
          </w:tcPr>
          <w:p w14:paraId="73FD2B72">
            <w:pPr>
              <w:jc w:val="center"/>
            </w:pPr>
          </w:p>
        </w:tc>
      </w:tr>
      <w:tr w14:paraId="1664A5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2" w:type="dxa"/>
            <w:vAlign w:val="center"/>
          </w:tcPr>
          <w:p w14:paraId="7A62B267">
            <w:pPr>
              <w:jc w:val="center"/>
            </w:pPr>
          </w:p>
        </w:tc>
        <w:tc>
          <w:tcPr>
            <w:tcW w:w="1395" w:type="dxa"/>
            <w:vAlign w:val="center"/>
          </w:tcPr>
          <w:p w14:paraId="376313B4">
            <w:pPr>
              <w:jc w:val="center"/>
            </w:pPr>
          </w:p>
        </w:tc>
        <w:tc>
          <w:tcPr>
            <w:tcW w:w="892" w:type="dxa"/>
            <w:vAlign w:val="center"/>
          </w:tcPr>
          <w:p w14:paraId="6EF7A4A6">
            <w:pPr>
              <w:jc w:val="center"/>
            </w:pPr>
          </w:p>
        </w:tc>
        <w:tc>
          <w:tcPr>
            <w:tcW w:w="1375" w:type="dxa"/>
            <w:vAlign w:val="center"/>
          </w:tcPr>
          <w:p w14:paraId="2D74605A">
            <w:pPr>
              <w:jc w:val="center"/>
            </w:pPr>
          </w:p>
        </w:tc>
        <w:tc>
          <w:tcPr>
            <w:tcW w:w="1056" w:type="dxa"/>
            <w:vAlign w:val="center"/>
          </w:tcPr>
          <w:p w14:paraId="64A133D6">
            <w:pPr>
              <w:jc w:val="center"/>
            </w:pPr>
          </w:p>
        </w:tc>
        <w:tc>
          <w:tcPr>
            <w:tcW w:w="1285" w:type="dxa"/>
            <w:vAlign w:val="center"/>
          </w:tcPr>
          <w:p w14:paraId="174E7C1A">
            <w:pPr>
              <w:jc w:val="center"/>
            </w:pPr>
          </w:p>
        </w:tc>
        <w:tc>
          <w:tcPr>
            <w:tcW w:w="846" w:type="dxa"/>
            <w:vAlign w:val="center"/>
          </w:tcPr>
          <w:p w14:paraId="38FB9F61">
            <w:pPr>
              <w:jc w:val="center"/>
            </w:pPr>
          </w:p>
        </w:tc>
        <w:tc>
          <w:tcPr>
            <w:tcW w:w="1039" w:type="dxa"/>
            <w:vAlign w:val="center"/>
          </w:tcPr>
          <w:p w14:paraId="281E0CFA">
            <w:pPr>
              <w:jc w:val="center"/>
            </w:pPr>
          </w:p>
        </w:tc>
        <w:tc>
          <w:tcPr>
            <w:tcW w:w="1351" w:type="dxa"/>
            <w:vAlign w:val="center"/>
          </w:tcPr>
          <w:p w14:paraId="23E4AA43">
            <w:pPr>
              <w:jc w:val="center"/>
            </w:pPr>
          </w:p>
        </w:tc>
      </w:tr>
      <w:tr w14:paraId="7B4C25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2" w:type="dxa"/>
            <w:vAlign w:val="center"/>
          </w:tcPr>
          <w:p w14:paraId="2E22A611">
            <w:pPr>
              <w:jc w:val="center"/>
            </w:pPr>
          </w:p>
        </w:tc>
        <w:tc>
          <w:tcPr>
            <w:tcW w:w="1395" w:type="dxa"/>
            <w:vAlign w:val="center"/>
          </w:tcPr>
          <w:p w14:paraId="02499C6B">
            <w:pPr>
              <w:jc w:val="center"/>
            </w:pPr>
          </w:p>
        </w:tc>
        <w:tc>
          <w:tcPr>
            <w:tcW w:w="892" w:type="dxa"/>
            <w:vAlign w:val="center"/>
          </w:tcPr>
          <w:p w14:paraId="5D0257DC">
            <w:pPr>
              <w:jc w:val="center"/>
            </w:pPr>
          </w:p>
        </w:tc>
        <w:tc>
          <w:tcPr>
            <w:tcW w:w="1375" w:type="dxa"/>
            <w:vAlign w:val="center"/>
          </w:tcPr>
          <w:p w14:paraId="3DF18C75">
            <w:pPr>
              <w:jc w:val="center"/>
            </w:pPr>
          </w:p>
        </w:tc>
        <w:tc>
          <w:tcPr>
            <w:tcW w:w="1056" w:type="dxa"/>
            <w:vAlign w:val="center"/>
          </w:tcPr>
          <w:p w14:paraId="76A646CF">
            <w:pPr>
              <w:jc w:val="center"/>
            </w:pPr>
          </w:p>
        </w:tc>
        <w:tc>
          <w:tcPr>
            <w:tcW w:w="1285" w:type="dxa"/>
            <w:vAlign w:val="center"/>
          </w:tcPr>
          <w:p w14:paraId="63F75906">
            <w:pPr>
              <w:jc w:val="center"/>
            </w:pPr>
          </w:p>
        </w:tc>
        <w:tc>
          <w:tcPr>
            <w:tcW w:w="846" w:type="dxa"/>
            <w:vAlign w:val="center"/>
          </w:tcPr>
          <w:p w14:paraId="231F35B1">
            <w:pPr>
              <w:jc w:val="center"/>
            </w:pPr>
          </w:p>
        </w:tc>
        <w:tc>
          <w:tcPr>
            <w:tcW w:w="1039" w:type="dxa"/>
            <w:vAlign w:val="center"/>
          </w:tcPr>
          <w:p w14:paraId="7F5B7A19">
            <w:pPr>
              <w:jc w:val="center"/>
            </w:pPr>
          </w:p>
        </w:tc>
        <w:tc>
          <w:tcPr>
            <w:tcW w:w="1351" w:type="dxa"/>
            <w:vAlign w:val="center"/>
          </w:tcPr>
          <w:p w14:paraId="73681720">
            <w:pPr>
              <w:jc w:val="center"/>
            </w:pPr>
          </w:p>
        </w:tc>
      </w:tr>
      <w:tr w14:paraId="2E3DE8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2" w:type="dxa"/>
            <w:vAlign w:val="center"/>
          </w:tcPr>
          <w:p w14:paraId="333B279C">
            <w:pPr>
              <w:jc w:val="center"/>
            </w:pPr>
          </w:p>
        </w:tc>
        <w:tc>
          <w:tcPr>
            <w:tcW w:w="1395" w:type="dxa"/>
            <w:vAlign w:val="center"/>
          </w:tcPr>
          <w:p w14:paraId="7F6B53AD">
            <w:pPr>
              <w:jc w:val="center"/>
            </w:pPr>
          </w:p>
        </w:tc>
        <w:tc>
          <w:tcPr>
            <w:tcW w:w="892" w:type="dxa"/>
            <w:vAlign w:val="center"/>
          </w:tcPr>
          <w:p w14:paraId="5376030A">
            <w:pPr>
              <w:jc w:val="center"/>
            </w:pPr>
          </w:p>
        </w:tc>
        <w:tc>
          <w:tcPr>
            <w:tcW w:w="1375" w:type="dxa"/>
            <w:vAlign w:val="center"/>
          </w:tcPr>
          <w:p w14:paraId="715F85C0">
            <w:pPr>
              <w:jc w:val="center"/>
            </w:pPr>
          </w:p>
        </w:tc>
        <w:tc>
          <w:tcPr>
            <w:tcW w:w="1056" w:type="dxa"/>
            <w:vAlign w:val="center"/>
          </w:tcPr>
          <w:p w14:paraId="789AFEE6">
            <w:pPr>
              <w:jc w:val="center"/>
            </w:pPr>
          </w:p>
        </w:tc>
        <w:tc>
          <w:tcPr>
            <w:tcW w:w="1285" w:type="dxa"/>
            <w:vAlign w:val="center"/>
          </w:tcPr>
          <w:p w14:paraId="6D31A9F9">
            <w:pPr>
              <w:jc w:val="center"/>
            </w:pPr>
          </w:p>
        </w:tc>
        <w:tc>
          <w:tcPr>
            <w:tcW w:w="846" w:type="dxa"/>
            <w:vAlign w:val="center"/>
          </w:tcPr>
          <w:p w14:paraId="2552AF5E">
            <w:pPr>
              <w:jc w:val="center"/>
            </w:pPr>
          </w:p>
        </w:tc>
        <w:tc>
          <w:tcPr>
            <w:tcW w:w="1039" w:type="dxa"/>
            <w:vAlign w:val="center"/>
          </w:tcPr>
          <w:p w14:paraId="701E7101">
            <w:pPr>
              <w:jc w:val="center"/>
            </w:pPr>
          </w:p>
        </w:tc>
        <w:tc>
          <w:tcPr>
            <w:tcW w:w="1351" w:type="dxa"/>
            <w:vAlign w:val="center"/>
          </w:tcPr>
          <w:p w14:paraId="5AE2149E">
            <w:pPr>
              <w:jc w:val="center"/>
            </w:pPr>
          </w:p>
        </w:tc>
      </w:tr>
      <w:tr w14:paraId="1D38E9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2" w:type="dxa"/>
            <w:vAlign w:val="center"/>
          </w:tcPr>
          <w:p w14:paraId="181D019F">
            <w:pPr>
              <w:jc w:val="center"/>
            </w:pPr>
          </w:p>
        </w:tc>
        <w:tc>
          <w:tcPr>
            <w:tcW w:w="1395" w:type="dxa"/>
            <w:vAlign w:val="center"/>
          </w:tcPr>
          <w:p w14:paraId="2BD3F579">
            <w:pPr>
              <w:jc w:val="center"/>
            </w:pPr>
          </w:p>
        </w:tc>
        <w:tc>
          <w:tcPr>
            <w:tcW w:w="892" w:type="dxa"/>
            <w:vAlign w:val="center"/>
          </w:tcPr>
          <w:p w14:paraId="7D7CEC15">
            <w:pPr>
              <w:jc w:val="center"/>
            </w:pPr>
          </w:p>
        </w:tc>
        <w:tc>
          <w:tcPr>
            <w:tcW w:w="1375" w:type="dxa"/>
            <w:vAlign w:val="center"/>
          </w:tcPr>
          <w:p w14:paraId="3C79EC9F">
            <w:pPr>
              <w:jc w:val="center"/>
            </w:pPr>
          </w:p>
        </w:tc>
        <w:tc>
          <w:tcPr>
            <w:tcW w:w="1056" w:type="dxa"/>
            <w:vAlign w:val="center"/>
          </w:tcPr>
          <w:p w14:paraId="2C776781">
            <w:pPr>
              <w:jc w:val="center"/>
            </w:pPr>
          </w:p>
        </w:tc>
        <w:tc>
          <w:tcPr>
            <w:tcW w:w="1285" w:type="dxa"/>
            <w:vAlign w:val="center"/>
          </w:tcPr>
          <w:p w14:paraId="7BCA8E3C">
            <w:pPr>
              <w:jc w:val="center"/>
            </w:pPr>
          </w:p>
        </w:tc>
        <w:tc>
          <w:tcPr>
            <w:tcW w:w="846" w:type="dxa"/>
            <w:vAlign w:val="center"/>
          </w:tcPr>
          <w:p w14:paraId="24BF93DA">
            <w:pPr>
              <w:jc w:val="center"/>
            </w:pPr>
          </w:p>
        </w:tc>
        <w:tc>
          <w:tcPr>
            <w:tcW w:w="1039" w:type="dxa"/>
            <w:vAlign w:val="center"/>
          </w:tcPr>
          <w:p w14:paraId="6497D601">
            <w:pPr>
              <w:jc w:val="center"/>
            </w:pPr>
          </w:p>
        </w:tc>
        <w:tc>
          <w:tcPr>
            <w:tcW w:w="1351" w:type="dxa"/>
            <w:vAlign w:val="center"/>
          </w:tcPr>
          <w:p w14:paraId="2FF9CCF7">
            <w:pPr>
              <w:jc w:val="center"/>
            </w:pPr>
          </w:p>
        </w:tc>
      </w:tr>
      <w:tr w14:paraId="4A79A0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2" w:type="dxa"/>
            <w:vAlign w:val="center"/>
          </w:tcPr>
          <w:p w14:paraId="2B52C42A">
            <w:pPr>
              <w:jc w:val="center"/>
            </w:pPr>
          </w:p>
        </w:tc>
        <w:tc>
          <w:tcPr>
            <w:tcW w:w="1395" w:type="dxa"/>
            <w:vAlign w:val="center"/>
          </w:tcPr>
          <w:p w14:paraId="213C4A90">
            <w:pPr>
              <w:jc w:val="center"/>
            </w:pPr>
          </w:p>
        </w:tc>
        <w:tc>
          <w:tcPr>
            <w:tcW w:w="892" w:type="dxa"/>
            <w:vAlign w:val="center"/>
          </w:tcPr>
          <w:p w14:paraId="21053ED8">
            <w:pPr>
              <w:jc w:val="center"/>
            </w:pPr>
          </w:p>
        </w:tc>
        <w:tc>
          <w:tcPr>
            <w:tcW w:w="1375" w:type="dxa"/>
            <w:vAlign w:val="center"/>
          </w:tcPr>
          <w:p w14:paraId="6148B7B6">
            <w:pPr>
              <w:jc w:val="center"/>
            </w:pPr>
          </w:p>
        </w:tc>
        <w:tc>
          <w:tcPr>
            <w:tcW w:w="1056" w:type="dxa"/>
            <w:vAlign w:val="center"/>
          </w:tcPr>
          <w:p w14:paraId="3DBCB9C1">
            <w:pPr>
              <w:jc w:val="center"/>
            </w:pPr>
          </w:p>
        </w:tc>
        <w:tc>
          <w:tcPr>
            <w:tcW w:w="1285" w:type="dxa"/>
            <w:vAlign w:val="center"/>
          </w:tcPr>
          <w:p w14:paraId="0C2EE587">
            <w:pPr>
              <w:jc w:val="center"/>
            </w:pPr>
          </w:p>
        </w:tc>
        <w:tc>
          <w:tcPr>
            <w:tcW w:w="846" w:type="dxa"/>
            <w:vAlign w:val="center"/>
          </w:tcPr>
          <w:p w14:paraId="7E28194C">
            <w:pPr>
              <w:jc w:val="center"/>
            </w:pPr>
          </w:p>
        </w:tc>
        <w:tc>
          <w:tcPr>
            <w:tcW w:w="1039" w:type="dxa"/>
            <w:vAlign w:val="center"/>
          </w:tcPr>
          <w:p w14:paraId="635F6DB8">
            <w:pPr>
              <w:jc w:val="center"/>
            </w:pPr>
          </w:p>
        </w:tc>
        <w:tc>
          <w:tcPr>
            <w:tcW w:w="1351" w:type="dxa"/>
            <w:vAlign w:val="center"/>
          </w:tcPr>
          <w:p w14:paraId="5F012873">
            <w:pPr>
              <w:jc w:val="center"/>
            </w:pPr>
          </w:p>
        </w:tc>
      </w:tr>
      <w:tr w14:paraId="3CF715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2" w:type="dxa"/>
            <w:vAlign w:val="center"/>
          </w:tcPr>
          <w:p w14:paraId="3705238B">
            <w:pPr>
              <w:jc w:val="center"/>
            </w:pPr>
          </w:p>
        </w:tc>
        <w:tc>
          <w:tcPr>
            <w:tcW w:w="1395" w:type="dxa"/>
            <w:vAlign w:val="center"/>
          </w:tcPr>
          <w:p w14:paraId="5B316E1A">
            <w:pPr>
              <w:jc w:val="center"/>
            </w:pPr>
          </w:p>
        </w:tc>
        <w:tc>
          <w:tcPr>
            <w:tcW w:w="892" w:type="dxa"/>
            <w:vAlign w:val="center"/>
          </w:tcPr>
          <w:p w14:paraId="1259B6C9">
            <w:pPr>
              <w:jc w:val="center"/>
            </w:pPr>
          </w:p>
        </w:tc>
        <w:tc>
          <w:tcPr>
            <w:tcW w:w="1375" w:type="dxa"/>
            <w:vAlign w:val="center"/>
          </w:tcPr>
          <w:p w14:paraId="16C6009C">
            <w:pPr>
              <w:jc w:val="center"/>
            </w:pPr>
          </w:p>
        </w:tc>
        <w:tc>
          <w:tcPr>
            <w:tcW w:w="1056" w:type="dxa"/>
            <w:vAlign w:val="center"/>
          </w:tcPr>
          <w:p w14:paraId="45120E01">
            <w:pPr>
              <w:jc w:val="center"/>
            </w:pPr>
          </w:p>
        </w:tc>
        <w:tc>
          <w:tcPr>
            <w:tcW w:w="1285" w:type="dxa"/>
            <w:vAlign w:val="center"/>
          </w:tcPr>
          <w:p w14:paraId="60B01214">
            <w:pPr>
              <w:jc w:val="center"/>
            </w:pPr>
          </w:p>
        </w:tc>
        <w:tc>
          <w:tcPr>
            <w:tcW w:w="846" w:type="dxa"/>
            <w:vAlign w:val="center"/>
          </w:tcPr>
          <w:p w14:paraId="5DB281AD">
            <w:pPr>
              <w:jc w:val="center"/>
            </w:pPr>
          </w:p>
        </w:tc>
        <w:tc>
          <w:tcPr>
            <w:tcW w:w="1039" w:type="dxa"/>
            <w:vAlign w:val="center"/>
          </w:tcPr>
          <w:p w14:paraId="24259FB8">
            <w:pPr>
              <w:jc w:val="center"/>
            </w:pPr>
          </w:p>
        </w:tc>
        <w:tc>
          <w:tcPr>
            <w:tcW w:w="1351" w:type="dxa"/>
            <w:vAlign w:val="center"/>
          </w:tcPr>
          <w:p w14:paraId="526D0F76">
            <w:pPr>
              <w:jc w:val="center"/>
            </w:pPr>
          </w:p>
        </w:tc>
      </w:tr>
      <w:tr w14:paraId="3D418D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2" w:type="dxa"/>
            <w:vAlign w:val="center"/>
          </w:tcPr>
          <w:p w14:paraId="6E0E534A">
            <w:pPr>
              <w:jc w:val="center"/>
            </w:pPr>
          </w:p>
        </w:tc>
        <w:tc>
          <w:tcPr>
            <w:tcW w:w="1395" w:type="dxa"/>
            <w:vAlign w:val="center"/>
          </w:tcPr>
          <w:p w14:paraId="369E2AD4">
            <w:pPr>
              <w:jc w:val="center"/>
            </w:pPr>
          </w:p>
        </w:tc>
        <w:tc>
          <w:tcPr>
            <w:tcW w:w="892" w:type="dxa"/>
            <w:vAlign w:val="center"/>
          </w:tcPr>
          <w:p w14:paraId="6CDDE50C">
            <w:pPr>
              <w:jc w:val="center"/>
            </w:pPr>
          </w:p>
        </w:tc>
        <w:tc>
          <w:tcPr>
            <w:tcW w:w="1375" w:type="dxa"/>
            <w:vAlign w:val="center"/>
          </w:tcPr>
          <w:p w14:paraId="17A8FBFE">
            <w:pPr>
              <w:jc w:val="center"/>
            </w:pPr>
          </w:p>
        </w:tc>
        <w:tc>
          <w:tcPr>
            <w:tcW w:w="1056" w:type="dxa"/>
            <w:vAlign w:val="center"/>
          </w:tcPr>
          <w:p w14:paraId="48D7F1DA">
            <w:pPr>
              <w:jc w:val="center"/>
            </w:pPr>
          </w:p>
        </w:tc>
        <w:tc>
          <w:tcPr>
            <w:tcW w:w="1285" w:type="dxa"/>
            <w:vAlign w:val="center"/>
          </w:tcPr>
          <w:p w14:paraId="1F6602FA">
            <w:pPr>
              <w:jc w:val="center"/>
            </w:pPr>
          </w:p>
        </w:tc>
        <w:tc>
          <w:tcPr>
            <w:tcW w:w="846" w:type="dxa"/>
            <w:vAlign w:val="center"/>
          </w:tcPr>
          <w:p w14:paraId="278CEEF0">
            <w:pPr>
              <w:jc w:val="center"/>
            </w:pPr>
          </w:p>
        </w:tc>
        <w:tc>
          <w:tcPr>
            <w:tcW w:w="1039" w:type="dxa"/>
            <w:vAlign w:val="center"/>
          </w:tcPr>
          <w:p w14:paraId="64B736EA">
            <w:pPr>
              <w:jc w:val="center"/>
            </w:pPr>
          </w:p>
        </w:tc>
        <w:tc>
          <w:tcPr>
            <w:tcW w:w="1351" w:type="dxa"/>
            <w:vAlign w:val="center"/>
          </w:tcPr>
          <w:p w14:paraId="63C2A505">
            <w:pPr>
              <w:jc w:val="center"/>
            </w:pPr>
          </w:p>
        </w:tc>
      </w:tr>
      <w:tr w14:paraId="339584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2" w:type="dxa"/>
            <w:vAlign w:val="center"/>
          </w:tcPr>
          <w:p w14:paraId="16ECBB25">
            <w:pPr>
              <w:jc w:val="center"/>
            </w:pPr>
          </w:p>
        </w:tc>
        <w:tc>
          <w:tcPr>
            <w:tcW w:w="1395" w:type="dxa"/>
            <w:vAlign w:val="center"/>
          </w:tcPr>
          <w:p w14:paraId="12D43C15">
            <w:pPr>
              <w:jc w:val="center"/>
            </w:pPr>
          </w:p>
        </w:tc>
        <w:tc>
          <w:tcPr>
            <w:tcW w:w="892" w:type="dxa"/>
            <w:vAlign w:val="center"/>
          </w:tcPr>
          <w:p w14:paraId="7311A999">
            <w:pPr>
              <w:jc w:val="center"/>
            </w:pPr>
          </w:p>
        </w:tc>
        <w:tc>
          <w:tcPr>
            <w:tcW w:w="1375" w:type="dxa"/>
            <w:vAlign w:val="center"/>
          </w:tcPr>
          <w:p w14:paraId="07A446BA">
            <w:pPr>
              <w:jc w:val="center"/>
            </w:pPr>
          </w:p>
        </w:tc>
        <w:tc>
          <w:tcPr>
            <w:tcW w:w="1056" w:type="dxa"/>
            <w:vAlign w:val="center"/>
          </w:tcPr>
          <w:p w14:paraId="4439EFAA">
            <w:pPr>
              <w:jc w:val="center"/>
            </w:pPr>
          </w:p>
        </w:tc>
        <w:tc>
          <w:tcPr>
            <w:tcW w:w="1285" w:type="dxa"/>
            <w:vAlign w:val="center"/>
          </w:tcPr>
          <w:p w14:paraId="7DAC1908">
            <w:pPr>
              <w:jc w:val="center"/>
            </w:pPr>
          </w:p>
        </w:tc>
        <w:tc>
          <w:tcPr>
            <w:tcW w:w="846" w:type="dxa"/>
            <w:vAlign w:val="center"/>
          </w:tcPr>
          <w:p w14:paraId="4E4944A9">
            <w:pPr>
              <w:jc w:val="center"/>
            </w:pPr>
          </w:p>
        </w:tc>
        <w:tc>
          <w:tcPr>
            <w:tcW w:w="1039" w:type="dxa"/>
            <w:vAlign w:val="center"/>
          </w:tcPr>
          <w:p w14:paraId="6BDBF1DE">
            <w:pPr>
              <w:jc w:val="center"/>
            </w:pPr>
          </w:p>
        </w:tc>
        <w:tc>
          <w:tcPr>
            <w:tcW w:w="1351" w:type="dxa"/>
            <w:vAlign w:val="center"/>
          </w:tcPr>
          <w:p w14:paraId="6FDAAFC1">
            <w:pPr>
              <w:jc w:val="center"/>
            </w:pPr>
          </w:p>
        </w:tc>
      </w:tr>
      <w:tr w14:paraId="1CD6F2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2" w:type="dxa"/>
            <w:vAlign w:val="center"/>
          </w:tcPr>
          <w:p w14:paraId="0A110EDD">
            <w:pPr>
              <w:jc w:val="center"/>
            </w:pPr>
          </w:p>
        </w:tc>
        <w:tc>
          <w:tcPr>
            <w:tcW w:w="1395" w:type="dxa"/>
            <w:vAlign w:val="center"/>
          </w:tcPr>
          <w:p w14:paraId="4B73F878">
            <w:pPr>
              <w:jc w:val="center"/>
            </w:pPr>
          </w:p>
        </w:tc>
        <w:tc>
          <w:tcPr>
            <w:tcW w:w="892" w:type="dxa"/>
            <w:vAlign w:val="center"/>
          </w:tcPr>
          <w:p w14:paraId="3B0FF8AC">
            <w:pPr>
              <w:jc w:val="center"/>
            </w:pPr>
          </w:p>
        </w:tc>
        <w:tc>
          <w:tcPr>
            <w:tcW w:w="1375" w:type="dxa"/>
            <w:vAlign w:val="center"/>
          </w:tcPr>
          <w:p w14:paraId="6EC3B998">
            <w:pPr>
              <w:jc w:val="center"/>
            </w:pPr>
          </w:p>
        </w:tc>
        <w:tc>
          <w:tcPr>
            <w:tcW w:w="1056" w:type="dxa"/>
            <w:vAlign w:val="center"/>
          </w:tcPr>
          <w:p w14:paraId="65B3F7A0">
            <w:pPr>
              <w:jc w:val="center"/>
            </w:pPr>
          </w:p>
        </w:tc>
        <w:tc>
          <w:tcPr>
            <w:tcW w:w="1285" w:type="dxa"/>
            <w:vAlign w:val="center"/>
          </w:tcPr>
          <w:p w14:paraId="442F9542">
            <w:pPr>
              <w:jc w:val="center"/>
            </w:pPr>
          </w:p>
        </w:tc>
        <w:tc>
          <w:tcPr>
            <w:tcW w:w="846" w:type="dxa"/>
            <w:vAlign w:val="center"/>
          </w:tcPr>
          <w:p w14:paraId="707DE089">
            <w:pPr>
              <w:jc w:val="center"/>
            </w:pPr>
          </w:p>
        </w:tc>
        <w:tc>
          <w:tcPr>
            <w:tcW w:w="1039" w:type="dxa"/>
            <w:vAlign w:val="center"/>
          </w:tcPr>
          <w:p w14:paraId="281BE6A0">
            <w:pPr>
              <w:jc w:val="center"/>
            </w:pPr>
          </w:p>
        </w:tc>
        <w:tc>
          <w:tcPr>
            <w:tcW w:w="1351" w:type="dxa"/>
            <w:vAlign w:val="center"/>
          </w:tcPr>
          <w:p w14:paraId="516B4F88">
            <w:pPr>
              <w:jc w:val="center"/>
            </w:pPr>
          </w:p>
        </w:tc>
      </w:tr>
      <w:tr w14:paraId="622E57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2" w:type="dxa"/>
            <w:vAlign w:val="center"/>
          </w:tcPr>
          <w:p w14:paraId="7D1711B3">
            <w:pPr>
              <w:jc w:val="center"/>
            </w:pPr>
          </w:p>
        </w:tc>
        <w:tc>
          <w:tcPr>
            <w:tcW w:w="1395" w:type="dxa"/>
            <w:vAlign w:val="center"/>
          </w:tcPr>
          <w:p w14:paraId="790F0B8A">
            <w:pPr>
              <w:jc w:val="center"/>
            </w:pPr>
          </w:p>
        </w:tc>
        <w:tc>
          <w:tcPr>
            <w:tcW w:w="892" w:type="dxa"/>
            <w:vAlign w:val="center"/>
          </w:tcPr>
          <w:p w14:paraId="513AB5BA">
            <w:pPr>
              <w:jc w:val="center"/>
            </w:pPr>
          </w:p>
        </w:tc>
        <w:tc>
          <w:tcPr>
            <w:tcW w:w="1375" w:type="dxa"/>
            <w:vAlign w:val="center"/>
          </w:tcPr>
          <w:p w14:paraId="545A7F81">
            <w:pPr>
              <w:jc w:val="center"/>
            </w:pPr>
          </w:p>
        </w:tc>
        <w:tc>
          <w:tcPr>
            <w:tcW w:w="1056" w:type="dxa"/>
            <w:vAlign w:val="center"/>
          </w:tcPr>
          <w:p w14:paraId="2EDA5706">
            <w:pPr>
              <w:jc w:val="center"/>
            </w:pPr>
          </w:p>
        </w:tc>
        <w:tc>
          <w:tcPr>
            <w:tcW w:w="1285" w:type="dxa"/>
            <w:vAlign w:val="center"/>
          </w:tcPr>
          <w:p w14:paraId="09494EE2">
            <w:pPr>
              <w:jc w:val="center"/>
            </w:pPr>
          </w:p>
        </w:tc>
        <w:tc>
          <w:tcPr>
            <w:tcW w:w="846" w:type="dxa"/>
            <w:vAlign w:val="center"/>
          </w:tcPr>
          <w:p w14:paraId="5C63F570">
            <w:pPr>
              <w:jc w:val="center"/>
            </w:pPr>
          </w:p>
        </w:tc>
        <w:tc>
          <w:tcPr>
            <w:tcW w:w="1039" w:type="dxa"/>
            <w:vAlign w:val="center"/>
          </w:tcPr>
          <w:p w14:paraId="01CBB284">
            <w:pPr>
              <w:jc w:val="center"/>
            </w:pPr>
          </w:p>
        </w:tc>
        <w:tc>
          <w:tcPr>
            <w:tcW w:w="1351" w:type="dxa"/>
            <w:vAlign w:val="center"/>
          </w:tcPr>
          <w:p w14:paraId="7E8C29D9">
            <w:pPr>
              <w:jc w:val="center"/>
            </w:pPr>
          </w:p>
        </w:tc>
      </w:tr>
      <w:tr w14:paraId="137CE5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2" w:type="dxa"/>
            <w:vAlign w:val="center"/>
          </w:tcPr>
          <w:p w14:paraId="26CCA4CC">
            <w:pPr>
              <w:jc w:val="center"/>
            </w:pPr>
          </w:p>
        </w:tc>
        <w:tc>
          <w:tcPr>
            <w:tcW w:w="1395" w:type="dxa"/>
            <w:vAlign w:val="center"/>
          </w:tcPr>
          <w:p w14:paraId="13DADB03">
            <w:pPr>
              <w:jc w:val="center"/>
            </w:pPr>
          </w:p>
        </w:tc>
        <w:tc>
          <w:tcPr>
            <w:tcW w:w="892" w:type="dxa"/>
            <w:vAlign w:val="center"/>
          </w:tcPr>
          <w:p w14:paraId="4E10BEB5">
            <w:pPr>
              <w:jc w:val="center"/>
            </w:pPr>
          </w:p>
        </w:tc>
        <w:tc>
          <w:tcPr>
            <w:tcW w:w="1375" w:type="dxa"/>
            <w:vAlign w:val="center"/>
          </w:tcPr>
          <w:p w14:paraId="7370FD91">
            <w:pPr>
              <w:jc w:val="center"/>
            </w:pPr>
          </w:p>
        </w:tc>
        <w:tc>
          <w:tcPr>
            <w:tcW w:w="1056" w:type="dxa"/>
            <w:vAlign w:val="center"/>
          </w:tcPr>
          <w:p w14:paraId="50BC9F62">
            <w:pPr>
              <w:jc w:val="center"/>
            </w:pPr>
          </w:p>
        </w:tc>
        <w:tc>
          <w:tcPr>
            <w:tcW w:w="1285" w:type="dxa"/>
            <w:vAlign w:val="center"/>
          </w:tcPr>
          <w:p w14:paraId="6F3B483E">
            <w:pPr>
              <w:jc w:val="center"/>
            </w:pPr>
          </w:p>
        </w:tc>
        <w:tc>
          <w:tcPr>
            <w:tcW w:w="846" w:type="dxa"/>
            <w:vAlign w:val="center"/>
          </w:tcPr>
          <w:p w14:paraId="504F63F7">
            <w:pPr>
              <w:jc w:val="center"/>
            </w:pPr>
          </w:p>
        </w:tc>
        <w:tc>
          <w:tcPr>
            <w:tcW w:w="1039" w:type="dxa"/>
            <w:vAlign w:val="center"/>
          </w:tcPr>
          <w:p w14:paraId="10BAD4DF">
            <w:pPr>
              <w:jc w:val="center"/>
            </w:pPr>
          </w:p>
        </w:tc>
        <w:tc>
          <w:tcPr>
            <w:tcW w:w="1351" w:type="dxa"/>
            <w:vAlign w:val="center"/>
          </w:tcPr>
          <w:p w14:paraId="6A853631">
            <w:pPr>
              <w:jc w:val="center"/>
            </w:pPr>
          </w:p>
        </w:tc>
      </w:tr>
      <w:tr w14:paraId="24AA90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2" w:type="dxa"/>
            <w:vAlign w:val="center"/>
          </w:tcPr>
          <w:p w14:paraId="396CB343">
            <w:pPr>
              <w:jc w:val="center"/>
            </w:pPr>
          </w:p>
        </w:tc>
        <w:tc>
          <w:tcPr>
            <w:tcW w:w="1395" w:type="dxa"/>
            <w:vAlign w:val="center"/>
          </w:tcPr>
          <w:p w14:paraId="1A25F55F">
            <w:pPr>
              <w:jc w:val="center"/>
            </w:pPr>
          </w:p>
        </w:tc>
        <w:tc>
          <w:tcPr>
            <w:tcW w:w="892" w:type="dxa"/>
            <w:vAlign w:val="center"/>
          </w:tcPr>
          <w:p w14:paraId="3D4303CC">
            <w:pPr>
              <w:jc w:val="center"/>
            </w:pPr>
          </w:p>
        </w:tc>
        <w:tc>
          <w:tcPr>
            <w:tcW w:w="1375" w:type="dxa"/>
            <w:vAlign w:val="center"/>
          </w:tcPr>
          <w:p w14:paraId="4EF56B1F">
            <w:pPr>
              <w:jc w:val="center"/>
            </w:pPr>
          </w:p>
        </w:tc>
        <w:tc>
          <w:tcPr>
            <w:tcW w:w="1056" w:type="dxa"/>
            <w:vAlign w:val="center"/>
          </w:tcPr>
          <w:p w14:paraId="381B5F13">
            <w:pPr>
              <w:jc w:val="center"/>
            </w:pPr>
          </w:p>
        </w:tc>
        <w:tc>
          <w:tcPr>
            <w:tcW w:w="1285" w:type="dxa"/>
            <w:vAlign w:val="center"/>
          </w:tcPr>
          <w:p w14:paraId="0D1B3B70">
            <w:pPr>
              <w:jc w:val="center"/>
            </w:pPr>
          </w:p>
        </w:tc>
        <w:tc>
          <w:tcPr>
            <w:tcW w:w="846" w:type="dxa"/>
            <w:vAlign w:val="center"/>
          </w:tcPr>
          <w:p w14:paraId="68C401DD">
            <w:pPr>
              <w:jc w:val="center"/>
            </w:pPr>
          </w:p>
        </w:tc>
        <w:tc>
          <w:tcPr>
            <w:tcW w:w="1039" w:type="dxa"/>
            <w:vAlign w:val="center"/>
          </w:tcPr>
          <w:p w14:paraId="428874BE">
            <w:pPr>
              <w:jc w:val="center"/>
            </w:pPr>
          </w:p>
        </w:tc>
        <w:tc>
          <w:tcPr>
            <w:tcW w:w="1351" w:type="dxa"/>
            <w:vAlign w:val="center"/>
          </w:tcPr>
          <w:p w14:paraId="07F387BA">
            <w:pPr>
              <w:jc w:val="center"/>
            </w:pPr>
          </w:p>
        </w:tc>
      </w:tr>
      <w:tr w14:paraId="527650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2" w:type="dxa"/>
            <w:vAlign w:val="center"/>
          </w:tcPr>
          <w:p w14:paraId="3E841ACB">
            <w:pPr>
              <w:jc w:val="center"/>
            </w:pPr>
          </w:p>
        </w:tc>
        <w:tc>
          <w:tcPr>
            <w:tcW w:w="1395" w:type="dxa"/>
            <w:vAlign w:val="center"/>
          </w:tcPr>
          <w:p w14:paraId="6D04B389">
            <w:pPr>
              <w:jc w:val="center"/>
            </w:pPr>
          </w:p>
        </w:tc>
        <w:tc>
          <w:tcPr>
            <w:tcW w:w="892" w:type="dxa"/>
            <w:vAlign w:val="center"/>
          </w:tcPr>
          <w:p w14:paraId="68688E25">
            <w:pPr>
              <w:jc w:val="center"/>
            </w:pPr>
          </w:p>
        </w:tc>
        <w:tc>
          <w:tcPr>
            <w:tcW w:w="1375" w:type="dxa"/>
            <w:vAlign w:val="center"/>
          </w:tcPr>
          <w:p w14:paraId="0E22198E">
            <w:pPr>
              <w:jc w:val="center"/>
            </w:pPr>
          </w:p>
        </w:tc>
        <w:tc>
          <w:tcPr>
            <w:tcW w:w="1056" w:type="dxa"/>
            <w:vAlign w:val="center"/>
          </w:tcPr>
          <w:p w14:paraId="4D3B1694">
            <w:pPr>
              <w:jc w:val="center"/>
            </w:pPr>
          </w:p>
        </w:tc>
        <w:tc>
          <w:tcPr>
            <w:tcW w:w="1285" w:type="dxa"/>
            <w:vAlign w:val="center"/>
          </w:tcPr>
          <w:p w14:paraId="6EDE1C3B">
            <w:pPr>
              <w:jc w:val="center"/>
            </w:pPr>
          </w:p>
        </w:tc>
        <w:tc>
          <w:tcPr>
            <w:tcW w:w="846" w:type="dxa"/>
            <w:vAlign w:val="center"/>
          </w:tcPr>
          <w:p w14:paraId="59EDF5EC">
            <w:pPr>
              <w:jc w:val="center"/>
            </w:pPr>
          </w:p>
        </w:tc>
        <w:tc>
          <w:tcPr>
            <w:tcW w:w="1039" w:type="dxa"/>
            <w:vAlign w:val="center"/>
          </w:tcPr>
          <w:p w14:paraId="19004D8E">
            <w:pPr>
              <w:jc w:val="center"/>
            </w:pPr>
          </w:p>
        </w:tc>
        <w:tc>
          <w:tcPr>
            <w:tcW w:w="1351" w:type="dxa"/>
            <w:vAlign w:val="center"/>
          </w:tcPr>
          <w:p w14:paraId="3BAC0CDD">
            <w:pPr>
              <w:jc w:val="center"/>
            </w:pPr>
          </w:p>
        </w:tc>
      </w:tr>
      <w:tr w14:paraId="255901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2" w:type="dxa"/>
            <w:vAlign w:val="center"/>
          </w:tcPr>
          <w:p w14:paraId="2001E740">
            <w:pPr>
              <w:jc w:val="center"/>
            </w:pPr>
          </w:p>
        </w:tc>
        <w:tc>
          <w:tcPr>
            <w:tcW w:w="1395" w:type="dxa"/>
            <w:vAlign w:val="center"/>
          </w:tcPr>
          <w:p w14:paraId="04113308">
            <w:pPr>
              <w:jc w:val="center"/>
            </w:pPr>
          </w:p>
        </w:tc>
        <w:tc>
          <w:tcPr>
            <w:tcW w:w="892" w:type="dxa"/>
            <w:vAlign w:val="center"/>
          </w:tcPr>
          <w:p w14:paraId="22DF76E6">
            <w:pPr>
              <w:jc w:val="center"/>
            </w:pPr>
          </w:p>
        </w:tc>
        <w:tc>
          <w:tcPr>
            <w:tcW w:w="1375" w:type="dxa"/>
            <w:vAlign w:val="center"/>
          </w:tcPr>
          <w:p w14:paraId="71E129D9">
            <w:pPr>
              <w:jc w:val="center"/>
            </w:pPr>
          </w:p>
        </w:tc>
        <w:tc>
          <w:tcPr>
            <w:tcW w:w="1056" w:type="dxa"/>
            <w:vAlign w:val="center"/>
          </w:tcPr>
          <w:p w14:paraId="660F50EE">
            <w:pPr>
              <w:jc w:val="center"/>
            </w:pPr>
          </w:p>
        </w:tc>
        <w:tc>
          <w:tcPr>
            <w:tcW w:w="1285" w:type="dxa"/>
            <w:vAlign w:val="center"/>
          </w:tcPr>
          <w:p w14:paraId="74A0B843">
            <w:pPr>
              <w:jc w:val="center"/>
            </w:pPr>
          </w:p>
        </w:tc>
        <w:tc>
          <w:tcPr>
            <w:tcW w:w="846" w:type="dxa"/>
            <w:vAlign w:val="center"/>
          </w:tcPr>
          <w:p w14:paraId="54C9E191">
            <w:pPr>
              <w:jc w:val="center"/>
            </w:pPr>
          </w:p>
        </w:tc>
        <w:tc>
          <w:tcPr>
            <w:tcW w:w="1039" w:type="dxa"/>
            <w:vAlign w:val="center"/>
          </w:tcPr>
          <w:p w14:paraId="5FDF61FF">
            <w:pPr>
              <w:jc w:val="center"/>
            </w:pPr>
          </w:p>
        </w:tc>
        <w:tc>
          <w:tcPr>
            <w:tcW w:w="1351" w:type="dxa"/>
            <w:vAlign w:val="center"/>
          </w:tcPr>
          <w:p w14:paraId="17BF6A2D">
            <w:pPr>
              <w:jc w:val="center"/>
            </w:pPr>
          </w:p>
        </w:tc>
      </w:tr>
      <w:tr w14:paraId="165CBC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2" w:type="dxa"/>
            <w:vAlign w:val="center"/>
          </w:tcPr>
          <w:p w14:paraId="6299DFC9">
            <w:pPr>
              <w:jc w:val="center"/>
            </w:pPr>
          </w:p>
        </w:tc>
        <w:tc>
          <w:tcPr>
            <w:tcW w:w="1395" w:type="dxa"/>
            <w:vAlign w:val="center"/>
          </w:tcPr>
          <w:p w14:paraId="442B0CA4">
            <w:pPr>
              <w:jc w:val="center"/>
            </w:pPr>
          </w:p>
        </w:tc>
        <w:tc>
          <w:tcPr>
            <w:tcW w:w="892" w:type="dxa"/>
            <w:vAlign w:val="center"/>
          </w:tcPr>
          <w:p w14:paraId="4290DBA0">
            <w:pPr>
              <w:jc w:val="center"/>
            </w:pPr>
          </w:p>
        </w:tc>
        <w:tc>
          <w:tcPr>
            <w:tcW w:w="1375" w:type="dxa"/>
            <w:vAlign w:val="center"/>
          </w:tcPr>
          <w:p w14:paraId="4A46601E">
            <w:pPr>
              <w:jc w:val="center"/>
            </w:pPr>
          </w:p>
        </w:tc>
        <w:tc>
          <w:tcPr>
            <w:tcW w:w="1056" w:type="dxa"/>
            <w:vAlign w:val="center"/>
          </w:tcPr>
          <w:p w14:paraId="08E23452">
            <w:pPr>
              <w:jc w:val="center"/>
            </w:pPr>
          </w:p>
        </w:tc>
        <w:tc>
          <w:tcPr>
            <w:tcW w:w="1285" w:type="dxa"/>
            <w:vAlign w:val="center"/>
          </w:tcPr>
          <w:p w14:paraId="68FDE3F6">
            <w:pPr>
              <w:jc w:val="center"/>
            </w:pPr>
          </w:p>
        </w:tc>
        <w:tc>
          <w:tcPr>
            <w:tcW w:w="846" w:type="dxa"/>
            <w:vAlign w:val="center"/>
          </w:tcPr>
          <w:p w14:paraId="6F1F3AB7">
            <w:pPr>
              <w:jc w:val="center"/>
            </w:pPr>
          </w:p>
        </w:tc>
        <w:tc>
          <w:tcPr>
            <w:tcW w:w="1039" w:type="dxa"/>
            <w:vAlign w:val="center"/>
          </w:tcPr>
          <w:p w14:paraId="1C1C8355">
            <w:pPr>
              <w:jc w:val="center"/>
            </w:pPr>
          </w:p>
        </w:tc>
        <w:tc>
          <w:tcPr>
            <w:tcW w:w="1351" w:type="dxa"/>
            <w:vAlign w:val="center"/>
          </w:tcPr>
          <w:p w14:paraId="0CE7094E">
            <w:pPr>
              <w:jc w:val="center"/>
            </w:pPr>
          </w:p>
        </w:tc>
      </w:tr>
      <w:tr w14:paraId="7C7BE7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2" w:type="dxa"/>
            <w:vAlign w:val="center"/>
          </w:tcPr>
          <w:p w14:paraId="7EB3437A">
            <w:pPr>
              <w:jc w:val="center"/>
            </w:pPr>
          </w:p>
        </w:tc>
        <w:tc>
          <w:tcPr>
            <w:tcW w:w="1395" w:type="dxa"/>
            <w:vAlign w:val="center"/>
          </w:tcPr>
          <w:p w14:paraId="3E309DA6">
            <w:pPr>
              <w:jc w:val="center"/>
            </w:pPr>
          </w:p>
        </w:tc>
        <w:tc>
          <w:tcPr>
            <w:tcW w:w="892" w:type="dxa"/>
            <w:vAlign w:val="center"/>
          </w:tcPr>
          <w:p w14:paraId="6A1CCCBB">
            <w:pPr>
              <w:jc w:val="center"/>
            </w:pPr>
          </w:p>
        </w:tc>
        <w:tc>
          <w:tcPr>
            <w:tcW w:w="1375" w:type="dxa"/>
            <w:vAlign w:val="center"/>
          </w:tcPr>
          <w:p w14:paraId="6DE7238F">
            <w:pPr>
              <w:jc w:val="center"/>
            </w:pPr>
          </w:p>
        </w:tc>
        <w:tc>
          <w:tcPr>
            <w:tcW w:w="1056" w:type="dxa"/>
            <w:vAlign w:val="center"/>
          </w:tcPr>
          <w:p w14:paraId="574C07EE">
            <w:pPr>
              <w:jc w:val="center"/>
            </w:pPr>
          </w:p>
        </w:tc>
        <w:tc>
          <w:tcPr>
            <w:tcW w:w="1285" w:type="dxa"/>
            <w:vAlign w:val="center"/>
          </w:tcPr>
          <w:p w14:paraId="1AD90D5B">
            <w:pPr>
              <w:jc w:val="center"/>
            </w:pPr>
          </w:p>
        </w:tc>
        <w:tc>
          <w:tcPr>
            <w:tcW w:w="846" w:type="dxa"/>
            <w:vAlign w:val="center"/>
          </w:tcPr>
          <w:p w14:paraId="13E21203">
            <w:pPr>
              <w:jc w:val="center"/>
            </w:pPr>
          </w:p>
        </w:tc>
        <w:tc>
          <w:tcPr>
            <w:tcW w:w="1039" w:type="dxa"/>
            <w:vAlign w:val="center"/>
          </w:tcPr>
          <w:p w14:paraId="62D9A82C">
            <w:pPr>
              <w:jc w:val="center"/>
            </w:pPr>
          </w:p>
        </w:tc>
        <w:tc>
          <w:tcPr>
            <w:tcW w:w="1351" w:type="dxa"/>
            <w:vAlign w:val="center"/>
          </w:tcPr>
          <w:p w14:paraId="53158AD5">
            <w:pPr>
              <w:jc w:val="center"/>
            </w:pPr>
          </w:p>
        </w:tc>
      </w:tr>
      <w:tr w14:paraId="575A43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2" w:type="dxa"/>
            <w:vAlign w:val="center"/>
          </w:tcPr>
          <w:p w14:paraId="387EDFB9">
            <w:pPr>
              <w:jc w:val="center"/>
            </w:pPr>
          </w:p>
        </w:tc>
        <w:tc>
          <w:tcPr>
            <w:tcW w:w="1395" w:type="dxa"/>
            <w:vAlign w:val="center"/>
          </w:tcPr>
          <w:p w14:paraId="765992BF">
            <w:pPr>
              <w:jc w:val="center"/>
            </w:pPr>
          </w:p>
        </w:tc>
        <w:tc>
          <w:tcPr>
            <w:tcW w:w="892" w:type="dxa"/>
            <w:vAlign w:val="center"/>
          </w:tcPr>
          <w:p w14:paraId="655FA1B8">
            <w:pPr>
              <w:jc w:val="center"/>
            </w:pPr>
          </w:p>
        </w:tc>
        <w:tc>
          <w:tcPr>
            <w:tcW w:w="1375" w:type="dxa"/>
            <w:vAlign w:val="center"/>
          </w:tcPr>
          <w:p w14:paraId="20CC0542">
            <w:pPr>
              <w:jc w:val="center"/>
            </w:pPr>
          </w:p>
        </w:tc>
        <w:tc>
          <w:tcPr>
            <w:tcW w:w="1056" w:type="dxa"/>
            <w:vAlign w:val="center"/>
          </w:tcPr>
          <w:p w14:paraId="4DF280A7">
            <w:pPr>
              <w:jc w:val="center"/>
            </w:pPr>
          </w:p>
        </w:tc>
        <w:tc>
          <w:tcPr>
            <w:tcW w:w="1285" w:type="dxa"/>
            <w:vAlign w:val="center"/>
          </w:tcPr>
          <w:p w14:paraId="6B3E720A">
            <w:pPr>
              <w:jc w:val="center"/>
            </w:pPr>
          </w:p>
        </w:tc>
        <w:tc>
          <w:tcPr>
            <w:tcW w:w="846" w:type="dxa"/>
            <w:vAlign w:val="center"/>
          </w:tcPr>
          <w:p w14:paraId="55A9CEA3">
            <w:pPr>
              <w:jc w:val="center"/>
            </w:pPr>
          </w:p>
        </w:tc>
        <w:tc>
          <w:tcPr>
            <w:tcW w:w="1039" w:type="dxa"/>
            <w:vAlign w:val="center"/>
          </w:tcPr>
          <w:p w14:paraId="6E69175B">
            <w:pPr>
              <w:jc w:val="center"/>
            </w:pPr>
          </w:p>
        </w:tc>
        <w:tc>
          <w:tcPr>
            <w:tcW w:w="1351" w:type="dxa"/>
            <w:vAlign w:val="center"/>
          </w:tcPr>
          <w:p w14:paraId="50B1FD96">
            <w:pPr>
              <w:jc w:val="center"/>
            </w:pPr>
          </w:p>
        </w:tc>
      </w:tr>
    </w:tbl>
    <w:p w14:paraId="3CD5AD35">
      <w:pPr>
        <w:spacing w:line="440" w:lineRule="exact"/>
        <w:sectPr>
          <w:pgSz w:w="11906" w:h="16838"/>
          <w:pgMar w:top="1417" w:right="1134" w:bottom="1134" w:left="1417" w:header="851" w:footer="850" w:gutter="0"/>
          <w:cols w:space="720" w:num="1"/>
          <w:titlePg/>
          <w:docGrid w:linePitch="312" w:charSpace="0"/>
        </w:sectPr>
      </w:pPr>
    </w:p>
    <w:p w14:paraId="6C628CDD">
      <w:pPr>
        <w:spacing w:line="360" w:lineRule="auto"/>
        <w:jc w:val="left"/>
        <w:rPr>
          <w:b/>
          <w:bCs/>
          <w:szCs w:val="21"/>
        </w:rPr>
      </w:pPr>
      <w:r>
        <w:rPr>
          <w:b/>
          <w:bCs/>
          <w:szCs w:val="21"/>
        </w:rPr>
        <w:t>附表2：拟投入本项目的主要设备或材料表</w:t>
      </w:r>
    </w:p>
    <w:p w14:paraId="1BC2E67C">
      <w:pPr>
        <w:spacing w:line="360" w:lineRule="auto"/>
        <w:jc w:val="left"/>
        <w:rPr>
          <w:b/>
          <w:bCs/>
          <w:szCs w:val="21"/>
          <w:lang w:val="fr-FR"/>
        </w:rPr>
      </w:pPr>
      <w:r>
        <w:rPr>
          <w:b/>
          <w:bCs/>
          <w:szCs w:val="21"/>
          <w:lang w:val="fr-FR"/>
        </w:rPr>
        <w:t>Annexe 2 : Tableau des principaux équipements ou matériaux prévus pour ce projet</w:t>
      </w:r>
    </w:p>
    <w:tbl>
      <w:tblPr>
        <w:tblStyle w:val="31"/>
        <w:tblW w:w="95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06"/>
        <w:gridCol w:w="2059"/>
        <w:gridCol w:w="1104"/>
        <w:gridCol w:w="683"/>
        <w:gridCol w:w="1202"/>
        <w:gridCol w:w="1171"/>
        <w:gridCol w:w="1675"/>
        <w:gridCol w:w="1371"/>
      </w:tblGrid>
      <w:tr w14:paraId="6D2FD6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306" w:type="dxa"/>
            <w:vAlign w:val="center"/>
          </w:tcPr>
          <w:p w14:paraId="1F10E19D">
            <w:pPr>
              <w:rPr>
                <w:szCs w:val="21"/>
              </w:rPr>
            </w:pPr>
            <w:r>
              <w:rPr>
                <w:szCs w:val="21"/>
              </w:rPr>
              <w:t>序号N</w:t>
            </w:r>
          </w:p>
        </w:tc>
        <w:tc>
          <w:tcPr>
            <w:tcW w:w="2059" w:type="dxa"/>
            <w:vAlign w:val="center"/>
          </w:tcPr>
          <w:p w14:paraId="65AC1136">
            <w:pPr>
              <w:jc w:val="center"/>
              <w:rPr>
                <w:szCs w:val="21"/>
              </w:rPr>
            </w:pPr>
            <w:r>
              <w:rPr>
                <w:szCs w:val="21"/>
              </w:rPr>
              <w:t>设备</w:t>
            </w:r>
          </w:p>
          <w:p w14:paraId="151D21E8">
            <w:pPr>
              <w:jc w:val="center"/>
              <w:rPr>
                <w:szCs w:val="21"/>
              </w:rPr>
            </w:pPr>
            <w:r>
              <w:rPr>
                <w:szCs w:val="21"/>
              </w:rPr>
              <w:t>名称Nom de l'équipement</w:t>
            </w:r>
          </w:p>
        </w:tc>
        <w:tc>
          <w:tcPr>
            <w:tcW w:w="1104" w:type="dxa"/>
            <w:vAlign w:val="center"/>
          </w:tcPr>
          <w:p w14:paraId="19AA7A3B">
            <w:pPr>
              <w:jc w:val="center"/>
              <w:rPr>
                <w:szCs w:val="21"/>
              </w:rPr>
            </w:pPr>
            <w:r>
              <w:rPr>
                <w:szCs w:val="21"/>
              </w:rPr>
              <w:t>型号</w:t>
            </w:r>
          </w:p>
          <w:p w14:paraId="3C1FDEB5">
            <w:pPr>
              <w:jc w:val="center"/>
              <w:rPr>
                <w:szCs w:val="21"/>
              </w:rPr>
            </w:pPr>
            <w:r>
              <w:rPr>
                <w:szCs w:val="21"/>
              </w:rPr>
              <w:t>规格Modèle</w:t>
            </w:r>
            <w:r>
              <w:rPr>
                <w:rFonts w:hint="eastAsia"/>
                <w:szCs w:val="21"/>
              </w:rPr>
              <w:t xml:space="preserve"> et Spécifications</w:t>
            </w:r>
          </w:p>
        </w:tc>
        <w:tc>
          <w:tcPr>
            <w:tcW w:w="683" w:type="dxa"/>
            <w:vAlign w:val="center"/>
          </w:tcPr>
          <w:p w14:paraId="2DAFA537">
            <w:pPr>
              <w:jc w:val="center"/>
              <w:rPr>
                <w:szCs w:val="21"/>
              </w:rPr>
            </w:pPr>
            <w:r>
              <w:rPr>
                <w:szCs w:val="21"/>
              </w:rPr>
              <w:t xml:space="preserve">数量Quantité </w:t>
            </w:r>
          </w:p>
        </w:tc>
        <w:tc>
          <w:tcPr>
            <w:tcW w:w="1202" w:type="dxa"/>
            <w:vAlign w:val="center"/>
          </w:tcPr>
          <w:p w14:paraId="4661F231">
            <w:pPr>
              <w:jc w:val="center"/>
              <w:rPr>
                <w:szCs w:val="21"/>
              </w:rPr>
            </w:pPr>
            <w:r>
              <w:rPr>
                <w:szCs w:val="21"/>
              </w:rPr>
              <w:t>国别</w:t>
            </w:r>
          </w:p>
          <w:p w14:paraId="36951905">
            <w:pPr>
              <w:jc w:val="center"/>
              <w:rPr>
                <w:szCs w:val="21"/>
              </w:rPr>
            </w:pPr>
            <w:r>
              <w:rPr>
                <w:szCs w:val="21"/>
              </w:rPr>
              <w:t>产地Pays d'origine</w:t>
            </w:r>
          </w:p>
        </w:tc>
        <w:tc>
          <w:tcPr>
            <w:tcW w:w="1171" w:type="dxa"/>
            <w:vAlign w:val="center"/>
          </w:tcPr>
          <w:p w14:paraId="10ED98C8">
            <w:pPr>
              <w:jc w:val="center"/>
              <w:rPr>
                <w:szCs w:val="21"/>
                <w:lang w:val="fr-FR"/>
              </w:rPr>
            </w:pPr>
            <w:r>
              <w:rPr>
                <w:szCs w:val="21"/>
              </w:rPr>
              <w:t>制造</w:t>
            </w:r>
          </w:p>
          <w:p w14:paraId="060ADA78">
            <w:pPr>
              <w:jc w:val="center"/>
              <w:rPr>
                <w:szCs w:val="21"/>
                <w:lang w:val="fr-FR"/>
              </w:rPr>
            </w:pPr>
            <w:r>
              <w:rPr>
                <w:szCs w:val="21"/>
              </w:rPr>
              <w:t>年份</w:t>
            </w:r>
            <w:r>
              <w:rPr>
                <w:szCs w:val="21"/>
                <w:lang w:val="fr-FR"/>
              </w:rPr>
              <w:t>Année de fabrication</w:t>
            </w:r>
          </w:p>
        </w:tc>
        <w:tc>
          <w:tcPr>
            <w:tcW w:w="1675" w:type="dxa"/>
            <w:vAlign w:val="center"/>
          </w:tcPr>
          <w:p w14:paraId="696BEEB4">
            <w:pPr>
              <w:jc w:val="center"/>
              <w:rPr>
                <w:szCs w:val="21"/>
              </w:rPr>
            </w:pPr>
            <w:r>
              <w:rPr>
                <w:szCs w:val="21"/>
              </w:rPr>
              <w:t>用途Utilisation</w:t>
            </w:r>
          </w:p>
        </w:tc>
        <w:tc>
          <w:tcPr>
            <w:tcW w:w="1371" w:type="dxa"/>
            <w:vAlign w:val="center"/>
          </w:tcPr>
          <w:p w14:paraId="6CB169AC">
            <w:pPr>
              <w:jc w:val="center"/>
              <w:rPr>
                <w:szCs w:val="21"/>
              </w:rPr>
            </w:pPr>
            <w:r>
              <w:rPr>
                <w:szCs w:val="21"/>
              </w:rPr>
              <w:t>备注Remarques</w:t>
            </w:r>
          </w:p>
        </w:tc>
      </w:tr>
      <w:tr w14:paraId="132B73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6" w:type="dxa"/>
            <w:vAlign w:val="center"/>
          </w:tcPr>
          <w:p w14:paraId="5F35B5EE">
            <w:pPr>
              <w:jc w:val="center"/>
              <w:rPr>
                <w:szCs w:val="21"/>
              </w:rPr>
            </w:pPr>
          </w:p>
        </w:tc>
        <w:tc>
          <w:tcPr>
            <w:tcW w:w="2059" w:type="dxa"/>
            <w:vAlign w:val="center"/>
          </w:tcPr>
          <w:p w14:paraId="2A91497F">
            <w:pPr>
              <w:jc w:val="center"/>
              <w:rPr>
                <w:szCs w:val="21"/>
              </w:rPr>
            </w:pPr>
          </w:p>
        </w:tc>
        <w:tc>
          <w:tcPr>
            <w:tcW w:w="1104" w:type="dxa"/>
            <w:vAlign w:val="center"/>
          </w:tcPr>
          <w:p w14:paraId="22BD6568">
            <w:pPr>
              <w:jc w:val="center"/>
              <w:rPr>
                <w:szCs w:val="21"/>
              </w:rPr>
            </w:pPr>
          </w:p>
        </w:tc>
        <w:tc>
          <w:tcPr>
            <w:tcW w:w="683" w:type="dxa"/>
            <w:vAlign w:val="center"/>
          </w:tcPr>
          <w:p w14:paraId="56E7F935">
            <w:pPr>
              <w:jc w:val="center"/>
              <w:rPr>
                <w:szCs w:val="21"/>
              </w:rPr>
            </w:pPr>
          </w:p>
        </w:tc>
        <w:tc>
          <w:tcPr>
            <w:tcW w:w="1202" w:type="dxa"/>
            <w:vAlign w:val="center"/>
          </w:tcPr>
          <w:p w14:paraId="1C504976">
            <w:pPr>
              <w:jc w:val="center"/>
              <w:rPr>
                <w:szCs w:val="21"/>
              </w:rPr>
            </w:pPr>
          </w:p>
        </w:tc>
        <w:tc>
          <w:tcPr>
            <w:tcW w:w="1171" w:type="dxa"/>
            <w:vAlign w:val="center"/>
          </w:tcPr>
          <w:p w14:paraId="4F1EFA39">
            <w:pPr>
              <w:jc w:val="center"/>
              <w:rPr>
                <w:szCs w:val="21"/>
              </w:rPr>
            </w:pPr>
          </w:p>
        </w:tc>
        <w:tc>
          <w:tcPr>
            <w:tcW w:w="1675" w:type="dxa"/>
            <w:vAlign w:val="center"/>
          </w:tcPr>
          <w:p w14:paraId="72724C0C">
            <w:pPr>
              <w:jc w:val="center"/>
              <w:rPr>
                <w:szCs w:val="21"/>
              </w:rPr>
            </w:pPr>
          </w:p>
        </w:tc>
        <w:tc>
          <w:tcPr>
            <w:tcW w:w="1371" w:type="dxa"/>
            <w:vAlign w:val="center"/>
          </w:tcPr>
          <w:p w14:paraId="25DC656B">
            <w:pPr>
              <w:jc w:val="center"/>
              <w:rPr>
                <w:szCs w:val="21"/>
              </w:rPr>
            </w:pPr>
          </w:p>
        </w:tc>
      </w:tr>
      <w:tr w14:paraId="5CDDC7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6" w:type="dxa"/>
            <w:vAlign w:val="center"/>
          </w:tcPr>
          <w:p w14:paraId="04FA7667">
            <w:pPr>
              <w:jc w:val="center"/>
              <w:rPr>
                <w:szCs w:val="21"/>
              </w:rPr>
            </w:pPr>
          </w:p>
        </w:tc>
        <w:tc>
          <w:tcPr>
            <w:tcW w:w="2059" w:type="dxa"/>
            <w:vAlign w:val="center"/>
          </w:tcPr>
          <w:p w14:paraId="179D07CA">
            <w:pPr>
              <w:jc w:val="center"/>
              <w:rPr>
                <w:szCs w:val="21"/>
              </w:rPr>
            </w:pPr>
          </w:p>
        </w:tc>
        <w:tc>
          <w:tcPr>
            <w:tcW w:w="1104" w:type="dxa"/>
            <w:vAlign w:val="center"/>
          </w:tcPr>
          <w:p w14:paraId="7E4096F6">
            <w:pPr>
              <w:jc w:val="center"/>
              <w:rPr>
                <w:szCs w:val="21"/>
              </w:rPr>
            </w:pPr>
          </w:p>
        </w:tc>
        <w:tc>
          <w:tcPr>
            <w:tcW w:w="683" w:type="dxa"/>
            <w:vAlign w:val="center"/>
          </w:tcPr>
          <w:p w14:paraId="0EEC5F9E">
            <w:pPr>
              <w:jc w:val="center"/>
              <w:rPr>
                <w:szCs w:val="21"/>
              </w:rPr>
            </w:pPr>
          </w:p>
        </w:tc>
        <w:tc>
          <w:tcPr>
            <w:tcW w:w="1202" w:type="dxa"/>
            <w:vAlign w:val="center"/>
          </w:tcPr>
          <w:p w14:paraId="1D1CFACE">
            <w:pPr>
              <w:jc w:val="center"/>
              <w:rPr>
                <w:szCs w:val="21"/>
              </w:rPr>
            </w:pPr>
          </w:p>
        </w:tc>
        <w:tc>
          <w:tcPr>
            <w:tcW w:w="1171" w:type="dxa"/>
            <w:vAlign w:val="center"/>
          </w:tcPr>
          <w:p w14:paraId="7BCE7278">
            <w:pPr>
              <w:jc w:val="center"/>
              <w:rPr>
                <w:szCs w:val="21"/>
              </w:rPr>
            </w:pPr>
          </w:p>
        </w:tc>
        <w:tc>
          <w:tcPr>
            <w:tcW w:w="1675" w:type="dxa"/>
            <w:vAlign w:val="center"/>
          </w:tcPr>
          <w:p w14:paraId="3A0A6A4B">
            <w:pPr>
              <w:jc w:val="center"/>
              <w:rPr>
                <w:szCs w:val="21"/>
              </w:rPr>
            </w:pPr>
          </w:p>
        </w:tc>
        <w:tc>
          <w:tcPr>
            <w:tcW w:w="1371" w:type="dxa"/>
            <w:vAlign w:val="center"/>
          </w:tcPr>
          <w:p w14:paraId="3C9C8D19">
            <w:pPr>
              <w:jc w:val="center"/>
              <w:rPr>
                <w:szCs w:val="21"/>
              </w:rPr>
            </w:pPr>
          </w:p>
        </w:tc>
      </w:tr>
      <w:tr w14:paraId="5E4F06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6" w:type="dxa"/>
          </w:tcPr>
          <w:p w14:paraId="4335CEA4">
            <w:pPr>
              <w:jc w:val="center"/>
              <w:rPr>
                <w:szCs w:val="21"/>
              </w:rPr>
            </w:pPr>
          </w:p>
        </w:tc>
        <w:tc>
          <w:tcPr>
            <w:tcW w:w="2059" w:type="dxa"/>
          </w:tcPr>
          <w:p w14:paraId="02454897">
            <w:pPr>
              <w:jc w:val="center"/>
              <w:rPr>
                <w:szCs w:val="21"/>
              </w:rPr>
            </w:pPr>
          </w:p>
        </w:tc>
        <w:tc>
          <w:tcPr>
            <w:tcW w:w="1104" w:type="dxa"/>
          </w:tcPr>
          <w:p w14:paraId="36FE889F">
            <w:pPr>
              <w:jc w:val="center"/>
              <w:rPr>
                <w:szCs w:val="21"/>
              </w:rPr>
            </w:pPr>
          </w:p>
        </w:tc>
        <w:tc>
          <w:tcPr>
            <w:tcW w:w="683" w:type="dxa"/>
          </w:tcPr>
          <w:p w14:paraId="5DCC0558">
            <w:pPr>
              <w:jc w:val="center"/>
              <w:rPr>
                <w:szCs w:val="21"/>
              </w:rPr>
            </w:pPr>
          </w:p>
        </w:tc>
        <w:tc>
          <w:tcPr>
            <w:tcW w:w="1202" w:type="dxa"/>
          </w:tcPr>
          <w:p w14:paraId="76F5D9AE">
            <w:pPr>
              <w:jc w:val="center"/>
              <w:rPr>
                <w:szCs w:val="21"/>
              </w:rPr>
            </w:pPr>
          </w:p>
        </w:tc>
        <w:tc>
          <w:tcPr>
            <w:tcW w:w="1171" w:type="dxa"/>
          </w:tcPr>
          <w:p w14:paraId="50ACEACF">
            <w:pPr>
              <w:jc w:val="center"/>
              <w:rPr>
                <w:szCs w:val="21"/>
              </w:rPr>
            </w:pPr>
          </w:p>
        </w:tc>
        <w:tc>
          <w:tcPr>
            <w:tcW w:w="1675" w:type="dxa"/>
          </w:tcPr>
          <w:p w14:paraId="14B8F81E">
            <w:pPr>
              <w:jc w:val="center"/>
              <w:rPr>
                <w:szCs w:val="21"/>
              </w:rPr>
            </w:pPr>
          </w:p>
        </w:tc>
        <w:tc>
          <w:tcPr>
            <w:tcW w:w="1371" w:type="dxa"/>
          </w:tcPr>
          <w:p w14:paraId="1713667A">
            <w:pPr>
              <w:jc w:val="center"/>
              <w:rPr>
                <w:szCs w:val="21"/>
              </w:rPr>
            </w:pPr>
          </w:p>
        </w:tc>
      </w:tr>
      <w:tr w14:paraId="6FCAAA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6" w:type="dxa"/>
          </w:tcPr>
          <w:p w14:paraId="18A7EF40">
            <w:pPr>
              <w:jc w:val="center"/>
              <w:rPr>
                <w:szCs w:val="21"/>
              </w:rPr>
            </w:pPr>
          </w:p>
        </w:tc>
        <w:tc>
          <w:tcPr>
            <w:tcW w:w="2059" w:type="dxa"/>
          </w:tcPr>
          <w:p w14:paraId="7D922B82">
            <w:pPr>
              <w:jc w:val="center"/>
              <w:rPr>
                <w:szCs w:val="21"/>
              </w:rPr>
            </w:pPr>
          </w:p>
        </w:tc>
        <w:tc>
          <w:tcPr>
            <w:tcW w:w="1104" w:type="dxa"/>
          </w:tcPr>
          <w:p w14:paraId="6B9C2272">
            <w:pPr>
              <w:jc w:val="center"/>
              <w:rPr>
                <w:szCs w:val="21"/>
              </w:rPr>
            </w:pPr>
          </w:p>
        </w:tc>
        <w:tc>
          <w:tcPr>
            <w:tcW w:w="683" w:type="dxa"/>
          </w:tcPr>
          <w:p w14:paraId="5FE251F1">
            <w:pPr>
              <w:jc w:val="center"/>
              <w:rPr>
                <w:szCs w:val="21"/>
              </w:rPr>
            </w:pPr>
          </w:p>
        </w:tc>
        <w:tc>
          <w:tcPr>
            <w:tcW w:w="1202" w:type="dxa"/>
          </w:tcPr>
          <w:p w14:paraId="086E855D">
            <w:pPr>
              <w:jc w:val="center"/>
              <w:rPr>
                <w:szCs w:val="21"/>
              </w:rPr>
            </w:pPr>
          </w:p>
        </w:tc>
        <w:tc>
          <w:tcPr>
            <w:tcW w:w="1171" w:type="dxa"/>
          </w:tcPr>
          <w:p w14:paraId="12FEE91A">
            <w:pPr>
              <w:jc w:val="center"/>
              <w:rPr>
                <w:szCs w:val="21"/>
              </w:rPr>
            </w:pPr>
          </w:p>
        </w:tc>
        <w:tc>
          <w:tcPr>
            <w:tcW w:w="1675" w:type="dxa"/>
          </w:tcPr>
          <w:p w14:paraId="58413348">
            <w:pPr>
              <w:jc w:val="center"/>
              <w:rPr>
                <w:szCs w:val="21"/>
              </w:rPr>
            </w:pPr>
          </w:p>
        </w:tc>
        <w:tc>
          <w:tcPr>
            <w:tcW w:w="1371" w:type="dxa"/>
          </w:tcPr>
          <w:p w14:paraId="58592AC5">
            <w:pPr>
              <w:jc w:val="center"/>
              <w:rPr>
                <w:szCs w:val="21"/>
              </w:rPr>
            </w:pPr>
          </w:p>
        </w:tc>
      </w:tr>
      <w:tr w14:paraId="2DF349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06" w:type="dxa"/>
          </w:tcPr>
          <w:p w14:paraId="4D03546B">
            <w:pPr>
              <w:jc w:val="center"/>
              <w:rPr>
                <w:szCs w:val="21"/>
              </w:rPr>
            </w:pPr>
          </w:p>
        </w:tc>
        <w:tc>
          <w:tcPr>
            <w:tcW w:w="2059" w:type="dxa"/>
          </w:tcPr>
          <w:p w14:paraId="13CA5A20">
            <w:pPr>
              <w:jc w:val="center"/>
              <w:rPr>
                <w:szCs w:val="21"/>
              </w:rPr>
            </w:pPr>
          </w:p>
        </w:tc>
        <w:tc>
          <w:tcPr>
            <w:tcW w:w="1104" w:type="dxa"/>
          </w:tcPr>
          <w:p w14:paraId="54F03B84">
            <w:pPr>
              <w:jc w:val="center"/>
              <w:rPr>
                <w:szCs w:val="21"/>
              </w:rPr>
            </w:pPr>
          </w:p>
        </w:tc>
        <w:tc>
          <w:tcPr>
            <w:tcW w:w="683" w:type="dxa"/>
          </w:tcPr>
          <w:p w14:paraId="1F281225">
            <w:pPr>
              <w:jc w:val="center"/>
              <w:rPr>
                <w:szCs w:val="21"/>
              </w:rPr>
            </w:pPr>
          </w:p>
        </w:tc>
        <w:tc>
          <w:tcPr>
            <w:tcW w:w="1202" w:type="dxa"/>
          </w:tcPr>
          <w:p w14:paraId="5F4CCB17">
            <w:pPr>
              <w:jc w:val="center"/>
              <w:rPr>
                <w:szCs w:val="21"/>
              </w:rPr>
            </w:pPr>
          </w:p>
        </w:tc>
        <w:tc>
          <w:tcPr>
            <w:tcW w:w="1171" w:type="dxa"/>
          </w:tcPr>
          <w:p w14:paraId="20180D4B">
            <w:pPr>
              <w:jc w:val="center"/>
              <w:rPr>
                <w:szCs w:val="21"/>
              </w:rPr>
            </w:pPr>
          </w:p>
        </w:tc>
        <w:tc>
          <w:tcPr>
            <w:tcW w:w="1675" w:type="dxa"/>
          </w:tcPr>
          <w:p w14:paraId="55C2CB37">
            <w:pPr>
              <w:jc w:val="center"/>
              <w:rPr>
                <w:szCs w:val="21"/>
              </w:rPr>
            </w:pPr>
          </w:p>
        </w:tc>
        <w:tc>
          <w:tcPr>
            <w:tcW w:w="1371" w:type="dxa"/>
          </w:tcPr>
          <w:p w14:paraId="2CFAD612">
            <w:pPr>
              <w:jc w:val="center"/>
              <w:rPr>
                <w:szCs w:val="21"/>
              </w:rPr>
            </w:pPr>
          </w:p>
        </w:tc>
      </w:tr>
      <w:tr w14:paraId="5E96D5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6" w:type="dxa"/>
          </w:tcPr>
          <w:p w14:paraId="694E1ED9">
            <w:pPr>
              <w:jc w:val="center"/>
              <w:rPr>
                <w:szCs w:val="21"/>
              </w:rPr>
            </w:pPr>
          </w:p>
        </w:tc>
        <w:tc>
          <w:tcPr>
            <w:tcW w:w="2059" w:type="dxa"/>
          </w:tcPr>
          <w:p w14:paraId="75025BAC">
            <w:pPr>
              <w:jc w:val="center"/>
              <w:rPr>
                <w:szCs w:val="21"/>
              </w:rPr>
            </w:pPr>
          </w:p>
        </w:tc>
        <w:tc>
          <w:tcPr>
            <w:tcW w:w="1104" w:type="dxa"/>
          </w:tcPr>
          <w:p w14:paraId="7683C473">
            <w:pPr>
              <w:jc w:val="center"/>
              <w:rPr>
                <w:szCs w:val="21"/>
              </w:rPr>
            </w:pPr>
          </w:p>
        </w:tc>
        <w:tc>
          <w:tcPr>
            <w:tcW w:w="683" w:type="dxa"/>
          </w:tcPr>
          <w:p w14:paraId="3814706E">
            <w:pPr>
              <w:jc w:val="center"/>
              <w:rPr>
                <w:szCs w:val="21"/>
              </w:rPr>
            </w:pPr>
          </w:p>
        </w:tc>
        <w:tc>
          <w:tcPr>
            <w:tcW w:w="1202" w:type="dxa"/>
          </w:tcPr>
          <w:p w14:paraId="032A0129">
            <w:pPr>
              <w:jc w:val="center"/>
              <w:rPr>
                <w:szCs w:val="21"/>
              </w:rPr>
            </w:pPr>
          </w:p>
        </w:tc>
        <w:tc>
          <w:tcPr>
            <w:tcW w:w="1171" w:type="dxa"/>
          </w:tcPr>
          <w:p w14:paraId="7D7B2329">
            <w:pPr>
              <w:jc w:val="center"/>
              <w:rPr>
                <w:szCs w:val="21"/>
              </w:rPr>
            </w:pPr>
          </w:p>
        </w:tc>
        <w:tc>
          <w:tcPr>
            <w:tcW w:w="1675" w:type="dxa"/>
          </w:tcPr>
          <w:p w14:paraId="7800CE9C">
            <w:pPr>
              <w:jc w:val="center"/>
              <w:rPr>
                <w:szCs w:val="21"/>
              </w:rPr>
            </w:pPr>
          </w:p>
        </w:tc>
        <w:tc>
          <w:tcPr>
            <w:tcW w:w="1371" w:type="dxa"/>
          </w:tcPr>
          <w:p w14:paraId="52032B09">
            <w:pPr>
              <w:jc w:val="center"/>
              <w:rPr>
                <w:szCs w:val="21"/>
              </w:rPr>
            </w:pPr>
          </w:p>
        </w:tc>
      </w:tr>
      <w:tr w14:paraId="34364A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6" w:type="dxa"/>
          </w:tcPr>
          <w:p w14:paraId="5B8B87E5">
            <w:pPr>
              <w:jc w:val="center"/>
              <w:rPr>
                <w:szCs w:val="21"/>
              </w:rPr>
            </w:pPr>
          </w:p>
        </w:tc>
        <w:tc>
          <w:tcPr>
            <w:tcW w:w="2059" w:type="dxa"/>
          </w:tcPr>
          <w:p w14:paraId="12E937D5">
            <w:pPr>
              <w:jc w:val="center"/>
              <w:rPr>
                <w:szCs w:val="21"/>
              </w:rPr>
            </w:pPr>
          </w:p>
        </w:tc>
        <w:tc>
          <w:tcPr>
            <w:tcW w:w="1104" w:type="dxa"/>
          </w:tcPr>
          <w:p w14:paraId="180F9F7A">
            <w:pPr>
              <w:jc w:val="center"/>
              <w:rPr>
                <w:szCs w:val="21"/>
              </w:rPr>
            </w:pPr>
          </w:p>
        </w:tc>
        <w:tc>
          <w:tcPr>
            <w:tcW w:w="683" w:type="dxa"/>
          </w:tcPr>
          <w:p w14:paraId="2A65CE88">
            <w:pPr>
              <w:jc w:val="center"/>
              <w:rPr>
                <w:szCs w:val="21"/>
              </w:rPr>
            </w:pPr>
          </w:p>
        </w:tc>
        <w:tc>
          <w:tcPr>
            <w:tcW w:w="1202" w:type="dxa"/>
          </w:tcPr>
          <w:p w14:paraId="1EB10EA0">
            <w:pPr>
              <w:jc w:val="center"/>
              <w:rPr>
                <w:szCs w:val="21"/>
              </w:rPr>
            </w:pPr>
          </w:p>
        </w:tc>
        <w:tc>
          <w:tcPr>
            <w:tcW w:w="1171" w:type="dxa"/>
          </w:tcPr>
          <w:p w14:paraId="098AD417">
            <w:pPr>
              <w:jc w:val="center"/>
              <w:rPr>
                <w:szCs w:val="21"/>
              </w:rPr>
            </w:pPr>
          </w:p>
        </w:tc>
        <w:tc>
          <w:tcPr>
            <w:tcW w:w="1675" w:type="dxa"/>
          </w:tcPr>
          <w:p w14:paraId="2DF7202B">
            <w:pPr>
              <w:jc w:val="center"/>
              <w:rPr>
                <w:szCs w:val="21"/>
              </w:rPr>
            </w:pPr>
          </w:p>
        </w:tc>
        <w:tc>
          <w:tcPr>
            <w:tcW w:w="1371" w:type="dxa"/>
          </w:tcPr>
          <w:p w14:paraId="7C99D2BB">
            <w:pPr>
              <w:jc w:val="center"/>
              <w:rPr>
                <w:szCs w:val="21"/>
              </w:rPr>
            </w:pPr>
          </w:p>
        </w:tc>
      </w:tr>
      <w:tr w14:paraId="357734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6" w:type="dxa"/>
          </w:tcPr>
          <w:p w14:paraId="21CA0A9B">
            <w:pPr>
              <w:jc w:val="center"/>
              <w:rPr>
                <w:szCs w:val="21"/>
              </w:rPr>
            </w:pPr>
          </w:p>
        </w:tc>
        <w:tc>
          <w:tcPr>
            <w:tcW w:w="2059" w:type="dxa"/>
          </w:tcPr>
          <w:p w14:paraId="5F05A1FE">
            <w:pPr>
              <w:jc w:val="center"/>
              <w:rPr>
                <w:szCs w:val="21"/>
              </w:rPr>
            </w:pPr>
          </w:p>
        </w:tc>
        <w:tc>
          <w:tcPr>
            <w:tcW w:w="1104" w:type="dxa"/>
          </w:tcPr>
          <w:p w14:paraId="76246443">
            <w:pPr>
              <w:jc w:val="center"/>
              <w:rPr>
                <w:szCs w:val="21"/>
              </w:rPr>
            </w:pPr>
          </w:p>
        </w:tc>
        <w:tc>
          <w:tcPr>
            <w:tcW w:w="683" w:type="dxa"/>
          </w:tcPr>
          <w:p w14:paraId="6D275A1E">
            <w:pPr>
              <w:jc w:val="center"/>
              <w:rPr>
                <w:szCs w:val="21"/>
              </w:rPr>
            </w:pPr>
          </w:p>
        </w:tc>
        <w:tc>
          <w:tcPr>
            <w:tcW w:w="1202" w:type="dxa"/>
          </w:tcPr>
          <w:p w14:paraId="19B933CD">
            <w:pPr>
              <w:jc w:val="center"/>
              <w:rPr>
                <w:szCs w:val="21"/>
              </w:rPr>
            </w:pPr>
          </w:p>
        </w:tc>
        <w:tc>
          <w:tcPr>
            <w:tcW w:w="1171" w:type="dxa"/>
          </w:tcPr>
          <w:p w14:paraId="7104FF89">
            <w:pPr>
              <w:jc w:val="center"/>
              <w:rPr>
                <w:szCs w:val="21"/>
              </w:rPr>
            </w:pPr>
          </w:p>
        </w:tc>
        <w:tc>
          <w:tcPr>
            <w:tcW w:w="1675" w:type="dxa"/>
          </w:tcPr>
          <w:p w14:paraId="67CC1038">
            <w:pPr>
              <w:jc w:val="center"/>
              <w:rPr>
                <w:szCs w:val="21"/>
              </w:rPr>
            </w:pPr>
          </w:p>
        </w:tc>
        <w:tc>
          <w:tcPr>
            <w:tcW w:w="1371" w:type="dxa"/>
          </w:tcPr>
          <w:p w14:paraId="1A973273">
            <w:pPr>
              <w:jc w:val="center"/>
              <w:rPr>
                <w:szCs w:val="21"/>
              </w:rPr>
            </w:pPr>
          </w:p>
        </w:tc>
      </w:tr>
      <w:tr w14:paraId="117142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6" w:type="dxa"/>
          </w:tcPr>
          <w:p w14:paraId="391895DC">
            <w:pPr>
              <w:jc w:val="center"/>
              <w:rPr>
                <w:szCs w:val="21"/>
              </w:rPr>
            </w:pPr>
          </w:p>
        </w:tc>
        <w:tc>
          <w:tcPr>
            <w:tcW w:w="2059" w:type="dxa"/>
          </w:tcPr>
          <w:p w14:paraId="7F39DCA7">
            <w:pPr>
              <w:jc w:val="center"/>
              <w:rPr>
                <w:szCs w:val="21"/>
              </w:rPr>
            </w:pPr>
          </w:p>
        </w:tc>
        <w:tc>
          <w:tcPr>
            <w:tcW w:w="1104" w:type="dxa"/>
          </w:tcPr>
          <w:p w14:paraId="69D2FAA9">
            <w:pPr>
              <w:jc w:val="center"/>
              <w:rPr>
                <w:szCs w:val="21"/>
              </w:rPr>
            </w:pPr>
          </w:p>
        </w:tc>
        <w:tc>
          <w:tcPr>
            <w:tcW w:w="683" w:type="dxa"/>
          </w:tcPr>
          <w:p w14:paraId="5DE7194F">
            <w:pPr>
              <w:jc w:val="center"/>
              <w:rPr>
                <w:szCs w:val="21"/>
              </w:rPr>
            </w:pPr>
          </w:p>
        </w:tc>
        <w:tc>
          <w:tcPr>
            <w:tcW w:w="1202" w:type="dxa"/>
          </w:tcPr>
          <w:p w14:paraId="05C2C578">
            <w:pPr>
              <w:jc w:val="center"/>
              <w:rPr>
                <w:szCs w:val="21"/>
              </w:rPr>
            </w:pPr>
          </w:p>
        </w:tc>
        <w:tc>
          <w:tcPr>
            <w:tcW w:w="1171" w:type="dxa"/>
          </w:tcPr>
          <w:p w14:paraId="1C1E30F0">
            <w:pPr>
              <w:jc w:val="center"/>
              <w:rPr>
                <w:szCs w:val="21"/>
              </w:rPr>
            </w:pPr>
          </w:p>
        </w:tc>
        <w:tc>
          <w:tcPr>
            <w:tcW w:w="1675" w:type="dxa"/>
          </w:tcPr>
          <w:p w14:paraId="4D481E56">
            <w:pPr>
              <w:jc w:val="center"/>
              <w:rPr>
                <w:szCs w:val="21"/>
              </w:rPr>
            </w:pPr>
          </w:p>
        </w:tc>
        <w:tc>
          <w:tcPr>
            <w:tcW w:w="1371" w:type="dxa"/>
          </w:tcPr>
          <w:p w14:paraId="62C09717">
            <w:pPr>
              <w:jc w:val="center"/>
              <w:rPr>
                <w:szCs w:val="21"/>
              </w:rPr>
            </w:pPr>
          </w:p>
        </w:tc>
      </w:tr>
      <w:tr w14:paraId="0457AA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6" w:type="dxa"/>
          </w:tcPr>
          <w:p w14:paraId="4123EADB">
            <w:pPr>
              <w:jc w:val="center"/>
              <w:rPr>
                <w:szCs w:val="21"/>
              </w:rPr>
            </w:pPr>
          </w:p>
        </w:tc>
        <w:tc>
          <w:tcPr>
            <w:tcW w:w="2059" w:type="dxa"/>
          </w:tcPr>
          <w:p w14:paraId="19F5B292">
            <w:pPr>
              <w:jc w:val="center"/>
              <w:rPr>
                <w:szCs w:val="21"/>
              </w:rPr>
            </w:pPr>
          </w:p>
        </w:tc>
        <w:tc>
          <w:tcPr>
            <w:tcW w:w="1104" w:type="dxa"/>
          </w:tcPr>
          <w:p w14:paraId="01D04ACF">
            <w:pPr>
              <w:jc w:val="center"/>
              <w:rPr>
                <w:szCs w:val="21"/>
              </w:rPr>
            </w:pPr>
          </w:p>
        </w:tc>
        <w:tc>
          <w:tcPr>
            <w:tcW w:w="683" w:type="dxa"/>
          </w:tcPr>
          <w:p w14:paraId="2ED28A6B">
            <w:pPr>
              <w:jc w:val="center"/>
              <w:rPr>
                <w:szCs w:val="21"/>
              </w:rPr>
            </w:pPr>
          </w:p>
        </w:tc>
        <w:tc>
          <w:tcPr>
            <w:tcW w:w="1202" w:type="dxa"/>
          </w:tcPr>
          <w:p w14:paraId="5E14EC96">
            <w:pPr>
              <w:jc w:val="center"/>
              <w:rPr>
                <w:szCs w:val="21"/>
              </w:rPr>
            </w:pPr>
          </w:p>
        </w:tc>
        <w:tc>
          <w:tcPr>
            <w:tcW w:w="1171" w:type="dxa"/>
          </w:tcPr>
          <w:p w14:paraId="63C50C6F">
            <w:pPr>
              <w:jc w:val="center"/>
              <w:rPr>
                <w:szCs w:val="21"/>
              </w:rPr>
            </w:pPr>
          </w:p>
        </w:tc>
        <w:tc>
          <w:tcPr>
            <w:tcW w:w="1675" w:type="dxa"/>
          </w:tcPr>
          <w:p w14:paraId="197AE547">
            <w:pPr>
              <w:jc w:val="center"/>
              <w:rPr>
                <w:szCs w:val="21"/>
              </w:rPr>
            </w:pPr>
          </w:p>
        </w:tc>
        <w:tc>
          <w:tcPr>
            <w:tcW w:w="1371" w:type="dxa"/>
          </w:tcPr>
          <w:p w14:paraId="1ABA9E4D">
            <w:pPr>
              <w:jc w:val="center"/>
              <w:rPr>
                <w:szCs w:val="21"/>
              </w:rPr>
            </w:pPr>
          </w:p>
        </w:tc>
      </w:tr>
      <w:tr w14:paraId="5A1E72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6" w:type="dxa"/>
          </w:tcPr>
          <w:p w14:paraId="323D17E8">
            <w:pPr>
              <w:jc w:val="center"/>
              <w:rPr>
                <w:szCs w:val="21"/>
              </w:rPr>
            </w:pPr>
          </w:p>
        </w:tc>
        <w:tc>
          <w:tcPr>
            <w:tcW w:w="2059" w:type="dxa"/>
          </w:tcPr>
          <w:p w14:paraId="6CCAE88F">
            <w:pPr>
              <w:jc w:val="center"/>
              <w:rPr>
                <w:szCs w:val="21"/>
              </w:rPr>
            </w:pPr>
          </w:p>
        </w:tc>
        <w:tc>
          <w:tcPr>
            <w:tcW w:w="1104" w:type="dxa"/>
          </w:tcPr>
          <w:p w14:paraId="3F48A884">
            <w:pPr>
              <w:jc w:val="center"/>
              <w:rPr>
                <w:szCs w:val="21"/>
              </w:rPr>
            </w:pPr>
          </w:p>
        </w:tc>
        <w:tc>
          <w:tcPr>
            <w:tcW w:w="683" w:type="dxa"/>
          </w:tcPr>
          <w:p w14:paraId="61759F73">
            <w:pPr>
              <w:jc w:val="center"/>
              <w:rPr>
                <w:szCs w:val="21"/>
              </w:rPr>
            </w:pPr>
          </w:p>
        </w:tc>
        <w:tc>
          <w:tcPr>
            <w:tcW w:w="1202" w:type="dxa"/>
          </w:tcPr>
          <w:p w14:paraId="7872F443">
            <w:pPr>
              <w:jc w:val="center"/>
              <w:rPr>
                <w:szCs w:val="21"/>
              </w:rPr>
            </w:pPr>
          </w:p>
        </w:tc>
        <w:tc>
          <w:tcPr>
            <w:tcW w:w="1171" w:type="dxa"/>
          </w:tcPr>
          <w:p w14:paraId="6D11A759">
            <w:pPr>
              <w:jc w:val="center"/>
              <w:rPr>
                <w:szCs w:val="21"/>
              </w:rPr>
            </w:pPr>
          </w:p>
        </w:tc>
        <w:tc>
          <w:tcPr>
            <w:tcW w:w="1675" w:type="dxa"/>
          </w:tcPr>
          <w:p w14:paraId="594DE8A8">
            <w:pPr>
              <w:jc w:val="center"/>
              <w:rPr>
                <w:szCs w:val="21"/>
              </w:rPr>
            </w:pPr>
          </w:p>
        </w:tc>
        <w:tc>
          <w:tcPr>
            <w:tcW w:w="1371" w:type="dxa"/>
          </w:tcPr>
          <w:p w14:paraId="1CE36174">
            <w:pPr>
              <w:jc w:val="center"/>
              <w:rPr>
                <w:szCs w:val="21"/>
              </w:rPr>
            </w:pPr>
          </w:p>
        </w:tc>
      </w:tr>
      <w:tr w14:paraId="30E28A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6" w:type="dxa"/>
          </w:tcPr>
          <w:p w14:paraId="5D1FB1D9">
            <w:pPr>
              <w:jc w:val="center"/>
              <w:rPr>
                <w:szCs w:val="21"/>
              </w:rPr>
            </w:pPr>
          </w:p>
        </w:tc>
        <w:tc>
          <w:tcPr>
            <w:tcW w:w="2059" w:type="dxa"/>
          </w:tcPr>
          <w:p w14:paraId="23F6B03E">
            <w:pPr>
              <w:jc w:val="center"/>
              <w:rPr>
                <w:szCs w:val="21"/>
              </w:rPr>
            </w:pPr>
          </w:p>
        </w:tc>
        <w:tc>
          <w:tcPr>
            <w:tcW w:w="1104" w:type="dxa"/>
          </w:tcPr>
          <w:p w14:paraId="49D40F44">
            <w:pPr>
              <w:jc w:val="center"/>
              <w:rPr>
                <w:szCs w:val="21"/>
              </w:rPr>
            </w:pPr>
          </w:p>
        </w:tc>
        <w:tc>
          <w:tcPr>
            <w:tcW w:w="683" w:type="dxa"/>
          </w:tcPr>
          <w:p w14:paraId="675A8E40">
            <w:pPr>
              <w:jc w:val="center"/>
              <w:rPr>
                <w:szCs w:val="21"/>
              </w:rPr>
            </w:pPr>
          </w:p>
        </w:tc>
        <w:tc>
          <w:tcPr>
            <w:tcW w:w="1202" w:type="dxa"/>
          </w:tcPr>
          <w:p w14:paraId="18101255">
            <w:pPr>
              <w:jc w:val="center"/>
              <w:rPr>
                <w:szCs w:val="21"/>
              </w:rPr>
            </w:pPr>
          </w:p>
        </w:tc>
        <w:tc>
          <w:tcPr>
            <w:tcW w:w="1171" w:type="dxa"/>
          </w:tcPr>
          <w:p w14:paraId="3B9BFBA1">
            <w:pPr>
              <w:jc w:val="center"/>
              <w:rPr>
                <w:szCs w:val="21"/>
              </w:rPr>
            </w:pPr>
          </w:p>
        </w:tc>
        <w:tc>
          <w:tcPr>
            <w:tcW w:w="1675" w:type="dxa"/>
          </w:tcPr>
          <w:p w14:paraId="6A112488">
            <w:pPr>
              <w:jc w:val="center"/>
              <w:rPr>
                <w:szCs w:val="21"/>
              </w:rPr>
            </w:pPr>
          </w:p>
        </w:tc>
        <w:tc>
          <w:tcPr>
            <w:tcW w:w="1371" w:type="dxa"/>
          </w:tcPr>
          <w:p w14:paraId="2EB35577">
            <w:pPr>
              <w:jc w:val="center"/>
              <w:rPr>
                <w:szCs w:val="21"/>
              </w:rPr>
            </w:pPr>
          </w:p>
        </w:tc>
      </w:tr>
      <w:tr w14:paraId="0CCBE3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06" w:type="dxa"/>
          </w:tcPr>
          <w:p w14:paraId="7DF49D43">
            <w:pPr>
              <w:jc w:val="center"/>
              <w:rPr>
                <w:szCs w:val="21"/>
              </w:rPr>
            </w:pPr>
          </w:p>
        </w:tc>
        <w:tc>
          <w:tcPr>
            <w:tcW w:w="2059" w:type="dxa"/>
          </w:tcPr>
          <w:p w14:paraId="2C4200A9">
            <w:pPr>
              <w:jc w:val="center"/>
              <w:rPr>
                <w:szCs w:val="21"/>
              </w:rPr>
            </w:pPr>
          </w:p>
        </w:tc>
        <w:tc>
          <w:tcPr>
            <w:tcW w:w="1104" w:type="dxa"/>
          </w:tcPr>
          <w:p w14:paraId="7B202DD4">
            <w:pPr>
              <w:jc w:val="center"/>
              <w:rPr>
                <w:szCs w:val="21"/>
              </w:rPr>
            </w:pPr>
          </w:p>
        </w:tc>
        <w:tc>
          <w:tcPr>
            <w:tcW w:w="683" w:type="dxa"/>
          </w:tcPr>
          <w:p w14:paraId="1C8B2770">
            <w:pPr>
              <w:jc w:val="center"/>
              <w:rPr>
                <w:szCs w:val="21"/>
              </w:rPr>
            </w:pPr>
          </w:p>
        </w:tc>
        <w:tc>
          <w:tcPr>
            <w:tcW w:w="1202" w:type="dxa"/>
          </w:tcPr>
          <w:p w14:paraId="2174AC43">
            <w:pPr>
              <w:jc w:val="center"/>
              <w:rPr>
                <w:szCs w:val="21"/>
              </w:rPr>
            </w:pPr>
          </w:p>
        </w:tc>
        <w:tc>
          <w:tcPr>
            <w:tcW w:w="1171" w:type="dxa"/>
          </w:tcPr>
          <w:p w14:paraId="14013F23">
            <w:pPr>
              <w:jc w:val="center"/>
              <w:rPr>
                <w:szCs w:val="21"/>
              </w:rPr>
            </w:pPr>
          </w:p>
        </w:tc>
        <w:tc>
          <w:tcPr>
            <w:tcW w:w="1675" w:type="dxa"/>
          </w:tcPr>
          <w:p w14:paraId="0EDFEF6B">
            <w:pPr>
              <w:jc w:val="center"/>
              <w:rPr>
                <w:szCs w:val="21"/>
              </w:rPr>
            </w:pPr>
          </w:p>
        </w:tc>
        <w:tc>
          <w:tcPr>
            <w:tcW w:w="1371" w:type="dxa"/>
          </w:tcPr>
          <w:p w14:paraId="3FF09D35">
            <w:pPr>
              <w:jc w:val="center"/>
              <w:rPr>
                <w:szCs w:val="21"/>
              </w:rPr>
            </w:pPr>
          </w:p>
        </w:tc>
      </w:tr>
      <w:tr w14:paraId="7E52EE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6" w:type="dxa"/>
          </w:tcPr>
          <w:p w14:paraId="04D35488">
            <w:pPr>
              <w:jc w:val="center"/>
              <w:rPr>
                <w:szCs w:val="21"/>
              </w:rPr>
            </w:pPr>
          </w:p>
        </w:tc>
        <w:tc>
          <w:tcPr>
            <w:tcW w:w="2059" w:type="dxa"/>
          </w:tcPr>
          <w:p w14:paraId="3A5E85DA">
            <w:pPr>
              <w:jc w:val="center"/>
              <w:rPr>
                <w:szCs w:val="21"/>
              </w:rPr>
            </w:pPr>
          </w:p>
        </w:tc>
        <w:tc>
          <w:tcPr>
            <w:tcW w:w="1104" w:type="dxa"/>
          </w:tcPr>
          <w:p w14:paraId="5741C89F">
            <w:pPr>
              <w:jc w:val="center"/>
              <w:rPr>
                <w:szCs w:val="21"/>
              </w:rPr>
            </w:pPr>
          </w:p>
        </w:tc>
        <w:tc>
          <w:tcPr>
            <w:tcW w:w="683" w:type="dxa"/>
          </w:tcPr>
          <w:p w14:paraId="11BA6018">
            <w:pPr>
              <w:jc w:val="center"/>
              <w:rPr>
                <w:szCs w:val="21"/>
              </w:rPr>
            </w:pPr>
          </w:p>
        </w:tc>
        <w:tc>
          <w:tcPr>
            <w:tcW w:w="1202" w:type="dxa"/>
          </w:tcPr>
          <w:p w14:paraId="36053483">
            <w:pPr>
              <w:jc w:val="center"/>
              <w:rPr>
                <w:szCs w:val="21"/>
              </w:rPr>
            </w:pPr>
          </w:p>
        </w:tc>
        <w:tc>
          <w:tcPr>
            <w:tcW w:w="1171" w:type="dxa"/>
          </w:tcPr>
          <w:p w14:paraId="00BC5D7C">
            <w:pPr>
              <w:jc w:val="center"/>
              <w:rPr>
                <w:szCs w:val="21"/>
              </w:rPr>
            </w:pPr>
          </w:p>
        </w:tc>
        <w:tc>
          <w:tcPr>
            <w:tcW w:w="1675" w:type="dxa"/>
          </w:tcPr>
          <w:p w14:paraId="555B13FF">
            <w:pPr>
              <w:jc w:val="center"/>
              <w:rPr>
                <w:szCs w:val="21"/>
              </w:rPr>
            </w:pPr>
          </w:p>
        </w:tc>
        <w:tc>
          <w:tcPr>
            <w:tcW w:w="1371" w:type="dxa"/>
          </w:tcPr>
          <w:p w14:paraId="221AEF16">
            <w:pPr>
              <w:jc w:val="center"/>
              <w:rPr>
                <w:szCs w:val="21"/>
              </w:rPr>
            </w:pPr>
          </w:p>
        </w:tc>
      </w:tr>
      <w:tr w14:paraId="31534E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6" w:type="dxa"/>
          </w:tcPr>
          <w:p w14:paraId="4EA5661F">
            <w:pPr>
              <w:jc w:val="center"/>
              <w:rPr>
                <w:szCs w:val="21"/>
              </w:rPr>
            </w:pPr>
          </w:p>
        </w:tc>
        <w:tc>
          <w:tcPr>
            <w:tcW w:w="2059" w:type="dxa"/>
          </w:tcPr>
          <w:p w14:paraId="3A4B93B2">
            <w:pPr>
              <w:jc w:val="center"/>
              <w:rPr>
                <w:szCs w:val="21"/>
              </w:rPr>
            </w:pPr>
          </w:p>
        </w:tc>
        <w:tc>
          <w:tcPr>
            <w:tcW w:w="1104" w:type="dxa"/>
          </w:tcPr>
          <w:p w14:paraId="006DE4BE">
            <w:pPr>
              <w:jc w:val="center"/>
              <w:rPr>
                <w:szCs w:val="21"/>
              </w:rPr>
            </w:pPr>
          </w:p>
        </w:tc>
        <w:tc>
          <w:tcPr>
            <w:tcW w:w="683" w:type="dxa"/>
          </w:tcPr>
          <w:p w14:paraId="12ECEEAB">
            <w:pPr>
              <w:jc w:val="center"/>
              <w:rPr>
                <w:szCs w:val="21"/>
              </w:rPr>
            </w:pPr>
          </w:p>
        </w:tc>
        <w:tc>
          <w:tcPr>
            <w:tcW w:w="1202" w:type="dxa"/>
          </w:tcPr>
          <w:p w14:paraId="268CDEF4">
            <w:pPr>
              <w:jc w:val="center"/>
              <w:rPr>
                <w:szCs w:val="21"/>
              </w:rPr>
            </w:pPr>
          </w:p>
        </w:tc>
        <w:tc>
          <w:tcPr>
            <w:tcW w:w="1171" w:type="dxa"/>
          </w:tcPr>
          <w:p w14:paraId="05520AE7">
            <w:pPr>
              <w:jc w:val="center"/>
              <w:rPr>
                <w:szCs w:val="21"/>
              </w:rPr>
            </w:pPr>
          </w:p>
        </w:tc>
        <w:tc>
          <w:tcPr>
            <w:tcW w:w="1675" w:type="dxa"/>
          </w:tcPr>
          <w:p w14:paraId="3778E9FE">
            <w:pPr>
              <w:jc w:val="center"/>
              <w:rPr>
                <w:szCs w:val="21"/>
              </w:rPr>
            </w:pPr>
          </w:p>
        </w:tc>
        <w:tc>
          <w:tcPr>
            <w:tcW w:w="1371" w:type="dxa"/>
          </w:tcPr>
          <w:p w14:paraId="34B57B98">
            <w:pPr>
              <w:jc w:val="center"/>
              <w:rPr>
                <w:szCs w:val="21"/>
              </w:rPr>
            </w:pPr>
          </w:p>
        </w:tc>
      </w:tr>
      <w:tr w14:paraId="77A5A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6" w:type="dxa"/>
          </w:tcPr>
          <w:p w14:paraId="6408030F">
            <w:pPr>
              <w:jc w:val="center"/>
              <w:rPr>
                <w:szCs w:val="21"/>
              </w:rPr>
            </w:pPr>
          </w:p>
        </w:tc>
        <w:tc>
          <w:tcPr>
            <w:tcW w:w="2059" w:type="dxa"/>
          </w:tcPr>
          <w:p w14:paraId="226A474B">
            <w:pPr>
              <w:jc w:val="center"/>
              <w:rPr>
                <w:szCs w:val="21"/>
              </w:rPr>
            </w:pPr>
          </w:p>
        </w:tc>
        <w:tc>
          <w:tcPr>
            <w:tcW w:w="1104" w:type="dxa"/>
          </w:tcPr>
          <w:p w14:paraId="623DD0DA">
            <w:pPr>
              <w:jc w:val="center"/>
              <w:rPr>
                <w:szCs w:val="21"/>
              </w:rPr>
            </w:pPr>
          </w:p>
        </w:tc>
        <w:tc>
          <w:tcPr>
            <w:tcW w:w="683" w:type="dxa"/>
          </w:tcPr>
          <w:p w14:paraId="78821568">
            <w:pPr>
              <w:jc w:val="center"/>
              <w:rPr>
                <w:szCs w:val="21"/>
              </w:rPr>
            </w:pPr>
          </w:p>
        </w:tc>
        <w:tc>
          <w:tcPr>
            <w:tcW w:w="1202" w:type="dxa"/>
          </w:tcPr>
          <w:p w14:paraId="317C2B4C">
            <w:pPr>
              <w:jc w:val="center"/>
              <w:rPr>
                <w:szCs w:val="21"/>
              </w:rPr>
            </w:pPr>
          </w:p>
        </w:tc>
        <w:tc>
          <w:tcPr>
            <w:tcW w:w="1171" w:type="dxa"/>
          </w:tcPr>
          <w:p w14:paraId="0395C779">
            <w:pPr>
              <w:jc w:val="center"/>
              <w:rPr>
                <w:szCs w:val="21"/>
              </w:rPr>
            </w:pPr>
          </w:p>
        </w:tc>
        <w:tc>
          <w:tcPr>
            <w:tcW w:w="1675" w:type="dxa"/>
          </w:tcPr>
          <w:p w14:paraId="24121DAA">
            <w:pPr>
              <w:jc w:val="center"/>
              <w:rPr>
                <w:szCs w:val="21"/>
              </w:rPr>
            </w:pPr>
          </w:p>
        </w:tc>
        <w:tc>
          <w:tcPr>
            <w:tcW w:w="1371" w:type="dxa"/>
          </w:tcPr>
          <w:p w14:paraId="6608B8C7">
            <w:pPr>
              <w:jc w:val="center"/>
              <w:rPr>
                <w:szCs w:val="21"/>
              </w:rPr>
            </w:pPr>
          </w:p>
        </w:tc>
      </w:tr>
      <w:tr w14:paraId="12B27C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6" w:type="dxa"/>
          </w:tcPr>
          <w:p w14:paraId="2953FE44">
            <w:pPr>
              <w:jc w:val="center"/>
              <w:rPr>
                <w:szCs w:val="21"/>
              </w:rPr>
            </w:pPr>
          </w:p>
        </w:tc>
        <w:tc>
          <w:tcPr>
            <w:tcW w:w="2059" w:type="dxa"/>
          </w:tcPr>
          <w:p w14:paraId="164E51BE">
            <w:pPr>
              <w:jc w:val="center"/>
              <w:rPr>
                <w:szCs w:val="21"/>
              </w:rPr>
            </w:pPr>
          </w:p>
        </w:tc>
        <w:tc>
          <w:tcPr>
            <w:tcW w:w="1104" w:type="dxa"/>
          </w:tcPr>
          <w:p w14:paraId="55A2B419">
            <w:pPr>
              <w:jc w:val="center"/>
              <w:rPr>
                <w:szCs w:val="21"/>
              </w:rPr>
            </w:pPr>
          </w:p>
        </w:tc>
        <w:tc>
          <w:tcPr>
            <w:tcW w:w="683" w:type="dxa"/>
          </w:tcPr>
          <w:p w14:paraId="5DE40742">
            <w:pPr>
              <w:jc w:val="center"/>
              <w:rPr>
                <w:szCs w:val="21"/>
              </w:rPr>
            </w:pPr>
          </w:p>
        </w:tc>
        <w:tc>
          <w:tcPr>
            <w:tcW w:w="1202" w:type="dxa"/>
          </w:tcPr>
          <w:p w14:paraId="0FF76990">
            <w:pPr>
              <w:jc w:val="center"/>
              <w:rPr>
                <w:szCs w:val="21"/>
              </w:rPr>
            </w:pPr>
          </w:p>
        </w:tc>
        <w:tc>
          <w:tcPr>
            <w:tcW w:w="1171" w:type="dxa"/>
          </w:tcPr>
          <w:p w14:paraId="21997316">
            <w:pPr>
              <w:jc w:val="center"/>
              <w:rPr>
                <w:szCs w:val="21"/>
              </w:rPr>
            </w:pPr>
          </w:p>
        </w:tc>
        <w:tc>
          <w:tcPr>
            <w:tcW w:w="1675" w:type="dxa"/>
          </w:tcPr>
          <w:p w14:paraId="16E0C832">
            <w:pPr>
              <w:jc w:val="center"/>
              <w:rPr>
                <w:szCs w:val="21"/>
              </w:rPr>
            </w:pPr>
          </w:p>
        </w:tc>
        <w:tc>
          <w:tcPr>
            <w:tcW w:w="1371" w:type="dxa"/>
          </w:tcPr>
          <w:p w14:paraId="486CD84A">
            <w:pPr>
              <w:jc w:val="center"/>
              <w:rPr>
                <w:szCs w:val="21"/>
              </w:rPr>
            </w:pPr>
          </w:p>
        </w:tc>
      </w:tr>
      <w:tr w14:paraId="17A2F8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6" w:type="dxa"/>
          </w:tcPr>
          <w:p w14:paraId="6462109B">
            <w:pPr>
              <w:jc w:val="center"/>
              <w:rPr>
                <w:szCs w:val="21"/>
              </w:rPr>
            </w:pPr>
          </w:p>
        </w:tc>
        <w:tc>
          <w:tcPr>
            <w:tcW w:w="2059" w:type="dxa"/>
          </w:tcPr>
          <w:p w14:paraId="2123F828">
            <w:pPr>
              <w:jc w:val="center"/>
              <w:rPr>
                <w:szCs w:val="21"/>
              </w:rPr>
            </w:pPr>
          </w:p>
        </w:tc>
        <w:tc>
          <w:tcPr>
            <w:tcW w:w="1104" w:type="dxa"/>
          </w:tcPr>
          <w:p w14:paraId="7BF3D4F1">
            <w:pPr>
              <w:jc w:val="center"/>
              <w:rPr>
                <w:szCs w:val="21"/>
              </w:rPr>
            </w:pPr>
          </w:p>
        </w:tc>
        <w:tc>
          <w:tcPr>
            <w:tcW w:w="683" w:type="dxa"/>
          </w:tcPr>
          <w:p w14:paraId="543D2D84">
            <w:pPr>
              <w:jc w:val="center"/>
              <w:rPr>
                <w:szCs w:val="21"/>
              </w:rPr>
            </w:pPr>
          </w:p>
        </w:tc>
        <w:tc>
          <w:tcPr>
            <w:tcW w:w="1202" w:type="dxa"/>
          </w:tcPr>
          <w:p w14:paraId="4A08067B">
            <w:pPr>
              <w:jc w:val="center"/>
              <w:rPr>
                <w:szCs w:val="21"/>
              </w:rPr>
            </w:pPr>
          </w:p>
        </w:tc>
        <w:tc>
          <w:tcPr>
            <w:tcW w:w="1171" w:type="dxa"/>
          </w:tcPr>
          <w:p w14:paraId="30ED7B3F">
            <w:pPr>
              <w:jc w:val="center"/>
              <w:rPr>
                <w:szCs w:val="21"/>
              </w:rPr>
            </w:pPr>
          </w:p>
        </w:tc>
        <w:tc>
          <w:tcPr>
            <w:tcW w:w="1675" w:type="dxa"/>
          </w:tcPr>
          <w:p w14:paraId="219DDC35">
            <w:pPr>
              <w:jc w:val="center"/>
              <w:rPr>
                <w:szCs w:val="21"/>
              </w:rPr>
            </w:pPr>
          </w:p>
        </w:tc>
        <w:tc>
          <w:tcPr>
            <w:tcW w:w="1371" w:type="dxa"/>
          </w:tcPr>
          <w:p w14:paraId="40159932">
            <w:pPr>
              <w:jc w:val="center"/>
              <w:rPr>
                <w:szCs w:val="21"/>
              </w:rPr>
            </w:pPr>
          </w:p>
        </w:tc>
      </w:tr>
      <w:tr w14:paraId="75D5DC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6" w:type="dxa"/>
          </w:tcPr>
          <w:p w14:paraId="6236FC57">
            <w:pPr>
              <w:jc w:val="center"/>
              <w:rPr>
                <w:szCs w:val="21"/>
              </w:rPr>
            </w:pPr>
          </w:p>
        </w:tc>
        <w:tc>
          <w:tcPr>
            <w:tcW w:w="2059" w:type="dxa"/>
          </w:tcPr>
          <w:p w14:paraId="727B8E2A">
            <w:pPr>
              <w:jc w:val="center"/>
              <w:rPr>
                <w:szCs w:val="21"/>
              </w:rPr>
            </w:pPr>
          </w:p>
        </w:tc>
        <w:tc>
          <w:tcPr>
            <w:tcW w:w="1104" w:type="dxa"/>
          </w:tcPr>
          <w:p w14:paraId="0909C511">
            <w:pPr>
              <w:jc w:val="center"/>
              <w:rPr>
                <w:szCs w:val="21"/>
              </w:rPr>
            </w:pPr>
          </w:p>
        </w:tc>
        <w:tc>
          <w:tcPr>
            <w:tcW w:w="683" w:type="dxa"/>
          </w:tcPr>
          <w:p w14:paraId="56D9CE8D">
            <w:pPr>
              <w:jc w:val="center"/>
              <w:rPr>
                <w:szCs w:val="21"/>
              </w:rPr>
            </w:pPr>
          </w:p>
        </w:tc>
        <w:tc>
          <w:tcPr>
            <w:tcW w:w="1202" w:type="dxa"/>
          </w:tcPr>
          <w:p w14:paraId="7CD5EBF5">
            <w:pPr>
              <w:jc w:val="center"/>
              <w:rPr>
                <w:szCs w:val="21"/>
              </w:rPr>
            </w:pPr>
          </w:p>
        </w:tc>
        <w:tc>
          <w:tcPr>
            <w:tcW w:w="1171" w:type="dxa"/>
          </w:tcPr>
          <w:p w14:paraId="35CA160F">
            <w:pPr>
              <w:jc w:val="center"/>
              <w:rPr>
                <w:szCs w:val="21"/>
              </w:rPr>
            </w:pPr>
          </w:p>
        </w:tc>
        <w:tc>
          <w:tcPr>
            <w:tcW w:w="1675" w:type="dxa"/>
          </w:tcPr>
          <w:p w14:paraId="24BD0143">
            <w:pPr>
              <w:jc w:val="center"/>
              <w:rPr>
                <w:szCs w:val="21"/>
              </w:rPr>
            </w:pPr>
          </w:p>
        </w:tc>
        <w:tc>
          <w:tcPr>
            <w:tcW w:w="1371" w:type="dxa"/>
          </w:tcPr>
          <w:p w14:paraId="01E62995">
            <w:pPr>
              <w:jc w:val="center"/>
              <w:rPr>
                <w:szCs w:val="21"/>
              </w:rPr>
            </w:pPr>
          </w:p>
        </w:tc>
      </w:tr>
    </w:tbl>
    <w:p w14:paraId="286A6470">
      <w:pPr>
        <w:pStyle w:val="151"/>
        <w:ind w:left="5250"/>
      </w:pPr>
    </w:p>
    <w:p w14:paraId="149BD8B5">
      <w:pPr>
        <w:tabs>
          <w:tab w:val="left" w:pos="720"/>
        </w:tabs>
        <w:adjustRightInd w:val="0"/>
        <w:spacing w:line="360" w:lineRule="auto"/>
        <w:jc w:val="left"/>
        <w:textAlignment w:val="baseline"/>
      </w:pPr>
    </w:p>
    <w:p w14:paraId="39D55E30">
      <w:pPr>
        <w:pStyle w:val="9"/>
        <w:rPr>
          <w:rFonts w:ascii="Times New Roman" w:eastAsia="仿宋"/>
          <w:b/>
          <w:bCs/>
          <w:spacing w:val="-1"/>
          <w:sz w:val="32"/>
          <w:szCs w:val="32"/>
        </w:rPr>
      </w:pPr>
    </w:p>
    <w:p w14:paraId="498B2763"/>
    <w:p w14:paraId="7A72D388">
      <w:pPr>
        <w:tabs>
          <w:tab w:val="left" w:pos="3820"/>
        </w:tabs>
        <w:spacing w:line="360" w:lineRule="auto"/>
        <w:jc w:val="center"/>
        <w:rPr>
          <w:b/>
          <w:bCs/>
          <w:sz w:val="52"/>
          <w:szCs w:val="52"/>
        </w:rPr>
        <w:sectPr>
          <w:pgSz w:w="11906" w:h="16838"/>
          <w:pgMar w:top="1417" w:right="1134" w:bottom="1134" w:left="1417" w:header="851" w:footer="850" w:gutter="0"/>
          <w:cols w:space="720" w:num="1"/>
          <w:titlePg/>
          <w:docGrid w:linePitch="312" w:charSpace="0"/>
        </w:sectPr>
      </w:pPr>
    </w:p>
    <w:p w14:paraId="222A0F0E">
      <w:pPr>
        <w:tabs>
          <w:tab w:val="left" w:pos="3820"/>
        </w:tabs>
        <w:spacing w:line="360" w:lineRule="auto"/>
        <w:jc w:val="center"/>
        <w:rPr>
          <w:b/>
          <w:bCs/>
          <w:sz w:val="52"/>
          <w:szCs w:val="52"/>
        </w:rPr>
      </w:pPr>
    </w:p>
    <w:p w14:paraId="42904F4C">
      <w:pPr>
        <w:tabs>
          <w:tab w:val="left" w:pos="3820"/>
        </w:tabs>
        <w:spacing w:line="360" w:lineRule="auto"/>
        <w:jc w:val="center"/>
        <w:rPr>
          <w:b/>
          <w:bCs/>
          <w:sz w:val="52"/>
          <w:szCs w:val="52"/>
        </w:rPr>
      </w:pPr>
    </w:p>
    <w:p w14:paraId="353EEDD4">
      <w:pPr>
        <w:adjustRightInd w:val="0"/>
        <w:snapToGrid w:val="0"/>
        <w:spacing w:line="360" w:lineRule="auto"/>
        <w:jc w:val="center"/>
        <w:rPr>
          <w:b/>
          <w:bCs/>
          <w:sz w:val="52"/>
          <w:szCs w:val="52"/>
        </w:rPr>
      </w:pPr>
    </w:p>
    <w:p w14:paraId="4A36A1FA">
      <w:pPr>
        <w:adjustRightInd w:val="0"/>
        <w:snapToGrid w:val="0"/>
        <w:spacing w:line="360" w:lineRule="auto"/>
        <w:jc w:val="center"/>
        <w:rPr>
          <w:b/>
          <w:bCs/>
          <w:sz w:val="52"/>
          <w:szCs w:val="52"/>
        </w:rPr>
      </w:pPr>
      <w:r>
        <w:rPr>
          <w:b/>
          <w:bCs/>
          <w:sz w:val="52"/>
          <w:szCs w:val="52"/>
        </w:rPr>
        <w:t xml:space="preserve">公司SOCIETE </w:t>
      </w:r>
      <w:r>
        <w:rPr>
          <w:b/>
          <w:bCs/>
          <w:sz w:val="52"/>
          <w:szCs w:val="52"/>
          <w:u w:val="single"/>
        </w:rPr>
        <w:t>××××</w:t>
      </w:r>
    </w:p>
    <w:p w14:paraId="2CF0C3FF">
      <w:pPr>
        <w:adjustRightInd w:val="0"/>
        <w:snapToGrid w:val="0"/>
        <w:spacing w:line="360" w:lineRule="auto"/>
        <w:jc w:val="center"/>
        <w:rPr>
          <w:b/>
          <w:bCs/>
          <w:sz w:val="52"/>
          <w:szCs w:val="52"/>
        </w:rPr>
      </w:pPr>
      <w:r>
        <w:rPr>
          <w:b/>
          <w:bCs/>
          <w:sz w:val="52"/>
          <w:szCs w:val="52"/>
        </w:rPr>
        <w:t xml:space="preserve">（项目名称nom du projet : </w:t>
      </w:r>
      <w:r>
        <w:rPr>
          <w:b/>
          <w:bCs/>
          <w:sz w:val="52"/>
          <w:szCs w:val="52"/>
          <w:u w:val="single"/>
        </w:rPr>
        <w:t>××××</w:t>
      </w:r>
      <w:r>
        <w:rPr>
          <w:b/>
          <w:bCs/>
          <w:sz w:val="52"/>
          <w:szCs w:val="52"/>
        </w:rPr>
        <w:t>）</w:t>
      </w:r>
    </w:p>
    <w:p w14:paraId="2B9BCEC0">
      <w:pPr>
        <w:jc w:val="center"/>
      </w:pPr>
      <w:r>
        <w:rPr>
          <w:b/>
          <w:bCs/>
          <w:sz w:val="52"/>
          <w:szCs w:val="52"/>
        </w:rPr>
        <w:t>响应文件</w:t>
      </w:r>
      <w:r>
        <w:rPr>
          <w:rFonts w:hint="eastAsia"/>
          <w:b/>
          <w:bCs/>
          <w:sz w:val="52"/>
          <w:szCs w:val="52"/>
        </w:rPr>
        <w:t>B</w:t>
      </w:r>
    </w:p>
    <w:p w14:paraId="13576FAC"/>
    <w:p w14:paraId="1C63DDBF">
      <w:pPr>
        <w:adjustRightInd w:val="0"/>
        <w:spacing w:after="120" w:line="410" w:lineRule="atLeast"/>
        <w:ind w:firstLine="210" w:firstLineChars="100"/>
        <w:jc w:val="left"/>
        <w:textAlignment w:val="baseline"/>
        <w:rPr>
          <w:color w:val="000000"/>
          <w:kern w:val="0"/>
        </w:rPr>
      </w:pPr>
    </w:p>
    <w:p w14:paraId="3E3EAE12">
      <w:pPr>
        <w:jc w:val="center"/>
        <w:rPr>
          <w:b/>
          <w:bCs/>
          <w:sz w:val="52"/>
          <w:szCs w:val="52"/>
          <w:lang w:val="fr-FR"/>
        </w:rPr>
      </w:pPr>
      <w:r>
        <w:rPr>
          <w:b/>
          <w:bCs/>
          <w:sz w:val="52"/>
          <w:szCs w:val="52"/>
          <w:lang w:val="fr-FR"/>
        </w:rPr>
        <w:t xml:space="preserve">Document de réponse </w:t>
      </w:r>
      <w:r>
        <w:rPr>
          <w:rFonts w:hint="eastAsia"/>
          <w:b/>
          <w:bCs/>
          <w:sz w:val="52"/>
          <w:szCs w:val="52"/>
          <w:lang w:val="fr-FR"/>
        </w:rPr>
        <w:t>B</w:t>
      </w:r>
    </w:p>
    <w:p w14:paraId="05A8BF89">
      <w:pPr>
        <w:adjustRightInd w:val="0"/>
        <w:spacing w:after="120" w:line="410" w:lineRule="atLeast"/>
        <w:ind w:firstLine="210" w:firstLineChars="100"/>
        <w:jc w:val="left"/>
        <w:textAlignment w:val="baseline"/>
        <w:rPr>
          <w:color w:val="000000"/>
          <w:kern w:val="0"/>
          <w:lang w:val="fr-FR"/>
        </w:rPr>
      </w:pPr>
    </w:p>
    <w:p w14:paraId="35C899D3">
      <w:pPr>
        <w:rPr>
          <w:lang w:val="fr-FR"/>
        </w:rPr>
      </w:pPr>
    </w:p>
    <w:p w14:paraId="6BC21030">
      <w:pPr>
        <w:rPr>
          <w:lang w:val="fr-FR"/>
        </w:rPr>
      </w:pPr>
    </w:p>
    <w:p w14:paraId="0EF3E7CB">
      <w:pPr>
        <w:pStyle w:val="29"/>
        <w:ind w:firstLine="210"/>
        <w:rPr>
          <w:rFonts w:ascii="Times New Roman" w:hAnsi="Times New Roman"/>
          <w:color w:val="auto"/>
          <w:lang w:val="fr-FR"/>
        </w:rPr>
      </w:pPr>
    </w:p>
    <w:p w14:paraId="3E100F05">
      <w:pPr>
        <w:rPr>
          <w:lang w:val="fr-FR"/>
        </w:rPr>
      </w:pPr>
    </w:p>
    <w:p w14:paraId="091CF61B">
      <w:pPr>
        <w:pStyle w:val="29"/>
        <w:ind w:firstLine="210"/>
        <w:rPr>
          <w:rFonts w:ascii="Times New Roman" w:hAnsi="Times New Roman"/>
          <w:color w:val="auto"/>
          <w:lang w:val="fr-FR"/>
        </w:rPr>
      </w:pPr>
    </w:p>
    <w:p w14:paraId="371A21A2">
      <w:pPr>
        <w:rPr>
          <w:lang w:val="fr-FR"/>
        </w:rPr>
      </w:pPr>
    </w:p>
    <w:p w14:paraId="008903B2">
      <w:pPr>
        <w:pStyle w:val="29"/>
        <w:ind w:firstLine="210"/>
        <w:rPr>
          <w:rFonts w:ascii="Times New Roman" w:hAnsi="Times New Roman"/>
          <w:color w:val="auto"/>
          <w:lang w:val="fr-FR"/>
        </w:rPr>
      </w:pPr>
    </w:p>
    <w:p w14:paraId="235F6DDA">
      <w:pPr>
        <w:rPr>
          <w:lang w:val="fr-FR"/>
        </w:rPr>
      </w:pPr>
    </w:p>
    <w:p w14:paraId="1F0601CA">
      <w:pPr>
        <w:rPr>
          <w:lang w:val="fr-FR"/>
        </w:rPr>
      </w:pPr>
    </w:p>
    <w:p w14:paraId="447F6D33">
      <w:pPr>
        <w:rPr>
          <w:lang w:val="fr-FR"/>
        </w:rPr>
      </w:pPr>
    </w:p>
    <w:p w14:paraId="678D124E">
      <w:pPr>
        <w:rPr>
          <w:lang w:val="fr-FR"/>
        </w:rPr>
      </w:pPr>
    </w:p>
    <w:p w14:paraId="2A043B84">
      <w:pPr>
        <w:rPr>
          <w:lang w:val="fr-FR"/>
        </w:rPr>
      </w:pPr>
    </w:p>
    <w:p w14:paraId="7F6BF01F">
      <w:pPr>
        <w:rPr>
          <w:lang w:val="fr-FR"/>
        </w:rPr>
      </w:pPr>
    </w:p>
    <w:p w14:paraId="6AE7C5CD">
      <w:pPr>
        <w:rPr>
          <w:lang w:val="fr-FR"/>
        </w:rPr>
      </w:pPr>
    </w:p>
    <w:p w14:paraId="589C4315">
      <w:pPr>
        <w:spacing w:line="360" w:lineRule="auto"/>
        <w:ind w:firstLine="1120" w:firstLineChars="400"/>
        <w:jc w:val="center"/>
        <w:rPr>
          <w:color w:val="000000"/>
          <w:sz w:val="28"/>
          <w:u w:val="single"/>
          <w:lang w:val="fr-FR"/>
        </w:rPr>
      </w:pPr>
      <w:r>
        <w:rPr>
          <w:color w:val="000000"/>
          <w:sz w:val="28"/>
        </w:rPr>
        <w:t>响应人</w:t>
      </w:r>
      <w:r>
        <w:rPr>
          <w:color w:val="000000"/>
          <w:sz w:val="28"/>
          <w:lang w:val="fr-FR"/>
        </w:rPr>
        <w:t>soumissionnaire：</w:t>
      </w:r>
      <w:r>
        <w:rPr>
          <w:color w:val="000000"/>
          <w:u w:val="single"/>
          <w:lang w:val="fr-FR"/>
        </w:rPr>
        <w:t xml:space="preserve">               </w:t>
      </w:r>
      <w:r>
        <w:rPr>
          <w:color w:val="000000"/>
          <w:sz w:val="28"/>
          <w:lang w:val="fr-FR"/>
        </w:rPr>
        <w:t>（cachet</w:t>
      </w:r>
      <w:r>
        <w:rPr>
          <w:color w:val="000000"/>
          <w:sz w:val="28"/>
        </w:rPr>
        <w:t>盖单位章</w:t>
      </w:r>
      <w:r>
        <w:rPr>
          <w:color w:val="000000"/>
          <w:sz w:val="28"/>
          <w:lang w:val="fr-FR"/>
        </w:rPr>
        <w:t>）</w:t>
      </w:r>
    </w:p>
    <w:p w14:paraId="7DC64EF9">
      <w:pPr>
        <w:spacing w:line="360" w:lineRule="auto"/>
        <w:ind w:firstLine="1120" w:firstLineChars="400"/>
        <w:jc w:val="center"/>
        <w:rPr>
          <w:color w:val="000000"/>
          <w:sz w:val="28"/>
          <w:lang w:val="fr-FR"/>
        </w:rPr>
      </w:pPr>
      <w:r>
        <w:rPr>
          <w:color w:val="000000"/>
          <w:sz w:val="28"/>
        </w:rPr>
        <w:t>法定代表人或其委托代理人</w:t>
      </w:r>
      <w:r>
        <w:rPr>
          <w:color w:val="000000"/>
          <w:sz w:val="28"/>
          <w:lang w:val="fr-FR"/>
        </w:rPr>
        <w:t>Représentant légal ou son mandataire：</w:t>
      </w:r>
      <w:r>
        <w:rPr>
          <w:color w:val="000000"/>
          <w:u w:val="single"/>
          <w:lang w:val="fr-FR"/>
        </w:rPr>
        <w:t xml:space="preserve">                    </w:t>
      </w:r>
      <w:r>
        <w:rPr>
          <w:color w:val="000000"/>
          <w:sz w:val="28"/>
          <w:lang w:val="fr-FR"/>
        </w:rPr>
        <w:t>（</w:t>
      </w:r>
      <w:r>
        <w:rPr>
          <w:color w:val="000000"/>
          <w:sz w:val="28"/>
        </w:rPr>
        <w:t>签字</w:t>
      </w:r>
      <w:r>
        <w:rPr>
          <w:color w:val="000000"/>
          <w:sz w:val="28"/>
          <w:lang w:val="fr-FR"/>
        </w:rPr>
        <w:t>signature)</w:t>
      </w:r>
    </w:p>
    <w:p w14:paraId="3BD09833">
      <w:pPr>
        <w:jc w:val="center"/>
        <w:rPr>
          <w:lang w:val="fr-FR"/>
        </w:rPr>
      </w:pPr>
    </w:p>
    <w:p w14:paraId="4C6BAC2D">
      <w:pPr>
        <w:jc w:val="center"/>
        <w:rPr>
          <w:sz w:val="28"/>
        </w:rPr>
      </w:pPr>
      <w:r>
        <w:rPr>
          <w:sz w:val="28"/>
        </w:rPr>
        <w:t>日期DATE :</w:t>
      </w:r>
    </w:p>
    <w:p w14:paraId="59B91768">
      <w:pPr>
        <w:jc w:val="center"/>
        <w:rPr>
          <w:sz w:val="28"/>
        </w:rPr>
        <w:sectPr>
          <w:pgSz w:w="11906" w:h="16838"/>
          <w:pgMar w:top="1417" w:right="1134" w:bottom="1134" w:left="1417" w:header="851" w:footer="850" w:gutter="0"/>
          <w:cols w:space="720" w:num="1"/>
          <w:titlePg/>
          <w:docGrid w:linePitch="312" w:charSpace="0"/>
        </w:sectPr>
      </w:pPr>
    </w:p>
    <w:p w14:paraId="2CC3E18D"/>
    <w:p w14:paraId="71B09FDB">
      <w:pPr>
        <w:pStyle w:val="3"/>
        <w:widowControl/>
        <w:spacing w:before="0" w:after="0" w:line="360" w:lineRule="auto"/>
        <w:rPr>
          <w:rFonts w:ascii="Times New Roman" w:hAnsi="Times New Roman"/>
        </w:rPr>
      </w:pPr>
      <w:bookmarkStart w:id="135" w:name="_Toc32732"/>
      <w:bookmarkStart w:id="136" w:name="_Toc3418"/>
      <w:bookmarkStart w:id="137" w:name="_Toc15869"/>
      <w:bookmarkStart w:id="138" w:name="_Toc32535"/>
      <w:bookmarkStart w:id="139" w:name="_Toc20768"/>
      <w:bookmarkStart w:id="140" w:name="_Toc6702500"/>
      <w:bookmarkStart w:id="141" w:name="_Toc14803"/>
      <w:bookmarkStart w:id="142" w:name="_Toc24789"/>
      <w:bookmarkStart w:id="143" w:name="_Toc5714781"/>
      <w:bookmarkStart w:id="144" w:name="_Toc32617"/>
      <w:bookmarkStart w:id="145" w:name="_Toc12466"/>
      <w:bookmarkStart w:id="146" w:name="_Toc64635491"/>
      <w:bookmarkStart w:id="147" w:name="_Toc13649"/>
      <w:bookmarkStart w:id="148" w:name="_Toc7714"/>
      <w:bookmarkStart w:id="149" w:name="_Toc6701343"/>
      <w:bookmarkStart w:id="150" w:name="_Toc184635138"/>
      <w:r>
        <w:rPr>
          <w:rFonts w:ascii="Times New Roman" w:hAnsi="Times New Roman"/>
          <w:szCs w:val="28"/>
        </w:rPr>
        <w:t>目 录</w:t>
      </w:r>
      <w:bookmarkEnd w:id="135"/>
    </w:p>
    <w:p w14:paraId="1FF19942">
      <w:pPr>
        <w:spacing w:line="360" w:lineRule="auto"/>
        <w:ind w:firstLine="420" w:firstLineChars="200"/>
      </w:pPr>
      <w:r>
        <w:t>一、响应函</w:t>
      </w:r>
    </w:p>
    <w:p w14:paraId="129146D5">
      <w:pPr>
        <w:spacing w:line="360" w:lineRule="auto"/>
        <w:ind w:firstLine="420" w:firstLineChars="200"/>
      </w:pPr>
      <w:r>
        <w:t>二、报价格式</w:t>
      </w:r>
    </w:p>
    <w:p w14:paraId="6A57024A">
      <w:pPr>
        <w:spacing w:line="360" w:lineRule="auto"/>
        <w:rPr>
          <w:szCs w:val="21"/>
        </w:rPr>
      </w:pPr>
    </w:p>
    <w:p w14:paraId="26FFB178">
      <w:pPr>
        <w:pStyle w:val="3"/>
        <w:spacing w:before="0" w:after="0" w:line="360" w:lineRule="auto"/>
        <w:rPr>
          <w:rFonts w:ascii="Times New Roman" w:hAnsi="Times New Roman"/>
          <w:szCs w:val="21"/>
        </w:rPr>
      </w:pPr>
      <w:r>
        <w:rPr>
          <w:rFonts w:ascii="Times New Roman" w:hAnsi="Times New Roman"/>
          <w:szCs w:val="21"/>
        </w:rPr>
        <w:t>Catalogue</w:t>
      </w:r>
    </w:p>
    <w:p w14:paraId="3A48013D">
      <w:pPr>
        <w:spacing w:line="360" w:lineRule="auto"/>
        <w:ind w:firstLine="420" w:firstLineChars="200"/>
      </w:pPr>
      <w:r>
        <w:t>I. Lettre de réponse</w:t>
      </w:r>
    </w:p>
    <w:p w14:paraId="77646749">
      <w:pPr>
        <w:spacing w:line="360" w:lineRule="auto"/>
        <w:ind w:firstLine="420" w:firstLineChars="200"/>
        <w:sectPr>
          <w:footerReference r:id="rId11" w:type="default"/>
          <w:pgSz w:w="11906" w:h="16838"/>
          <w:pgMar w:top="1417" w:right="1134" w:bottom="1134" w:left="1417" w:header="851" w:footer="850" w:gutter="0"/>
          <w:cols w:space="720" w:num="1"/>
          <w:titlePg/>
          <w:docGrid w:linePitch="312" w:charSpace="0"/>
        </w:sectPr>
      </w:pPr>
      <w:r>
        <w:t>II. format du devis</w:t>
      </w:r>
    </w:p>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14:paraId="61DB4B76">
      <w:pPr>
        <w:pStyle w:val="3"/>
        <w:numPr>
          <w:ilvl w:val="0"/>
          <w:numId w:val="17"/>
        </w:numPr>
        <w:spacing w:before="0" w:after="0" w:line="360" w:lineRule="auto"/>
        <w:rPr>
          <w:rFonts w:ascii="Times New Roman" w:hAnsi="Times New Roman"/>
          <w:szCs w:val="21"/>
        </w:rPr>
      </w:pPr>
      <w:bookmarkStart w:id="151" w:name="_Toc492288514"/>
      <w:bookmarkStart w:id="152" w:name="_Toc973"/>
      <w:bookmarkStart w:id="153" w:name="_Toc28433"/>
      <w:bookmarkStart w:id="154" w:name="_Toc9513"/>
      <w:bookmarkStart w:id="155" w:name="_Toc6561426"/>
      <w:bookmarkStart w:id="156" w:name="_Toc30268"/>
      <w:r>
        <w:rPr>
          <w:rFonts w:ascii="Times New Roman" w:hAnsi="Times New Roman"/>
          <w:szCs w:val="21"/>
        </w:rPr>
        <w:t>响应函</w:t>
      </w:r>
      <w:bookmarkEnd w:id="151"/>
      <w:bookmarkEnd w:id="152"/>
      <w:bookmarkEnd w:id="153"/>
      <w:bookmarkEnd w:id="154"/>
      <w:bookmarkEnd w:id="155"/>
      <w:r>
        <w:rPr>
          <w:rFonts w:ascii="Times New Roman" w:hAnsi="Times New Roman"/>
          <w:szCs w:val="21"/>
        </w:rPr>
        <w:t>Lettre de réponse</w:t>
      </w:r>
    </w:p>
    <w:p w14:paraId="34EAD618">
      <w:pPr>
        <w:adjustRightInd w:val="0"/>
        <w:snapToGrid w:val="0"/>
        <w:spacing w:line="360" w:lineRule="auto"/>
        <w:rPr>
          <w:szCs w:val="21"/>
        </w:rPr>
      </w:pPr>
      <w:r>
        <w:rPr>
          <w:szCs w:val="21"/>
          <w:u w:val="single"/>
        </w:rPr>
        <w:t xml:space="preserve">           </w:t>
      </w:r>
      <w:r>
        <w:rPr>
          <w:szCs w:val="21"/>
        </w:rPr>
        <w:t xml:space="preserve">（采购人名称Nom de l'Acheteur）: </w:t>
      </w:r>
    </w:p>
    <w:p w14:paraId="30242399">
      <w:pPr>
        <w:adjustRightInd w:val="0"/>
        <w:spacing w:line="360" w:lineRule="auto"/>
        <w:ind w:firstLine="420" w:firstLineChars="200"/>
        <w:rPr>
          <w:szCs w:val="21"/>
        </w:rPr>
      </w:pPr>
      <w:r>
        <w:rPr>
          <w:szCs w:val="21"/>
        </w:rPr>
        <w:t>1．我方己仔细研究了</w:t>
      </w:r>
      <w:r>
        <w:t>Nous avons étudié attentivement le document relatif au projet de passation de marchés de services</w:t>
      </w:r>
      <w:r>
        <w:rPr>
          <w:szCs w:val="21"/>
          <w:u w:val="single"/>
        </w:rPr>
        <w:t xml:space="preserve">       </w:t>
      </w:r>
      <w:r>
        <w:rPr>
          <w:rFonts w:hint="eastAsia"/>
          <w:szCs w:val="21"/>
          <w:u w:val="single"/>
        </w:rPr>
        <w:t xml:space="preserve">                                      </w:t>
      </w:r>
      <w:r>
        <w:rPr>
          <w:szCs w:val="21"/>
          <w:u w:val="single"/>
        </w:rPr>
        <w:t xml:space="preserve">    </w:t>
      </w:r>
      <w:r>
        <w:rPr>
          <w:szCs w:val="21"/>
        </w:rPr>
        <w:t>（项目名称</w:t>
      </w:r>
      <w:r>
        <w:t>nom du proje</w:t>
      </w:r>
      <w:r>
        <w:rPr>
          <w:rFonts w:hint="eastAsia"/>
        </w:rPr>
        <w:t>t</w:t>
      </w:r>
      <w:r>
        <w:rPr>
          <w:szCs w:val="21"/>
        </w:rPr>
        <w:t>）服务采购项目采购文件的全部内容dans son intégralité，愿意以et sommes disposés à répondre à l'offre totale de</w:t>
      </w:r>
      <w:r>
        <w:rPr>
          <w:szCs w:val="21"/>
          <w:u w:val="single"/>
        </w:rPr>
        <w:t xml:space="preserve">        </w:t>
      </w:r>
      <w:r>
        <w:rPr>
          <w:rFonts w:hint="eastAsia"/>
          <w:szCs w:val="21"/>
          <w:u w:val="single"/>
        </w:rPr>
        <w:t xml:space="preserve">              </w:t>
      </w:r>
      <w:r>
        <w:rPr>
          <w:szCs w:val="21"/>
          <w:u w:val="single"/>
        </w:rPr>
        <w:t xml:space="preserve"> </w:t>
      </w:r>
      <w:r>
        <w:rPr>
          <w:szCs w:val="21"/>
        </w:rPr>
        <w:t>（大写Majuscule）美元/吨</w:t>
      </w:r>
      <w:r>
        <w:rPr>
          <w:rFonts w:hint="eastAsia"/>
          <w:szCs w:val="21"/>
        </w:rPr>
        <w:t>USD/Tonne</w:t>
      </w:r>
      <w:r>
        <w:rPr>
          <w:szCs w:val="21"/>
        </w:rPr>
        <w:t>（</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/T</w:t>
      </w:r>
      <w:r>
        <w:rPr>
          <w:szCs w:val="21"/>
        </w:rPr>
        <w:t>）的响应总报价（不含增值税Hors TVA），服务期限la durée du service est de</w:t>
      </w:r>
      <w:r>
        <w:rPr>
          <w:szCs w:val="21"/>
          <w:u w:val="single"/>
        </w:rPr>
        <w:t xml:space="preserve">   </w:t>
      </w:r>
      <w:r>
        <w:rPr>
          <w:rFonts w:hint="eastAsia"/>
          <w:szCs w:val="21"/>
          <w:u w:val="single"/>
        </w:rPr>
        <w:t xml:space="preserve">    </w:t>
      </w:r>
      <w:r>
        <w:rPr>
          <w:szCs w:val="21"/>
          <w:u w:val="single"/>
        </w:rPr>
        <w:t xml:space="preserve"> </w:t>
      </w:r>
      <w:r>
        <w:rPr>
          <w:szCs w:val="21"/>
        </w:rPr>
        <w:t>日历天jours calendaires，按合同约定完成服务工作et le travail de service sera achevé comme convenu dans le contrat。</w:t>
      </w:r>
    </w:p>
    <w:p w14:paraId="757665FE">
      <w:pPr>
        <w:adjustRightInd w:val="0"/>
        <w:snapToGrid w:val="0"/>
        <w:spacing w:line="360" w:lineRule="auto"/>
        <w:ind w:firstLine="420" w:firstLineChars="200"/>
        <w:rPr>
          <w:szCs w:val="21"/>
          <w:lang w:val="fr-FR"/>
        </w:rPr>
      </w:pPr>
      <w:r>
        <w:rPr>
          <w:szCs w:val="21"/>
        </w:rPr>
        <w:t>2．我方承诺在响应有效期内不修改、撤销响应文件。</w:t>
      </w:r>
      <w:r>
        <w:rPr>
          <w:szCs w:val="21"/>
          <w:lang w:val="fr-FR"/>
        </w:rPr>
        <w:t>Nous nous engageons à ne pas modifier ou retirer le document de réponse pendant la période de validité de la réponse.</w:t>
      </w:r>
    </w:p>
    <w:p w14:paraId="5A33B111">
      <w:pPr>
        <w:adjustRightInd w:val="0"/>
        <w:snapToGrid w:val="0"/>
        <w:spacing w:line="360" w:lineRule="auto"/>
        <w:ind w:firstLine="420" w:firstLineChars="200"/>
        <w:rPr>
          <w:szCs w:val="21"/>
          <w:lang w:val="fr-FR"/>
        </w:rPr>
      </w:pPr>
      <w:r>
        <w:rPr>
          <w:szCs w:val="21"/>
          <w:lang w:val="fr-FR"/>
        </w:rPr>
        <w:t>3．</w:t>
      </w:r>
      <w:r>
        <w:rPr>
          <w:szCs w:val="21"/>
        </w:rPr>
        <w:t>如我方成交</w:t>
      </w:r>
      <w:r>
        <w:rPr>
          <w:szCs w:val="21"/>
          <w:lang w:val="fr-FR"/>
        </w:rPr>
        <w:t>Si notre offre est acceptée：</w:t>
      </w:r>
    </w:p>
    <w:p w14:paraId="0C1CB351">
      <w:pPr>
        <w:adjustRightInd w:val="0"/>
        <w:snapToGrid w:val="0"/>
        <w:spacing w:line="360" w:lineRule="auto"/>
        <w:ind w:firstLine="420" w:firstLineChars="200"/>
        <w:rPr>
          <w:szCs w:val="21"/>
        </w:rPr>
      </w:pPr>
      <w:r>
        <w:rPr>
          <w:szCs w:val="21"/>
        </w:rPr>
        <w:t>（1）我方承诺在收到成交通知书后，在成交通知书规定的期限内与你方签订合同。</w:t>
      </w:r>
    </w:p>
    <w:p w14:paraId="4417F19C">
      <w:pPr>
        <w:adjustRightInd w:val="0"/>
        <w:snapToGrid w:val="0"/>
        <w:spacing w:line="360" w:lineRule="auto"/>
        <w:ind w:firstLine="840" w:firstLineChars="400"/>
        <w:rPr>
          <w:szCs w:val="21"/>
          <w:lang w:val="fr-FR"/>
        </w:rPr>
      </w:pPr>
      <w:r>
        <w:rPr>
          <w:szCs w:val="21"/>
          <w:lang w:val="fr-FR"/>
        </w:rPr>
        <w:t>Nous nous engageons à signer le contrat avec vous dans le délai spécifié dans la notification de l'accord, après réception de cette notification.</w:t>
      </w:r>
    </w:p>
    <w:p w14:paraId="659CB693">
      <w:pPr>
        <w:adjustRightInd w:val="0"/>
        <w:snapToGrid w:val="0"/>
        <w:spacing w:line="360" w:lineRule="auto"/>
        <w:ind w:firstLine="420" w:firstLineChars="200"/>
        <w:rPr>
          <w:szCs w:val="21"/>
        </w:rPr>
      </w:pPr>
      <w:r>
        <w:rPr>
          <w:szCs w:val="21"/>
        </w:rPr>
        <w:t>（2）随同本响应函递交的响应函附录属于合同文件的组成部分。</w:t>
      </w:r>
    </w:p>
    <w:p w14:paraId="48151B7D">
      <w:pPr>
        <w:adjustRightInd w:val="0"/>
        <w:snapToGrid w:val="0"/>
        <w:spacing w:line="360" w:lineRule="auto"/>
        <w:ind w:firstLine="840" w:firstLineChars="400"/>
        <w:rPr>
          <w:szCs w:val="21"/>
          <w:lang w:val="fr-FR"/>
        </w:rPr>
      </w:pPr>
      <w:r>
        <w:rPr>
          <w:szCs w:val="21"/>
          <w:lang w:val="fr-FR"/>
        </w:rPr>
        <w:t>L'annexe à cette lettre de réponse, soumise avec la présente réponse, fait partie intégrante des documents contractuels.</w:t>
      </w:r>
    </w:p>
    <w:p w14:paraId="6CCC6E70">
      <w:pPr>
        <w:numPr>
          <w:ilvl w:val="0"/>
          <w:numId w:val="18"/>
        </w:numPr>
        <w:adjustRightInd w:val="0"/>
        <w:snapToGrid w:val="0"/>
        <w:spacing w:line="360" w:lineRule="auto"/>
        <w:ind w:firstLine="420" w:firstLineChars="200"/>
        <w:rPr>
          <w:szCs w:val="21"/>
        </w:rPr>
      </w:pPr>
      <w:r>
        <w:rPr>
          <w:szCs w:val="21"/>
        </w:rPr>
        <w:t>我方承诺按照竞争性谈判文件规定向你方递交履约担保。</w:t>
      </w:r>
    </w:p>
    <w:p w14:paraId="79B5AB55">
      <w:pPr>
        <w:adjustRightInd w:val="0"/>
        <w:snapToGrid w:val="0"/>
        <w:spacing w:line="360" w:lineRule="auto"/>
        <w:ind w:firstLine="840" w:firstLineChars="400"/>
        <w:rPr>
          <w:szCs w:val="21"/>
          <w:lang w:val="fr-FR"/>
        </w:rPr>
      </w:pPr>
      <w:r>
        <w:rPr>
          <w:szCs w:val="21"/>
          <w:lang w:val="fr-FR"/>
        </w:rPr>
        <w:t>Nous nous engageons à soumettre une garantie d'exécution conformément aux exigences des documents de négociation concurrentielle.</w:t>
      </w:r>
    </w:p>
    <w:p w14:paraId="497AC467">
      <w:pPr>
        <w:numPr>
          <w:ilvl w:val="0"/>
          <w:numId w:val="18"/>
        </w:numPr>
        <w:adjustRightInd w:val="0"/>
        <w:snapToGrid w:val="0"/>
        <w:spacing w:line="360" w:lineRule="auto"/>
        <w:ind w:firstLine="420" w:firstLineChars="200"/>
        <w:rPr>
          <w:szCs w:val="21"/>
        </w:rPr>
      </w:pPr>
      <w:r>
        <w:rPr>
          <w:szCs w:val="21"/>
        </w:rPr>
        <w:t>我方承诺在合同约定的期限内完成并移交全部合同内容。</w:t>
      </w:r>
    </w:p>
    <w:p w14:paraId="05CD8C3F">
      <w:pPr>
        <w:adjustRightInd w:val="0"/>
        <w:snapToGrid w:val="0"/>
        <w:spacing w:line="360" w:lineRule="auto"/>
        <w:ind w:firstLine="840" w:firstLineChars="400"/>
        <w:rPr>
          <w:szCs w:val="21"/>
          <w:lang w:val="fr-FR"/>
        </w:rPr>
      </w:pPr>
      <w:r>
        <w:rPr>
          <w:szCs w:val="21"/>
          <w:lang w:val="fr-FR"/>
        </w:rPr>
        <w:t>Nous nous engageons à réaliser et remettre l'intégralité du contrat dans le délai convenu dans le contrat.</w:t>
      </w:r>
    </w:p>
    <w:p w14:paraId="398A04C9">
      <w:pPr>
        <w:numPr>
          <w:ilvl w:val="0"/>
          <w:numId w:val="18"/>
        </w:numPr>
        <w:adjustRightInd w:val="0"/>
        <w:snapToGrid w:val="0"/>
        <w:spacing w:line="360" w:lineRule="auto"/>
        <w:ind w:firstLine="420" w:firstLineChars="200"/>
        <w:rPr>
          <w:szCs w:val="21"/>
        </w:rPr>
      </w:pPr>
      <w:r>
        <w:rPr>
          <w:szCs w:val="21"/>
        </w:rPr>
        <w:t>如遇国家增值税税率政策调整，本报价的不含增值税金额不变，含增值税金额根据国家政策进行调整</w:t>
      </w:r>
    </w:p>
    <w:p w14:paraId="7EE659D3">
      <w:pPr>
        <w:adjustRightInd w:val="0"/>
        <w:snapToGrid w:val="0"/>
        <w:spacing w:line="360" w:lineRule="auto"/>
        <w:ind w:firstLine="840" w:firstLineChars="400"/>
        <w:rPr>
          <w:szCs w:val="21"/>
          <w:lang w:val="fr-FR"/>
        </w:rPr>
      </w:pPr>
      <w:r>
        <w:rPr>
          <w:rFonts w:hint="eastAsia"/>
          <w:szCs w:val="21"/>
          <w:lang w:val="fr-FR"/>
        </w:rPr>
        <w:t>En cas d'ajustement des taux de TVA national, le montant hors TVA de cette offre restera inchangé, tandis que le montant TTC sera ajusté conformément à la politique nationale.</w:t>
      </w:r>
    </w:p>
    <w:p w14:paraId="6610E671">
      <w:pPr>
        <w:adjustRightInd w:val="0"/>
        <w:snapToGrid w:val="0"/>
        <w:spacing w:line="360" w:lineRule="auto"/>
        <w:ind w:firstLine="420" w:firstLineChars="200"/>
        <w:rPr>
          <w:szCs w:val="21"/>
        </w:rPr>
      </w:pPr>
      <w:r>
        <w:rPr>
          <w:szCs w:val="21"/>
        </w:rPr>
        <w:t>4．我方在此声明，所递交的响应文件及有关资料内容完整、真实和准确。</w:t>
      </w:r>
    </w:p>
    <w:p w14:paraId="31656162">
      <w:pPr>
        <w:adjustRightInd w:val="0"/>
        <w:snapToGrid w:val="0"/>
        <w:spacing w:line="360" w:lineRule="auto"/>
        <w:ind w:firstLine="420" w:firstLineChars="200"/>
        <w:rPr>
          <w:szCs w:val="21"/>
          <w:lang w:val="fr-FR"/>
        </w:rPr>
      </w:pPr>
      <w:r>
        <w:rPr>
          <w:szCs w:val="21"/>
          <w:lang w:val="fr-FR"/>
        </w:rPr>
        <w:t>Nous déclarons par la présente que les documents et informations soumis dans notre réponse sont complets, vrais et exacts.</w:t>
      </w:r>
    </w:p>
    <w:p w14:paraId="1955A866">
      <w:pPr>
        <w:adjustRightInd w:val="0"/>
        <w:snapToGrid w:val="0"/>
        <w:spacing w:line="360" w:lineRule="auto"/>
        <w:ind w:firstLine="420"/>
        <w:rPr>
          <w:szCs w:val="21"/>
        </w:rPr>
      </w:pPr>
      <w:r>
        <w:rPr>
          <w:szCs w:val="21"/>
        </w:rPr>
        <w:t>5.我方将严格按照有关法律法规及竞争性谈判文件规定参加响应，理解贵方不保证响应价最低的响应人成交，并不要求对未成交理由做出任何解释。</w:t>
      </w:r>
    </w:p>
    <w:p w14:paraId="062A0296">
      <w:pPr>
        <w:adjustRightInd w:val="0"/>
        <w:snapToGrid w:val="0"/>
        <w:spacing w:line="360" w:lineRule="auto"/>
        <w:ind w:firstLine="420"/>
        <w:rPr>
          <w:szCs w:val="21"/>
          <w:lang w:val="fr-FR"/>
        </w:rPr>
      </w:pPr>
      <w:r>
        <w:rPr>
          <w:szCs w:val="21"/>
          <w:lang w:val="fr-FR"/>
        </w:rPr>
        <w:t>Nous participerons à la réponse conformément aux lois et réglementations applicables ainsi qu'aux documents de négociation concurrentielle, en comprenant que vous ne garantissez pas que l'offre avec le prix le plus bas sera acceptée et que vous n'êtes pas tenus de fournir des explications sur les raisons de l'échec de l'accord.</w:t>
      </w:r>
    </w:p>
    <w:p w14:paraId="14B1EA72">
      <w:pPr>
        <w:adjustRightInd w:val="0"/>
        <w:snapToGrid w:val="0"/>
        <w:spacing w:line="360" w:lineRule="auto"/>
        <w:ind w:firstLine="420"/>
        <w:rPr>
          <w:szCs w:val="21"/>
          <w:lang w:val="fr-FR"/>
        </w:rPr>
      </w:pPr>
      <w:r>
        <w:rPr>
          <w:szCs w:val="21"/>
          <w:lang w:val="fr-FR"/>
        </w:rPr>
        <w:t>6．</w:t>
      </w:r>
      <w:r>
        <w:rPr>
          <w:szCs w:val="21"/>
          <w:u w:val="single"/>
          <w:lang w:val="fr-FR"/>
        </w:rPr>
        <w:t xml:space="preserve">                    </w:t>
      </w:r>
      <w:r>
        <w:rPr>
          <w:szCs w:val="21"/>
          <w:lang w:val="fr-FR"/>
        </w:rPr>
        <w:t>（</w:t>
      </w:r>
      <w:r>
        <w:rPr>
          <w:szCs w:val="21"/>
        </w:rPr>
        <w:t>其他补充说明</w:t>
      </w:r>
      <w:r>
        <w:rPr>
          <w:szCs w:val="21"/>
          <w:lang w:val="fr-FR"/>
        </w:rPr>
        <w:t>Autres explications supplémentaires）</w:t>
      </w:r>
      <w:r>
        <w:rPr>
          <w:szCs w:val="21"/>
        </w:rPr>
        <w:t>。</w:t>
      </w:r>
    </w:p>
    <w:p w14:paraId="087BC280">
      <w:pPr>
        <w:spacing w:line="440" w:lineRule="exact"/>
        <w:ind w:firstLine="420" w:firstLineChars="200"/>
        <w:rPr>
          <w:szCs w:val="21"/>
          <w:lang w:val="fr-FR"/>
        </w:rPr>
      </w:pPr>
    </w:p>
    <w:p w14:paraId="0EE16CFD">
      <w:pPr>
        <w:spacing w:line="440" w:lineRule="exact"/>
        <w:ind w:firstLine="2520" w:firstLineChars="1200"/>
        <w:jc w:val="left"/>
        <w:rPr>
          <w:szCs w:val="21"/>
          <w:lang w:val="fr-FR"/>
        </w:rPr>
      </w:pPr>
      <w:r>
        <w:rPr>
          <w:szCs w:val="21"/>
        </w:rPr>
        <w:t>响应人</w:t>
      </w:r>
      <w:r>
        <w:rPr>
          <w:szCs w:val="21"/>
          <w:lang w:val="fr-FR"/>
        </w:rPr>
        <w:t>Soumissionnaire：</w:t>
      </w:r>
      <w:r>
        <w:rPr>
          <w:szCs w:val="21"/>
          <w:u w:val="single"/>
          <w:lang w:val="fr-FR"/>
        </w:rPr>
        <w:t xml:space="preserve">                </w:t>
      </w:r>
      <w:r>
        <w:rPr>
          <w:szCs w:val="21"/>
          <w:lang w:val="fr-FR"/>
        </w:rPr>
        <w:t>（</w:t>
      </w:r>
      <w:r>
        <w:rPr>
          <w:szCs w:val="21"/>
        </w:rPr>
        <w:t>盖单位章</w:t>
      </w:r>
      <w:r>
        <w:rPr>
          <w:szCs w:val="21"/>
          <w:lang w:val="fr-FR"/>
        </w:rPr>
        <w:t>Cachet de la société）</w:t>
      </w:r>
    </w:p>
    <w:p w14:paraId="791EDA22">
      <w:pPr>
        <w:spacing w:line="440" w:lineRule="exact"/>
        <w:jc w:val="left"/>
        <w:rPr>
          <w:szCs w:val="21"/>
          <w:u w:val="single"/>
          <w:lang w:val="fr-FR"/>
        </w:rPr>
      </w:pPr>
      <w:r>
        <w:rPr>
          <w:lang w:val="fr-FR"/>
        </w:rPr>
        <w:t xml:space="preserve">            </w:t>
      </w:r>
      <w:r>
        <w:t>法定代表人</w:t>
      </w:r>
      <w:r>
        <w:rPr>
          <w:lang w:val="fr-FR"/>
        </w:rPr>
        <w:t>（</w:t>
      </w:r>
      <w:r>
        <w:t>单位负责人</w:t>
      </w:r>
      <w:r>
        <w:rPr>
          <w:lang w:val="fr-FR"/>
        </w:rPr>
        <w:t>）</w:t>
      </w:r>
      <w:r>
        <w:rPr>
          <w:szCs w:val="21"/>
        </w:rPr>
        <w:t>或其委托代理人</w:t>
      </w:r>
      <w:r>
        <w:rPr>
          <w:lang w:val="fr-FR"/>
        </w:rPr>
        <w:t>Représentant légal (responsable de la société) ou son mandataire</w:t>
      </w:r>
      <w:r>
        <w:rPr>
          <w:szCs w:val="21"/>
          <w:lang w:val="fr-FR"/>
        </w:rPr>
        <w:t>：</w:t>
      </w:r>
      <w:r>
        <w:rPr>
          <w:szCs w:val="21"/>
          <w:u w:val="single"/>
          <w:lang w:val="fr-FR"/>
        </w:rPr>
        <w:t xml:space="preserve">   </w:t>
      </w:r>
      <w:r>
        <w:rPr>
          <w:rFonts w:hint="eastAsia"/>
          <w:szCs w:val="21"/>
          <w:u w:val="single"/>
          <w:lang w:val="fr-FR"/>
        </w:rPr>
        <w:t xml:space="preserve">                                                                  </w:t>
      </w:r>
      <w:r>
        <w:rPr>
          <w:szCs w:val="21"/>
          <w:u w:val="single"/>
          <w:lang w:val="fr-FR"/>
        </w:rPr>
        <w:t xml:space="preserve"> </w:t>
      </w:r>
      <w:r>
        <w:rPr>
          <w:szCs w:val="21"/>
          <w:u w:val="single"/>
          <w:lang w:val="fr-FR"/>
        </w:rPr>
        <w:tab/>
      </w:r>
      <w:r>
        <w:rPr>
          <w:szCs w:val="21"/>
          <w:u w:val="single"/>
          <w:lang w:val="fr-FR"/>
        </w:rPr>
        <w:t xml:space="preserve">                </w:t>
      </w:r>
    </w:p>
    <w:p w14:paraId="2FA33B58">
      <w:pPr>
        <w:spacing w:line="440" w:lineRule="exact"/>
        <w:ind w:firstLine="7770" w:firstLineChars="3700"/>
        <w:jc w:val="left"/>
        <w:rPr>
          <w:szCs w:val="21"/>
          <w:lang w:val="fr-FR"/>
        </w:rPr>
      </w:pPr>
      <w:r>
        <w:rPr>
          <w:szCs w:val="21"/>
          <w:lang w:val="fr-FR"/>
        </w:rPr>
        <w:t>（</w:t>
      </w:r>
      <w:r>
        <w:rPr>
          <w:szCs w:val="21"/>
        </w:rPr>
        <w:t>签字</w:t>
      </w:r>
      <w:r>
        <w:rPr>
          <w:szCs w:val="21"/>
          <w:lang w:val="fr-FR"/>
        </w:rPr>
        <w:t>Signature）</w:t>
      </w:r>
    </w:p>
    <w:p w14:paraId="24287583">
      <w:pPr>
        <w:spacing w:line="440" w:lineRule="exact"/>
        <w:ind w:firstLine="2520" w:firstLineChars="1200"/>
        <w:jc w:val="left"/>
        <w:rPr>
          <w:szCs w:val="21"/>
          <w:lang w:val="fr-FR"/>
        </w:rPr>
      </w:pPr>
      <w:r>
        <w:rPr>
          <w:szCs w:val="21"/>
        </w:rPr>
        <w:t>地</w:t>
      </w:r>
      <w:r>
        <w:rPr>
          <w:szCs w:val="21"/>
          <w:lang w:val="fr-FR"/>
        </w:rPr>
        <w:t xml:space="preserve">  </w:t>
      </w:r>
      <w:r>
        <w:rPr>
          <w:szCs w:val="21"/>
        </w:rPr>
        <w:t>址</w:t>
      </w:r>
      <w:r>
        <w:rPr>
          <w:szCs w:val="21"/>
          <w:lang w:val="fr-FR"/>
        </w:rPr>
        <w:t>Adresse：</w:t>
      </w:r>
      <w:r>
        <w:rPr>
          <w:szCs w:val="21"/>
          <w:u w:val="single"/>
          <w:lang w:val="fr-FR"/>
        </w:rPr>
        <w:t xml:space="preserve">     </w:t>
      </w:r>
      <w:r>
        <w:rPr>
          <w:szCs w:val="21"/>
          <w:u w:val="single"/>
          <w:lang w:val="fr-FR"/>
        </w:rPr>
        <w:tab/>
      </w:r>
      <w:r>
        <w:rPr>
          <w:szCs w:val="21"/>
          <w:u w:val="single"/>
          <w:lang w:val="fr-FR"/>
        </w:rPr>
        <w:t xml:space="preserve">               </w:t>
      </w:r>
      <w:r>
        <w:rPr>
          <w:szCs w:val="21"/>
          <w:u w:val="single"/>
          <w:lang w:val="fr-FR"/>
        </w:rPr>
        <w:tab/>
      </w:r>
    </w:p>
    <w:p w14:paraId="3F30F490">
      <w:pPr>
        <w:spacing w:line="440" w:lineRule="exact"/>
        <w:ind w:firstLine="2520" w:firstLineChars="1200"/>
        <w:jc w:val="left"/>
        <w:rPr>
          <w:szCs w:val="21"/>
          <w:lang w:val="fr-FR"/>
        </w:rPr>
      </w:pPr>
      <w:r>
        <w:rPr>
          <w:szCs w:val="21"/>
        </w:rPr>
        <w:t>网</w:t>
      </w:r>
      <w:r>
        <w:rPr>
          <w:szCs w:val="21"/>
          <w:lang w:val="fr-FR"/>
        </w:rPr>
        <w:t xml:space="preserve">  </w:t>
      </w:r>
      <w:r>
        <w:rPr>
          <w:szCs w:val="21"/>
        </w:rPr>
        <w:t>址</w:t>
      </w:r>
      <w:r>
        <w:rPr>
          <w:szCs w:val="21"/>
          <w:lang w:val="fr-FR"/>
        </w:rPr>
        <w:t>Site web：</w:t>
      </w:r>
      <w:r>
        <w:rPr>
          <w:szCs w:val="21"/>
          <w:u w:val="single"/>
          <w:lang w:val="fr-FR"/>
        </w:rPr>
        <w:t xml:space="preserve">                    </w:t>
      </w:r>
      <w:r>
        <w:rPr>
          <w:szCs w:val="21"/>
          <w:u w:val="single"/>
          <w:lang w:val="fr-FR"/>
        </w:rPr>
        <w:tab/>
      </w:r>
      <w:r>
        <w:rPr>
          <w:szCs w:val="21"/>
          <w:u w:val="single"/>
          <w:lang w:val="fr-FR"/>
        </w:rPr>
        <w:t xml:space="preserve">  </w:t>
      </w:r>
    </w:p>
    <w:p w14:paraId="54230736">
      <w:pPr>
        <w:spacing w:line="440" w:lineRule="exact"/>
        <w:ind w:firstLine="2520" w:firstLineChars="1200"/>
        <w:jc w:val="left"/>
        <w:rPr>
          <w:szCs w:val="21"/>
          <w:lang w:val="fr-FR"/>
        </w:rPr>
      </w:pPr>
      <w:r>
        <w:rPr>
          <w:szCs w:val="21"/>
        </w:rPr>
        <w:t>电</w:t>
      </w:r>
      <w:r>
        <w:rPr>
          <w:szCs w:val="21"/>
          <w:lang w:val="fr-FR"/>
        </w:rPr>
        <w:t xml:space="preserve">  </w:t>
      </w:r>
      <w:r>
        <w:rPr>
          <w:szCs w:val="21"/>
        </w:rPr>
        <w:t>话</w:t>
      </w:r>
      <w:r>
        <w:rPr>
          <w:szCs w:val="21"/>
          <w:lang w:val="fr-FR"/>
        </w:rPr>
        <w:t>Téléphone：</w:t>
      </w:r>
      <w:r>
        <w:rPr>
          <w:szCs w:val="21"/>
          <w:u w:val="single"/>
          <w:lang w:val="fr-FR"/>
        </w:rPr>
        <w:t xml:space="preserve">     </w:t>
      </w:r>
      <w:r>
        <w:rPr>
          <w:szCs w:val="21"/>
          <w:u w:val="single"/>
          <w:lang w:val="fr-FR"/>
        </w:rPr>
        <w:tab/>
      </w:r>
      <w:r>
        <w:rPr>
          <w:szCs w:val="21"/>
          <w:u w:val="single"/>
          <w:lang w:val="fr-FR"/>
        </w:rPr>
        <w:t xml:space="preserve">             </w:t>
      </w:r>
      <w:r>
        <w:rPr>
          <w:szCs w:val="21"/>
          <w:u w:val="single"/>
          <w:lang w:val="fr-FR"/>
        </w:rPr>
        <w:tab/>
      </w:r>
      <w:r>
        <w:rPr>
          <w:szCs w:val="21"/>
          <w:u w:val="single"/>
          <w:lang w:val="fr-FR"/>
        </w:rPr>
        <w:t xml:space="preserve">  </w:t>
      </w:r>
    </w:p>
    <w:p w14:paraId="5ED886B8">
      <w:pPr>
        <w:spacing w:line="440" w:lineRule="exact"/>
        <w:ind w:firstLine="2520" w:firstLineChars="1200"/>
        <w:jc w:val="left"/>
        <w:rPr>
          <w:szCs w:val="21"/>
        </w:rPr>
      </w:pPr>
      <w:r>
        <w:rPr>
          <w:szCs w:val="21"/>
        </w:rPr>
        <w:t>传  真</w:t>
      </w:r>
      <w:r>
        <w:rPr>
          <w:szCs w:val="21"/>
          <w:lang w:val="fr-FR"/>
        </w:rPr>
        <w:t>Fax</w:t>
      </w:r>
      <w:r>
        <w:rPr>
          <w:szCs w:val="21"/>
        </w:rPr>
        <w:t>：</w:t>
      </w:r>
      <w:r>
        <w:rPr>
          <w:szCs w:val="21"/>
          <w:u w:val="single"/>
        </w:rPr>
        <w:t xml:space="preserve">     </w:t>
      </w:r>
      <w:r>
        <w:rPr>
          <w:szCs w:val="21"/>
          <w:u w:val="single"/>
        </w:rPr>
        <w:tab/>
      </w:r>
      <w:r>
        <w:rPr>
          <w:szCs w:val="21"/>
          <w:u w:val="single"/>
        </w:rPr>
        <w:t xml:space="preserve">                </w:t>
      </w:r>
    </w:p>
    <w:p w14:paraId="33B53476">
      <w:pPr>
        <w:spacing w:line="440" w:lineRule="exact"/>
        <w:ind w:firstLine="2520" w:firstLineChars="1200"/>
        <w:jc w:val="left"/>
        <w:rPr>
          <w:szCs w:val="21"/>
        </w:rPr>
      </w:pPr>
      <w:r>
        <w:rPr>
          <w:szCs w:val="21"/>
        </w:rPr>
        <w:t>邮政编码</w:t>
      </w:r>
      <w:r>
        <w:rPr>
          <w:szCs w:val="21"/>
          <w:lang w:val="fr-FR"/>
        </w:rPr>
        <w:t>Code postal</w:t>
      </w:r>
      <w:r>
        <w:rPr>
          <w:szCs w:val="21"/>
        </w:rPr>
        <w:t>：</w:t>
      </w:r>
      <w:r>
        <w:rPr>
          <w:szCs w:val="21"/>
          <w:u w:val="single"/>
        </w:rPr>
        <w:t xml:space="preserve">     </w:t>
      </w:r>
      <w:r>
        <w:rPr>
          <w:szCs w:val="21"/>
          <w:u w:val="single"/>
        </w:rPr>
        <w:tab/>
      </w:r>
      <w:r>
        <w:rPr>
          <w:szCs w:val="21"/>
          <w:u w:val="single"/>
        </w:rPr>
        <w:t xml:space="preserve">                </w:t>
      </w:r>
    </w:p>
    <w:p w14:paraId="49AA50C2">
      <w:pPr>
        <w:spacing w:line="440" w:lineRule="exact"/>
        <w:ind w:right="840" w:firstLine="4725" w:firstLineChars="2250"/>
        <w:jc w:val="center"/>
      </w:pPr>
      <w:r>
        <w:rPr>
          <w:u w:val="single"/>
        </w:rPr>
        <w:t>日期DATE :</w:t>
      </w:r>
    </w:p>
    <w:bookmarkEnd w:id="156"/>
    <w:p w14:paraId="25E8FDAB">
      <w:pPr>
        <w:rPr>
          <w:szCs w:val="21"/>
          <w:lang w:val="fr-FR"/>
        </w:rPr>
      </w:pPr>
    </w:p>
    <w:p w14:paraId="76583EC4">
      <w:pPr>
        <w:pStyle w:val="21"/>
        <w:rPr>
          <w:sz w:val="21"/>
          <w:lang w:val="fr-FR"/>
        </w:rPr>
      </w:pPr>
    </w:p>
    <w:p w14:paraId="326CE781">
      <w:pPr>
        <w:pStyle w:val="21"/>
        <w:rPr>
          <w:sz w:val="21"/>
          <w:lang w:val="fr-FR"/>
        </w:rPr>
      </w:pPr>
    </w:p>
    <w:p w14:paraId="16FA14E9">
      <w:pPr>
        <w:pStyle w:val="21"/>
        <w:rPr>
          <w:sz w:val="21"/>
          <w:lang w:val="fr-FR"/>
        </w:rPr>
      </w:pPr>
    </w:p>
    <w:p w14:paraId="1300E858">
      <w:pPr>
        <w:pStyle w:val="21"/>
        <w:rPr>
          <w:sz w:val="21"/>
          <w:lang w:val="fr-FR"/>
        </w:rPr>
      </w:pPr>
    </w:p>
    <w:p w14:paraId="24DE2634">
      <w:pPr>
        <w:pStyle w:val="21"/>
        <w:rPr>
          <w:sz w:val="21"/>
          <w:lang w:val="fr-FR"/>
        </w:rPr>
      </w:pPr>
    </w:p>
    <w:p w14:paraId="796C4F23">
      <w:pPr>
        <w:pStyle w:val="21"/>
        <w:rPr>
          <w:sz w:val="21"/>
          <w:lang w:val="fr-FR"/>
        </w:rPr>
      </w:pPr>
    </w:p>
    <w:p w14:paraId="4B24DF09">
      <w:pPr>
        <w:pStyle w:val="21"/>
        <w:rPr>
          <w:sz w:val="21"/>
          <w:lang w:val="fr-FR"/>
        </w:rPr>
      </w:pPr>
    </w:p>
    <w:p w14:paraId="608D36B5">
      <w:pPr>
        <w:pStyle w:val="21"/>
        <w:rPr>
          <w:sz w:val="21"/>
          <w:lang w:val="fr-FR"/>
        </w:rPr>
      </w:pPr>
    </w:p>
    <w:p w14:paraId="2478A0D0">
      <w:pPr>
        <w:pStyle w:val="21"/>
        <w:rPr>
          <w:sz w:val="21"/>
          <w:lang w:val="fr-FR"/>
        </w:rPr>
      </w:pPr>
    </w:p>
    <w:p w14:paraId="42BE03FC">
      <w:pPr>
        <w:pStyle w:val="21"/>
        <w:rPr>
          <w:sz w:val="21"/>
          <w:lang w:val="fr-FR"/>
        </w:rPr>
      </w:pPr>
    </w:p>
    <w:p w14:paraId="0EABABC6">
      <w:pPr>
        <w:pStyle w:val="21"/>
        <w:rPr>
          <w:sz w:val="21"/>
          <w:lang w:val="fr-FR"/>
        </w:rPr>
      </w:pPr>
    </w:p>
    <w:p w14:paraId="6AE97A82">
      <w:pPr>
        <w:pStyle w:val="21"/>
        <w:rPr>
          <w:sz w:val="21"/>
          <w:lang w:val="fr-FR"/>
        </w:rPr>
      </w:pPr>
    </w:p>
    <w:p w14:paraId="1A0DB42E">
      <w:pPr>
        <w:pStyle w:val="21"/>
        <w:rPr>
          <w:sz w:val="21"/>
          <w:lang w:val="fr-FR"/>
        </w:rPr>
      </w:pPr>
    </w:p>
    <w:p w14:paraId="1AC6125E">
      <w:pPr>
        <w:pStyle w:val="21"/>
        <w:rPr>
          <w:sz w:val="21"/>
          <w:lang w:val="fr-FR"/>
        </w:rPr>
      </w:pPr>
    </w:p>
    <w:p w14:paraId="3BBB68D4">
      <w:pPr>
        <w:pStyle w:val="21"/>
        <w:rPr>
          <w:sz w:val="21"/>
          <w:lang w:val="fr-FR"/>
        </w:rPr>
      </w:pPr>
    </w:p>
    <w:p w14:paraId="1FB16E33">
      <w:pPr>
        <w:pStyle w:val="21"/>
        <w:rPr>
          <w:sz w:val="21"/>
          <w:lang w:val="fr-FR"/>
        </w:rPr>
      </w:pPr>
    </w:p>
    <w:p w14:paraId="74DD648E">
      <w:pPr>
        <w:pStyle w:val="21"/>
        <w:rPr>
          <w:sz w:val="21"/>
          <w:lang w:val="fr-FR"/>
        </w:rPr>
      </w:pPr>
    </w:p>
    <w:p w14:paraId="6C67871B">
      <w:pPr>
        <w:pStyle w:val="21"/>
        <w:rPr>
          <w:sz w:val="21"/>
          <w:lang w:val="fr-FR"/>
        </w:rPr>
      </w:pPr>
    </w:p>
    <w:p w14:paraId="5AB709D2">
      <w:pPr>
        <w:pStyle w:val="21"/>
        <w:rPr>
          <w:sz w:val="21"/>
          <w:lang w:val="fr-FR"/>
        </w:rPr>
      </w:pPr>
    </w:p>
    <w:p w14:paraId="3B00B699">
      <w:pPr>
        <w:pStyle w:val="21"/>
        <w:rPr>
          <w:sz w:val="21"/>
          <w:lang w:val="fr-FR"/>
        </w:rPr>
      </w:pPr>
    </w:p>
    <w:p w14:paraId="2569E858">
      <w:pPr>
        <w:pStyle w:val="21"/>
        <w:rPr>
          <w:sz w:val="21"/>
          <w:lang w:val="fr-FR"/>
        </w:rPr>
      </w:pPr>
    </w:p>
    <w:p w14:paraId="6B034CDC">
      <w:pPr>
        <w:pStyle w:val="21"/>
        <w:rPr>
          <w:sz w:val="21"/>
          <w:lang w:val="fr-FR"/>
        </w:rPr>
      </w:pPr>
    </w:p>
    <w:p w14:paraId="78A88C67">
      <w:pPr>
        <w:pStyle w:val="21"/>
        <w:rPr>
          <w:sz w:val="21"/>
          <w:lang w:val="fr-FR"/>
        </w:rPr>
      </w:pPr>
    </w:p>
    <w:p w14:paraId="751F4E9D">
      <w:pPr>
        <w:pStyle w:val="21"/>
        <w:rPr>
          <w:sz w:val="21"/>
          <w:lang w:val="fr-FR"/>
        </w:rPr>
      </w:pPr>
    </w:p>
    <w:p w14:paraId="4D17DF56">
      <w:pPr>
        <w:pStyle w:val="21"/>
        <w:rPr>
          <w:sz w:val="21"/>
          <w:lang w:val="fr-FR"/>
        </w:rPr>
      </w:pPr>
    </w:p>
    <w:p w14:paraId="27DFBB4A">
      <w:pPr>
        <w:pStyle w:val="21"/>
        <w:rPr>
          <w:sz w:val="21"/>
          <w:lang w:val="fr-FR"/>
        </w:rPr>
      </w:pPr>
    </w:p>
    <w:p w14:paraId="4D20BF94">
      <w:pPr>
        <w:pStyle w:val="21"/>
        <w:rPr>
          <w:sz w:val="21"/>
          <w:lang w:val="fr-FR"/>
        </w:rPr>
      </w:pPr>
    </w:p>
    <w:p w14:paraId="7C62655B">
      <w:pPr>
        <w:pStyle w:val="21"/>
        <w:rPr>
          <w:sz w:val="21"/>
          <w:lang w:val="fr-FR"/>
        </w:rPr>
      </w:pPr>
    </w:p>
    <w:p w14:paraId="65D75708">
      <w:pPr>
        <w:pStyle w:val="21"/>
        <w:rPr>
          <w:sz w:val="21"/>
          <w:lang w:val="fr-FR"/>
        </w:rPr>
      </w:pPr>
    </w:p>
    <w:p w14:paraId="1132BB3B">
      <w:pPr>
        <w:pStyle w:val="21"/>
        <w:rPr>
          <w:sz w:val="21"/>
          <w:lang w:val="fr-FR"/>
        </w:rPr>
      </w:pPr>
    </w:p>
    <w:p w14:paraId="62457A6F">
      <w:pPr>
        <w:pStyle w:val="21"/>
        <w:rPr>
          <w:sz w:val="21"/>
          <w:lang w:val="fr-FR"/>
        </w:rPr>
      </w:pPr>
    </w:p>
    <w:p w14:paraId="1E76D06A">
      <w:pPr>
        <w:pStyle w:val="21"/>
        <w:rPr>
          <w:sz w:val="21"/>
          <w:lang w:val="fr-FR"/>
        </w:rPr>
      </w:pPr>
    </w:p>
    <w:p w14:paraId="4F262F0D">
      <w:pPr>
        <w:pStyle w:val="21"/>
        <w:rPr>
          <w:sz w:val="21"/>
          <w:lang w:val="fr-FR"/>
        </w:rPr>
      </w:pPr>
    </w:p>
    <w:p w14:paraId="06E7D693">
      <w:pPr>
        <w:pStyle w:val="3"/>
        <w:numPr>
          <w:ilvl w:val="0"/>
          <w:numId w:val="17"/>
        </w:numPr>
        <w:spacing w:before="0" w:after="0" w:line="360" w:lineRule="auto"/>
        <w:rPr>
          <w:rFonts w:ascii="Times New Roman" w:hAnsi="Times New Roman"/>
          <w:szCs w:val="21"/>
        </w:rPr>
      </w:pPr>
      <w:bookmarkStart w:id="157" w:name="_Toc30430"/>
      <w:r>
        <w:rPr>
          <w:rFonts w:ascii="Times New Roman" w:hAnsi="Times New Roman"/>
          <w:szCs w:val="21"/>
        </w:rPr>
        <w:t>报价格式</w:t>
      </w:r>
      <w:bookmarkEnd w:id="157"/>
      <w:r>
        <w:rPr>
          <w:rFonts w:ascii="Times New Roman" w:hAnsi="Times New Roman"/>
          <w:szCs w:val="21"/>
        </w:rPr>
        <w:t xml:space="preserve"> </w:t>
      </w:r>
    </w:p>
    <w:p w14:paraId="071F7882">
      <w:pPr>
        <w:pStyle w:val="3"/>
        <w:spacing w:before="0" w:after="0" w:line="360" w:lineRule="auto"/>
        <w:rPr>
          <w:rFonts w:ascii="Times New Roman" w:hAnsi="Times New Roman"/>
        </w:rPr>
      </w:pPr>
      <w:r>
        <w:rPr>
          <w:rFonts w:ascii="Times New Roman" w:hAnsi="Times New Roman"/>
          <w:szCs w:val="21"/>
          <w:lang w:val="fr-FR"/>
        </w:rPr>
        <w:t>F</w:t>
      </w:r>
      <w:r>
        <w:rPr>
          <w:rFonts w:ascii="Times New Roman" w:hAnsi="Times New Roman"/>
          <w:szCs w:val="21"/>
        </w:rPr>
        <w:t>ormat du devis</w:t>
      </w:r>
    </w:p>
    <w:p w14:paraId="5D5EC20E">
      <w:pPr>
        <w:adjustRightInd w:val="0"/>
        <w:snapToGrid w:val="0"/>
        <w:spacing w:line="360" w:lineRule="auto"/>
        <w:ind w:firstLine="420"/>
        <w:rPr>
          <w:szCs w:val="21"/>
        </w:rPr>
      </w:pPr>
      <w:r>
        <w:rPr>
          <w:szCs w:val="21"/>
        </w:rPr>
        <w:t>1. 本项目采用固定综合单价方式承包，服务范围仅作为响应报价的参考，具体以委托人要求和现场实际情况为准，实施范围涵盖技术要求中的全部项目及标准。除非另有规定，响应人应针对项目服务范围及采购质量目标要求，充分预见到各种风险，同时考虑响应人企业管理经验和水平，对为本项目提供满足本竞争性谈判文件要求的全面服务而发生的全部应有费用自主报价。</w:t>
      </w:r>
    </w:p>
    <w:p w14:paraId="17478115">
      <w:pPr>
        <w:adjustRightInd w:val="0"/>
        <w:snapToGrid w:val="0"/>
        <w:spacing w:line="360" w:lineRule="auto"/>
        <w:ind w:firstLine="630" w:firstLineChars="300"/>
        <w:rPr>
          <w:szCs w:val="21"/>
          <w:lang w:val="fr-FR"/>
        </w:rPr>
      </w:pPr>
      <w:r>
        <w:rPr>
          <w:szCs w:val="21"/>
          <w:lang w:val="fr-FR"/>
        </w:rPr>
        <w:t>Ce projet fait l'objet d'un contrat à prix unitaire global et fixe, et l'étendue des services ne sert que de référence pour répondre à l'offre, sous réserve des exigences du donneur d'ordre et de la situation réelle sur le site, et l'étendue de la mise en œuvre couvre tous les éléments et les normes des exigences techniques. Sauf indication contraire, le soumissionnaire doit, eu égard à l'étendue des services et aux objectifs de qualité de la passation de marchés du projet, prévoir pleinement les différents risques et, en tenant compte de l'expérience et du niveau de gestion de la société du soumissionnaire, chiffrer de manière indépendante tous les coûts encourus pour la fourniture de services complets pour le projet afin de répondre aux exigences du présent document de négociation concurrentielle.</w:t>
      </w:r>
    </w:p>
    <w:p w14:paraId="2D2FCEFB">
      <w:pPr>
        <w:adjustRightInd w:val="0"/>
        <w:snapToGrid w:val="0"/>
        <w:spacing w:line="360" w:lineRule="auto"/>
        <w:rPr>
          <w:szCs w:val="21"/>
          <w:lang w:val="fr-FR"/>
        </w:rPr>
      </w:pPr>
      <w:r>
        <w:rPr>
          <w:szCs w:val="21"/>
        </w:rPr>
        <w:t>2. 响应人的报价应包括但不限于前期准备、材料费、设备费、人工费、工器具、机械费、管理费、加班赶工费、响应人所缴纳的税金（不含增值税）、利润、临时设施费、配合费、安全防护费、卫生清理及其他与本项目有关的承包商认为应计取的一切费用。</w:t>
      </w:r>
      <w:r>
        <w:rPr>
          <w:szCs w:val="21"/>
        </w:rPr>
        <w:br w:type="textWrapping"/>
      </w:r>
      <w:r>
        <w:rPr>
          <w:szCs w:val="21"/>
        </w:rPr>
        <w:t xml:space="preserve"> </w:t>
      </w:r>
      <w:r>
        <w:rPr>
          <w:szCs w:val="21"/>
          <w:lang w:val="fr-FR"/>
        </w:rPr>
        <w:t xml:space="preserve"> Le devis du soumissionnaire comprendra, sans s'y limiter, les coûts de la préparation préliminaire, des matériaux, de l'équipement, de la main-d'œuvre, des outils de travail, des machines, de la gestion, des heures supplémentaires, des travaux urgents, des taxes payées par </w:t>
      </w:r>
      <w:r>
        <w:rPr>
          <w:rFonts w:hint="eastAsia"/>
          <w:szCs w:val="21"/>
          <w:lang w:val="fr-FR" w:eastAsia="zh-CN"/>
        </w:rPr>
        <w:t xml:space="preserve">le </w:t>
      </w:r>
      <w:r>
        <w:rPr>
          <w:szCs w:val="21"/>
          <w:lang w:val="fr-FR"/>
        </w:rPr>
        <w:t xml:space="preserve">soumissionnaire (à l'exclusion de la TVA), des bénéfices, des installations temporaires, de la coordination, de la sécurité et de la protection, du nettoyage sanitaire et de tous les autres coûts liés au projet que le contractant considère comme imputables. </w:t>
      </w:r>
    </w:p>
    <w:p w14:paraId="779A1B36">
      <w:pPr>
        <w:adjustRightInd w:val="0"/>
        <w:snapToGrid w:val="0"/>
        <w:spacing w:line="360" w:lineRule="auto"/>
        <w:jc w:val="center"/>
        <w:textAlignment w:val="baseline"/>
        <w:rPr>
          <w:b/>
          <w:bCs/>
          <w:szCs w:val="21"/>
        </w:rPr>
      </w:pPr>
      <w:r>
        <w:rPr>
          <w:b/>
          <w:kern w:val="0"/>
          <w:szCs w:val="21"/>
          <w:u w:val="single"/>
        </w:rPr>
        <w:t>56#矿体至</w:t>
      </w:r>
      <w:r>
        <w:rPr>
          <w:rFonts w:hint="eastAsia"/>
          <w:b/>
          <w:kern w:val="0"/>
          <w:szCs w:val="21"/>
          <w:u w:val="single"/>
          <w:lang w:val="en-US" w:eastAsia="zh-CN"/>
        </w:rPr>
        <w:t>维嘉港口</w:t>
      </w:r>
      <w:r>
        <w:rPr>
          <w:b/>
          <w:kern w:val="0"/>
          <w:szCs w:val="21"/>
          <w:u w:val="single"/>
        </w:rPr>
        <w:t>铝土矿道路运输</w:t>
      </w:r>
      <w:r>
        <w:rPr>
          <w:b/>
          <w:bCs/>
          <w:szCs w:val="21"/>
        </w:rPr>
        <w:t>服务报酬清单</w:t>
      </w:r>
    </w:p>
    <w:p w14:paraId="1E24508C">
      <w:pPr>
        <w:adjustRightInd w:val="0"/>
        <w:snapToGrid w:val="0"/>
        <w:spacing w:line="360" w:lineRule="auto"/>
        <w:jc w:val="center"/>
        <w:textAlignment w:val="baseline"/>
        <w:rPr>
          <w:rFonts w:hint="eastAsia" w:eastAsia="宋体"/>
          <w:b/>
          <w:kern w:val="0"/>
          <w:szCs w:val="21"/>
          <w:lang w:val="fr-FR" w:eastAsia="zh-CN"/>
        </w:rPr>
      </w:pPr>
      <w:r>
        <w:rPr>
          <w:b/>
          <w:kern w:val="0"/>
          <w:szCs w:val="21"/>
          <w:lang w:val="fr-FR"/>
        </w:rPr>
        <w:t xml:space="preserve">Liste de rémunération </w:t>
      </w:r>
      <w:r>
        <w:rPr>
          <w:b/>
          <w:kern w:val="0"/>
          <w:szCs w:val="21"/>
          <w:u w:val="single"/>
          <w:lang w:val="fr-FR"/>
        </w:rPr>
        <w:t xml:space="preserve">des services de transport routier de bauxite du gisement 56# de la mine </w:t>
      </w:r>
      <w:r>
        <w:rPr>
          <w:rFonts w:hint="eastAsia"/>
          <w:b/>
          <w:kern w:val="0"/>
          <w:szCs w:val="21"/>
          <w:u w:val="single"/>
          <w:lang w:val="en-US" w:eastAsia="zh-CN"/>
        </w:rPr>
        <w:t xml:space="preserve">au port Verga </w:t>
      </w:r>
    </w:p>
    <w:tbl>
      <w:tblPr>
        <w:tblStyle w:val="31"/>
        <w:tblW w:w="1062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2"/>
        <w:gridCol w:w="3914"/>
        <w:gridCol w:w="3011"/>
        <w:gridCol w:w="1416"/>
        <w:gridCol w:w="1580"/>
      </w:tblGrid>
      <w:tr w14:paraId="41AF35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02" w:type="dxa"/>
            <w:vAlign w:val="center"/>
          </w:tcPr>
          <w:p w14:paraId="2199E573">
            <w:pPr>
              <w:widowControl/>
              <w:jc w:val="center"/>
              <w:rPr>
                <w:b/>
                <w:kern w:val="0"/>
                <w:szCs w:val="21"/>
              </w:rPr>
            </w:pPr>
            <w:r>
              <w:rPr>
                <w:b/>
                <w:kern w:val="0"/>
                <w:szCs w:val="21"/>
              </w:rPr>
              <w:t>序号</w:t>
            </w:r>
          </w:p>
          <w:p w14:paraId="28042640">
            <w:pPr>
              <w:pStyle w:val="20"/>
              <w:jc w:val="center"/>
              <w:rPr>
                <w:lang w:val="fr-FR"/>
              </w:rPr>
            </w:pPr>
            <w:r>
              <w:rPr>
                <w:b/>
                <w:kern w:val="0"/>
                <w:szCs w:val="21"/>
                <w:lang w:val="fr-FR"/>
              </w:rPr>
              <w:t>N</w:t>
            </w:r>
          </w:p>
        </w:tc>
        <w:tc>
          <w:tcPr>
            <w:tcW w:w="3914" w:type="dxa"/>
            <w:vAlign w:val="center"/>
          </w:tcPr>
          <w:p w14:paraId="423C24F0">
            <w:pPr>
              <w:widowControl/>
              <w:jc w:val="center"/>
              <w:rPr>
                <w:b/>
                <w:kern w:val="0"/>
                <w:szCs w:val="21"/>
              </w:rPr>
            </w:pPr>
            <w:r>
              <w:rPr>
                <w:b/>
                <w:kern w:val="0"/>
                <w:szCs w:val="21"/>
              </w:rPr>
              <w:t>服务报酬分项名称</w:t>
            </w:r>
          </w:p>
          <w:p w14:paraId="1861F42A">
            <w:pPr>
              <w:pStyle w:val="20"/>
              <w:jc w:val="center"/>
            </w:pPr>
            <w:r>
              <w:t>Nom de la rémunération des services sous-section</w:t>
            </w:r>
          </w:p>
        </w:tc>
        <w:tc>
          <w:tcPr>
            <w:tcW w:w="3011" w:type="dxa"/>
            <w:vAlign w:val="center"/>
          </w:tcPr>
          <w:p w14:paraId="00E0B518">
            <w:pPr>
              <w:widowControl/>
              <w:jc w:val="center"/>
              <w:rPr>
                <w:b/>
                <w:kern w:val="0"/>
                <w:szCs w:val="21"/>
              </w:rPr>
            </w:pPr>
            <w:r>
              <w:rPr>
                <w:b/>
                <w:kern w:val="0"/>
                <w:szCs w:val="21"/>
              </w:rPr>
              <w:t>单价（美元/吨，不含增值税价）</w:t>
            </w:r>
          </w:p>
          <w:p w14:paraId="47901849">
            <w:pPr>
              <w:pStyle w:val="20"/>
              <w:rPr>
                <w:lang w:val="fr-FR"/>
              </w:rPr>
            </w:pPr>
            <w:r>
              <w:rPr>
                <w:sz w:val="20"/>
                <w:szCs w:val="21"/>
                <w:lang w:val="fr-FR"/>
              </w:rPr>
              <w:t>Prix</w:t>
            </w:r>
            <w:r>
              <w:rPr>
                <w:rFonts w:hint="eastAsia"/>
                <w:sz w:val="20"/>
                <w:szCs w:val="21"/>
                <w:lang w:val="fr-FR"/>
              </w:rPr>
              <w:t xml:space="preserve"> </w:t>
            </w:r>
            <w:r>
              <w:rPr>
                <w:sz w:val="20"/>
                <w:szCs w:val="21"/>
                <w:lang w:val="fr-FR"/>
              </w:rPr>
              <w:t>unitaire</w:t>
            </w:r>
            <w:r>
              <w:rPr>
                <w:b/>
                <w:kern w:val="0"/>
                <w:szCs w:val="21"/>
                <w:lang w:val="fr-FR"/>
              </w:rPr>
              <w:t>（$/T，</w:t>
            </w:r>
            <w:r>
              <w:rPr>
                <w:sz w:val="20"/>
                <w:szCs w:val="21"/>
                <w:lang w:val="fr-FR"/>
              </w:rPr>
              <w:t>hors TVA)</w:t>
            </w:r>
          </w:p>
        </w:tc>
        <w:tc>
          <w:tcPr>
            <w:tcW w:w="1416" w:type="dxa"/>
            <w:vAlign w:val="center"/>
          </w:tcPr>
          <w:p w14:paraId="7E0075B2">
            <w:pPr>
              <w:pStyle w:val="20"/>
              <w:jc w:val="center"/>
              <w:rPr>
                <w:b/>
                <w:kern w:val="0"/>
                <w:szCs w:val="21"/>
              </w:rPr>
            </w:pPr>
            <w:r>
              <w:rPr>
                <w:b/>
                <w:kern w:val="0"/>
                <w:szCs w:val="21"/>
              </w:rPr>
              <w:t>月度运输量</w:t>
            </w:r>
          </w:p>
          <w:p w14:paraId="72B01669">
            <w:pPr>
              <w:pStyle w:val="21"/>
              <w:rPr>
                <w:lang w:val="fr-FR"/>
              </w:rPr>
            </w:pPr>
            <w:r>
              <w:rPr>
                <w:b/>
                <w:kern w:val="0"/>
                <w:szCs w:val="21"/>
                <w:lang w:val="fr-FR"/>
              </w:rPr>
              <w:t>Volume de transport mensuel（T）</w:t>
            </w:r>
          </w:p>
        </w:tc>
        <w:tc>
          <w:tcPr>
            <w:tcW w:w="1580" w:type="dxa"/>
            <w:vAlign w:val="center"/>
          </w:tcPr>
          <w:p w14:paraId="6858B7F2">
            <w:pPr>
              <w:widowControl/>
              <w:jc w:val="center"/>
              <w:rPr>
                <w:b/>
                <w:kern w:val="0"/>
                <w:szCs w:val="21"/>
              </w:rPr>
            </w:pPr>
            <w:r>
              <w:rPr>
                <w:b/>
                <w:kern w:val="0"/>
                <w:szCs w:val="21"/>
              </w:rPr>
              <w:t>备注</w:t>
            </w:r>
          </w:p>
          <w:p w14:paraId="2E95BE38">
            <w:pPr>
              <w:pStyle w:val="20"/>
              <w:jc w:val="center"/>
              <w:rPr>
                <w:lang w:val="fr-FR"/>
              </w:rPr>
            </w:pPr>
            <w:r>
              <w:rPr>
                <w:b/>
                <w:kern w:val="0"/>
                <w:szCs w:val="21"/>
                <w:lang w:val="fr-FR"/>
              </w:rPr>
              <w:t>Remarques</w:t>
            </w:r>
          </w:p>
        </w:tc>
      </w:tr>
      <w:tr w14:paraId="5EFE44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702" w:type="dxa"/>
            <w:vAlign w:val="center"/>
          </w:tcPr>
          <w:p w14:paraId="4D315D6A">
            <w:pPr>
              <w:spacing w:line="300" w:lineRule="exact"/>
              <w:jc w:val="center"/>
              <w:rPr>
                <w:rFonts w:hint="eastAsia" w:eastAsia="宋体"/>
                <w:lang w:val="en-US" w:eastAsia="zh-CN"/>
              </w:rPr>
            </w:pPr>
            <w:r>
              <w:rPr>
                <w:rFonts w:hint="eastAsia"/>
                <w:lang w:val="en-US" w:eastAsia="zh-CN"/>
              </w:rPr>
              <w:t>1</w:t>
            </w:r>
          </w:p>
        </w:tc>
        <w:tc>
          <w:tcPr>
            <w:tcW w:w="3914" w:type="dxa"/>
            <w:shd w:val="clear" w:color="auto" w:fill="auto"/>
            <w:vAlign w:val="center"/>
          </w:tcPr>
          <w:p w14:paraId="3CBBB76A">
            <w:pPr>
              <w:keepNext w:val="0"/>
              <w:keepLines w:val="0"/>
              <w:widowControl/>
              <w:suppressLineNumbers w:val="0"/>
              <w:jc w:val="left"/>
              <w:textAlignment w:val="auto"/>
              <w:rPr>
                <w:rFonts w:hint="default" w:ascii="Times New Roman" w:hAnsi="Times New Roman" w:eastAsia="宋体" w:cs="Times New Roman"/>
                <w:i w:val="0"/>
                <w:color w:val="000000"/>
                <w:kern w:val="0"/>
                <w:sz w:val="21"/>
                <w:szCs w:val="21"/>
                <w:u w:val="none"/>
                <w:lang w:val="en-US" w:eastAsia="zh-CN"/>
              </w:rPr>
            </w:pPr>
            <w:r>
              <w:rPr>
                <w:rFonts w:hint="default" w:ascii="Times New Roman" w:hAnsi="Times New Roman" w:eastAsia="宋体" w:cs="Times New Roman"/>
                <w:i w:val="0"/>
                <w:color w:val="000000"/>
                <w:kern w:val="0"/>
                <w:sz w:val="21"/>
                <w:szCs w:val="21"/>
                <w:u w:val="none"/>
                <w:lang w:val="en-US" w:eastAsia="zh-CN"/>
              </w:rPr>
              <w:t>56#矿体至维嘉港口</w:t>
            </w:r>
            <w:r>
              <w:rPr>
                <w:rFonts w:hint="eastAsia" w:cs="Times New Roman"/>
                <w:i w:val="0"/>
                <w:color w:val="000000"/>
                <w:kern w:val="0"/>
                <w:sz w:val="21"/>
                <w:szCs w:val="21"/>
                <w:u w:val="none"/>
                <w:lang w:val="en-US" w:eastAsia="zh-CN"/>
              </w:rPr>
              <w:t>（约150km）</w:t>
            </w:r>
          </w:p>
          <w:p w14:paraId="3847B4D4">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fr-FR" w:eastAsia="zh-CN" w:bidi="ar-SA"/>
              </w:rPr>
            </w:pPr>
            <w:r>
              <w:rPr>
                <w:rFonts w:hint="default" w:ascii="Times New Roman" w:hAnsi="Times New Roman" w:eastAsia="宋体" w:cs="Times New Roman"/>
                <w:i w:val="0"/>
                <w:color w:val="000000"/>
                <w:kern w:val="0"/>
                <w:sz w:val="21"/>
                <w:szCs w:val="21"/>
                <w:u w:val="none"/>
                <w:lang w:val="en-US" w:eastAsia="zh-CN"/>
              </w:rPr>
              <w:t>Gisement n°56 au Port de V</w:t>
            </w:r>
            <w:r>
              <w:rPr>
                <w:rFonts w:hint="eastAsia" w:ascii="Times New Roman" w:hAnsi="Times New Roman" w:cs="Times New Roman"/>
                <w:i w:val="0"/>
                <w:color w:val="000000"/>
                <w:kern w:val="0"/>
                <w:sz w:val="21"/>
                <w:szCs w:val="21"/>
                <w:u w:val="none"/>
                <w:lang w:val="en-US" w:eastAsia="zh-CN"/>
              </w:rPr>
              <w:t>er</w:t>
            </w:r>
            <w:r>
              <w:rPr>
                <w:rFonts w:hint="default" w:ascii="Times New Roman" w:hAnsi="Times New Roman" w:eastAsia="宋体" w:cs="Times New Roman"/>
                <w:i w:val="0"/>
                <w:color w:val="000000"/>
                <w:kern w:val="0"/>
                <w:sz w:val="21"/>
                <w:szCs w:val="21"/>
                <w:u w:val="none"/>
                <w:lang w:val="en-US" w:eastAsia="zh-CN"/>
              </w:rPr>
              <w:t>ga</w:t>
            </w:r>
            <w:r>
              <w:rPr>
                <w:rFonts w:hint="eastAsia" w:cs="Times New Roman"/>
                <w:i w:val="0"/>
                <w:color w:val="000000"/>
                <w:kern w:val="0"/>
                <w:sz w:val="21"/>
                <w:szCs w:val="21"/>
                <w:u w:val="none"/>
                <w:lang w:val="en-US" w:eastAsia="zh-CN"/>
              </w:rPr>
              <w:t>（environ 150km）</w:t>
            </w:r>
          </w:p>
        </w:tc>
        <w:tc>
          <w:tcPr>
            <w:tcW w:w="3011" w:type="dxa"/>
            <w:vAlign w:val="center"/>
          </w:tcPr>
          <w:p w14:paraId="5AE6D8EF">
            <w:pPr>
              <w:spacing w:line="300" w:lineRule="exact"/>
              <w:jc w:val="center"/>
              <w:rPr>
                <w:lang w:val="fr-FR"/>
              </w:rPr>
            </w:pPr>
          </w:p>
        </w:tc>
        <w:tc>
          <w:tcPr>
            <w:tcW w:w="1416" w:type="dxa"/>
            <w:vAlign w:val="center"/>
          </w:tcPr>
          <w:p w14:paraId="763773DA">
            <w:pPr>
              <w:pStyle w:val="20"/>
              <w:rPr>
                <w:lang w:val="fr-FR"/>
              </w:rPr>
            </w:pPr>
          </w:p>
        </w:tc>
        <w:tc>
          <w:tcPr>
            <w:tcW w:w="1580" w:type="dxa"/>
            <w:vMerge w:val="restart"/>
            <w:vAlign w:val="center"/>
          </w:tcPr>
          <w:p w14:paraId="54947A82">
            <w:pPr>
              <w:pStyle w:val="20"/>
              <w:jc w:val="center"/>
              <w:rPr>
                <w:lang w:val="fr-FR"/>
              </w:rPr>
            </w:pPr>
            <w:r>
              <w:t>推荐</w:t>
            </w:r>
            <w:r>
              <w:rPr>
                <w:rFonts w:hint="eastAsia"/>
                <w:lang w:val="en-US" w:eastAsia="zh-CN"/>
              </w:rPr>
              <w:t>半挂和百吨王</w:t>
            </w:r>
            <w:r>
              <w:t>车型</w:t>
            </w:r>
          </w:p>
          <w:p w14:paraId="0CEB49B8">
            <w:pPr>
              <w:pStyle w:val="20"/>
              <w:rPr>
                <w:lang w:val="fr-FR"/>
              </w:rPr>
            </w:pPr>
            <w:r>
              <w:rPr>
                <w:lang w:val="fr-FR"/>
              </w:rPr>
              <w:t xml:space="preserve">Il est recommandé d'utiliser des camions à </w:t>
            </w:r>
            <w:r>
              <w:rPr>
                <w:rFonts w:hint="eastAsia"/>
                <w:lang w:val="en-US" w:eastAsia="zh-CN"/>
              </w:rPr>
              <w:t xml:space="preserve">semi-remorques et Camions lourds de 100 tonnes </w:t>
            </w:r>
            <w:r>
              <w:rPr>
                <w:lang w:val="fr-FR"/>
              </w:rPr>
              <w:t>.</w:t>
            </w:r>
          </w:p>
        </w:tc>
      </w:tr>
      <w:tr w14:paraId="4B9046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02" w:type="dxa"/>
            <w:vAlign w:val="center"/>
          </w:tcPr>
          <w:p w14:paraId="38A46A26">
            <w:pPr>
              <w:spacing w:line="300" w:lineRule="exact"/>
              <w:jc w:val="center"/>
              <w:rPr>
                <w:rFonts w:hint="eastAsia" w:eastAsia="宋体"/>
                <w:lang w:val="en-US" w:eastAsia="zh-CN"/>
              </w:rPr>
            </w:pPr>
            <w:r>
              <w:rPr>
                <w:rFonts w:hint="eastAsia"/>
                <w:lang w:val="en-US" w:eastAsia="zh-CN"/>
              </w:rPr>
              <w:t>2</w:t>
            </w:r>
          </w:p>
        </w:tc>
        <w:tc>
          <w:tcPr>
            <w:tcW w:w="3914" w:type="dxa"/>
            <w:shd w:val="clear" w:color="auto" w:fill="auto"/>
            <w:vAlign w:val="center"/>
          </w:tcPr>
          <w:p w14:paraId="0C5AB2E9">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rPr>
            </w:pPr>
            <w:r>
              <w:rPr>
                <w:rFonts w:hint="default" w:ascii="Times New Roman" w:hAnsi="Times New Roman" w:eastAsia="宋体" w:cs="Times New Roman"/>
                <w:i w:val="0"/>
                <w:color w:val="000000"/>
                <w:kern w:val="0"/>
                <w:sz w:val="21"/>
                <w:szCs w:val="21"/>
                <w:u w:val="none"/>
                <w:lang w:val="en-US" w:eastAsia="zh-CN"/>
              </w:rPr>
              <w:t>南矿段至维嘉港口</w:t>
            </w:r>
            <w:r>
              <w:rPr>
                <w:rFonts w:hint="eastAsia" w:cs="Times New Roman"/>
                <w:i w:val="0"/>
                <w:color w:val="000000"/>
                <w:kern w:val="0"/>
                <w:sz w:val="21"/>
                <w:szCs w:val="21"/>
                <w:u w:val="none"/>
                <w:lang w:val="en-US" w:eastAsia="zh-CN"/>
              </w:rPr>
              <w:t>（约80km）</w:t>
            </w:r>
          </w:p>
          <w:p w14:paraId="446F0107">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fr-FR" w:eastAsia="zh-CN" w:bidi="ar-SA"/>
              </w:rPr>
            </w:pPr>
            <w:r>
              <w:rPr>
                <w:rFonts w:hint="default" w:ascii="Times New Roman" w:hAnsi="Times New Roman" w:cs="Times New Roman"/>
                <w:highlight w:val="none"/>
              </w:rPr>
              <w:t>section miniè</w:t>
            </w:r>
            <w:r>
              <w:rPr>
                <w:rFonts w:hint="default" w:ascii="Times New Roman" w:hAnsi="Times New Roman" w:cs="Times New Roman"/>
                <w:highlight w:val="none"/>
                <w:lang w:val="en-US" w:eastAsia="zh-CN"/>
              </w:rPr>
              <w:t>re</w:t>
            </w:r>
            <w:r>
              <w:rPr>
                <w:rFonts w:hint="default" w:ascii="Times New Roman" w:hAnsi="Times New Roman" w:cs="Times New Roman"/>
                <w:highlight w:val="none"/>
              </w:rPr>
              <w:t xml:space="preserve"> sud</w:t>
            </w:r>
            <w:r>
              <w:rPr>
                <w:rFonts w:hint="default" w:ascii="Times New Roman" w:hAnsi="Times New Roman" w:cs="Times New Roman"/>
                <w:szCs w:val="21"/>
                <w:highlight w:val="none"/>
                <w:u w:val="none"/>
                <w:lang w:val="en-US" w:eastAsia="zh-CN"/>
              </w:rPr>
              <w:t xml:space="preserve"> au Port de V</w:t>
            </w:r>
            <w:r>
              <w:rPr>
                <w:rFonts w:hint="eastAsia" w:ascii="Times New Roman" w:hAnsi="Times New Roman" w:cs="Times New Roman"/>
                <w:szCs w:val="21"/>
                <w:highlight w:val="none"/>
                <w:u w:val="none"/>
                <w:lang w:val="en-US" w:eastAsia="zh-CN"/>
              </w:rPr>
              <w:t>er</w:t>
            </w:r>
            <w:r>
              <w:rPr>
                <w:rFonts w:hint="default" w:ascii="Times New Roman" w:hAnsi="Times New Roman" w:cs="Times New Roman"/>
                <w:szCs w:val="21"/>
                <w:highlight w:val="none"/>
                <w:u w:val="none"/>
                <w:lang w:val="en-US" w:eastAsia="zh-CN"/>
              </w:rPr>
              <w:t>ga</w:t>
            </w:r>
            <w:r>
              <w:rPr>
                <w:rFonts w:hint="eastAsia" w:cs="Times New Roman"/>
                <w:i w:val="0"/>
                <w:color w:val="000000"/>
                <w:kern w:val="0"/>
                <w:sz w:val="21"/>
                <w:szCs w:val="21"/>
                <w:u w:val="none"/>
                <w:lang w:val="en-US" w:eastAsia="zh-CN"/>
              </w:rPr>
              <w:t>（environ 80km）</w:t>
            </w:r>
          </w:p>
        </w:tc>
        <w:tc>
          <w:tcPr>
            <w:tcW w:w="3011" w:type="dxa"/>
            <w:vAlign w:val="center"/>
          </w:tcPr>
          <w:p w14:paraId="5C421B1C">
            <w:pPr>
              <w:spacing w:line="300" w:lineRule="exact"/>
              <w:jc w:val="center"/>
              <w:rPr>
                <w:lang w:val="fr-FR"/>
              </w:rPr>
            </w:pPr>
          </w:p>
        </w:tc>
        <w:tc>
          <w:tcPr>
            <w:tcW w:w="1416" w:type="dxa"/>
            <w:vAlign w:val="center"/>
          </w:tcPr>
          <w:p w14:paraId="796CC9D7">
            <w:pPr>
              <w:pStyle w:val="20"/>
              <w:rPr>
                <w:lang w:val="fr-FR"/>
              </w:rPr>
            </w:pPr>
          </w:p>
        </w:tc>
        <w:tc>
          <w:tcPr>
            <w:tcW w:w="1580" w:type="dxa"/>
            <w:vMerge w:val="continue"/>
            <w:vAlign w:val="center"/>
          </w:tcPr>
          <w:p w14:paraId="08E9A196">
            <w:pPr>
              <w:pStyle w:val="20"/>
              <w:rPr>
                <w:lang w:val="fr-FR"/>
              </w:rPr>
            </w:pPr>
          </w:p>
        </w:tc>
      </w:tr>
      <w:tr w14:paraId="165B17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7627" w:type="dxa"/>
            <w:gridSpan w:val="3"/>
            <w:vAlign w:val="center"/>
          </w:tcPr>
          <w:p w14:paraId="4B783928">
            <w:pPr>
              <w:spacing w:line="360" w:lineRule="auto"/>
              <w:jc w:val="center"/>
            </w:pPr>
            <w:r>
              <w:rPr>
                <w:b/>
                <w:kern w:val="0"/>
                <w:szCs w:val="21"/>
              </w:rPr>
              <w:t>合计报价Offre totale</w:t>
            </w:r>
          </w:p>
        </w:tc>
        <w:tc>
          <w:tcPr>
            <w:tcW w:w="1416" w:type="dxa"/>
            <w:vAlign w:val="center"/>
          </w:tcPr>
          <w:p w14:paraId="5E3591CA">
            <w:pPr>
              <w:spacing w:line="360" w:lineRule="auto"/>
              <w:jc w:val="center"/>
            </w:pPr>
          </w:p>
        </w:tc>
        <w:tc>
          <w:tcPr>
            <w:tcW w:w="1580" w:type="dxa"/>
            <w:vAlign w:val="center"/>
          </w:tcPr>
          <w:p w14:paraId="4826DF8E">
            <w:pPr>
              <w:spacing w:line="360" w:lineRule="auto"/>
              <w:jc w:val="center"/>
            </w:pPr>
          </w:p>
        </w:tc>
      </w:tr>
    </w:tbl>
    <w:p w14:paraId="3F8EB26B">
      <w:pPr>
        <w:adjustRightInd w:val="0"/>
        <w:snapToGrid w:val="0"/>
        <w:spacing w:line="360" w:lineRule="auto"/>
        <w:jc w:val="left"/>
        <w:textAlignment w:val="baseline"/>
        <w:rPr>
          <w:kern w:val="0"/>
          <w:szCs w:val="21"/>
        </w:rPr>
      </w:pPr>
      <w:r>
        <w:rPr>
          <w:kern w:val="0"/>
          <w:szCs w:val="21"/>
        </w:rPr>
        <w:t>报价单位Société de tarification：_________________ 日期 Date de tarification：__________________</w:t>
      </w:r>
    </w:p>
    <w:p w14:paraId="605F9507">
      <w:pPr>
        <w:pStyle w:val="12"/>
        <w:rPr>
          <w:kern w:val="0"/>
          <w:szCs w:val="21"/>
        </w:rPr>
      </w:pPr>
      <w:r>
        <w:rPr>
          <w:kern w:val="0"/>
          <w:szCs w:val="21"/>
        </w:rPr>
        <w:t>授权委托人Mandant autorisé：_________________ 报价有效期Période de validité de tarification：</w:t>
      </w:r>
      <w:r>
        <w:rPr>
          <w:rFonts w:hint="eastAsia"/>
          <w:kern w:val="0"/>
          <w:szCs w:val="21"/>
        </w:rPr>
        <w:t>(</w:t>
      </w:r>
      <w:r>
        <w:rPr>
          <w:kern w:val="0"/>
          <w:szCs w:val="21"/>
          <w:u w:val="single"/>
        </w:rPr>
        <w:t>自规定的报价截止日期后90天90 jours après la date limite de soumission des offres fixée</w:t>
      </w:r>
      <w:r>
        <w:rPr>
          <w:rFonts w:hint="eastAsia"/>
          <w:kern w:val="0"/>
          <w:szCs w:val="21"/>
          <w:u w:val="single"/>
        </w:rPr>
        <w:t>)</w:t>
      </w:r>
    </w:p>
    <w:sectPr>
      <w:headerReference r:id="rId12" w:type="default"/>
      <w:pgSz w:w="11906" w:h="16838"/>
      <w:pgMar w:top="1417" w:right="1134" w:bottom="1134" w:left="1417" w:header="851" w:footer="850" w:gutter="0"/>
      <w:cols w:space="720" w:num="1"/>
      <w:titlePg/>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B662C0-B983-409A-95DE-751BF67996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2" w:fontKey="{9C5A3D00-5970-4FCC-BD40-BB12121B4927}"/>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embedRegular r:id="rId3" w:fontKey="{CE1BEC48-51A6-46A2-9C01-6C76968D5926}"/>
  </w:font>
  <w:font w:name="Wingdings 2">
    <w:panose1 w:val="05020102010507070707"/>
    <w:charset w:val="02"/>
    <w:family w:val="roman"/>
    <w:pitch w:val="default"/>
    <w:sig w:usb0="00000000" w:usb1="00000000" w:usb2="00000000" w:usb3="00000000" w:csb0="80000000" w:csb1="00000000"/>
    <w:embedRegular r:id="rId4" w:fontKey="{844515E9-B93E-44B4-AD41-515A99C7637B}"/>
  </w:font>
  <w:font w:name="Segoe UI">
    <w:panose1 w:val="020B0502040204020203"/>
    <w:charset w:val="00"/>
    <w:family w:val="swiss"/>
    <w:pitch w:val="default"/>
    <w:sig w:usb0="E4002EFF" w:usb1="C000E47F" w:usb2="00000009" w:usb3="00000000" w:csb0="200001FF" w:csb1="00000000"/>
    <w:embedRegular r:id="rId5" w:fontKey="{EDEFDF0A-2A68-4227-B7DB-D9D55DFC5FC6}"/>
  </w:font>
  <w:font w:name="方正小标宋简体">
    <w:panose1 w:val="02000000000000000000"/>
    <w:charset w:val="86"/>
    <w:family w:val="auto"/>
    <w:pitch w:val="default"/>
    <w:sig w:usb0="00000001" w:usb1="08000000" w:usb2="00000000" w:usb3="00000000" w:csb0="00040000" w:csb1="00000000"/>
    <w:embedRegular r:id="rId6" w:fontKey="{C145FEF6-AD95-415D-A163-6D1390A019F2}"/>
  </w:font>
  <w:font w:name="方正仿宋_GB2312">
    <w:panose1 w:val="02000000000000000000"/>
    <w:charset w:val="86"/>
    <w:family w:val="auto"/>
    <w:pitch w:val="default"/>
    <w:sig w:usb0="A00002BF" w:usb1="184F6CFA" w:usb2="00000012" w:usb3="00000000" w:csb0="00040001" w:csb1="00000000"/>
    <w:embedRegular r:id="rId7" w:fontKey="{9E1AE331-4982-44E7-A068-3D9DBC40D8F3}"/>
  </w:font>
  <w:font w:name="WPSEMBED1">
    <w:panose1 w:val="02010609030101010101"/>
    <w:charset w:val="86"/>
    <w:family w:val="auto"/>
    <w:pitch w:val="default"/>
    <w:sig w:usb0="00000001" w:usb1="080E0000" w:usb2="00000000" w:usb3="00000000" w:csb0="00040000" w:csb1="00000000"/>
  </w:font>
  <w:font w:name="WPSEMBED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44D0A">
    <w:pPr>
      <w:pStyle w:val="20"/>
    </w:pPr>
    <w:r>
      <w:br w:type="textWrapping"/>
    </w: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D1AE77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vert="horz" wrap="none" lIns="0" tIns="0" rIns="0" bIns="0" anchor="t">
                      <a:spAutoFit/>
                    </wps:bodyPr>
                  </wps:wsp>
                </a:graphicData>
              </a:graphic>
            </wp:anchor>
          </w:drawing>
        </mc:Choice>
        <mc:Fallback>
          <w:pict>
            <v:rect id="文本框 2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OztV73KAQAAkwMAAA4AAAAAAAAAAQAgAAAAHwEAAGRycy9lMm9E&#10;b2MueG1sUEsFBgAAAAAGAAYAWQEAAFsFAAAAAA==&#10;">
              <v:fill on="f" focussize="0,0"/>
              <v:stroke on="f"/>
              <v:imagedata o:title=""/>
              <o:lock v:ext="edit" aspectratio="f"/>
              <v:textbox inset="0mm,0mm,0mm,0mm" style="mso-fit-shape-to-text:t;">
                <w:txbxContent>
                  <w:p w14:paraId="7D1AE77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46A9A">
    <w:pPr>
      <w:pStyle w:val="2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4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BFDF97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vert="horz" wrap="none" lIns="0" tIns="0" rIns="0" bIns="0" anchor="t">
                      <a:spAutoFit/>
                    </wps:bodyPr>
                  </wps:wsp>
                </a:graphicData>
              </a:graphic>
            </wp:anchor>
          </w:drawing>
        </mc:Choice>
        <mc:Fallback>
          <w:pict>
            <v:rect id="文本框 40"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3yZkLskBAACTAwAADgAAAAAAAAABACAAAAAfAQAAZHJzL2Uyb0Rv&#10;Yy54bWxQSwUGAAAAAAYABgBZAQAAWgUAAAAA&#10;">
              <v:fill on="f" focussize="0,0"/>
              <v:stroke on="f"/>
              <v:imagedata o:title=""/>
              <o:lock v:ext="edit" aspectratio="f"/>
              <v:textbox inset="0mm,0mm,0mm,0mm" style="mso-fit-shape-to-text:t;">
                <w:txbxContent>
                  <w:p w14:paraId="3BFDF97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1FE34">
    <w:pPr>
      <w:pStyle w:val="2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1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F9ABBB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3</w:t>
                          </w:r>
                          <w:r>
                            <w:rPr>
                              <w:rFonts w:hint="eastAsia"/>
                              <w:sz w:val="18"/>
                            </w:rPr>
                            <w:fldChar w:fldCharType="end"/>
                          </w:r>
                        </w:p>
                      </w:txbxContent>
                    </wps:txbx>
                    <wps:bodyPr vert="horz" wrap="none" lIns="0" tIns="0" rIns="0" bIns="0" anchor="t">
                      <a:spAutoFit/>
                    </wps:bodyPr>
                  </wps:wsp>
                </a:graphicData>
              </a:graphic>
            </wp:anchor>
          </w:drawing>
        </mc:Choice>
        <mc:Fallback>
          <w:pict>
            <v:rect id="文本框 1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IGPEMTKAQAAkwMAAA4AAAAAAAAAAQAgAAAAHwEAAGRycy9lMm9E&#10;b2MueG1sUEsFBgAAAAAGAAYAWQEAAFsFAAAAAA==&#10;">
              <v:fill on="f" focussize="0,0"/>
              <v:stroke on="f"/>
              <v:imagedata o:title=""/>
              <o:lock v:ext="edit" aspectratio="f"/>
              <v:textbox inset="0mm,0mm,0mm,0mm" style="mso-fit-shape-to-text:t;">
                <w:txbxContent>
                  <w:p w14:paraId="6F9ABBB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3</w:t>
                    </w:r>
                    <w:r>
                      <w:rPr>
                        <w:rFonts w:hint="eastAsia"/>
                        <w:sz w:val="18"/>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818D5">
    <w:pPr>
      <w:pStyle w:val="20"/>
      <w:jc w:val="center"/>
      <w:rPr>
        <w:rFonts w:hint="eastAsia" w:ascii="宋体" w:hAnsi="宋体"/>
        <w:sz w:val="20"/>
      </w:rPr>
    </w:pPr>
    <w:r>
      <w:rPr>
        <w:sz w:val="20"/>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2" name="文本框 4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3B0974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9</w:t>
                          </w:r>
                          <w:r>
                            <w:rPr>
                              <w:rFonts w:hint="eastAsia"/>
                              <w:sz w:val="18"/>
                            </w:rPr>
                            <w:fldChar w:fldCharType="end"/>
                          </w:r>
                        </w:p>
                      </w:txbxContent>
                    </wps:txbx>
                    <wps:bodyPr vert="horz" wrap="none" lIns="0" tIns="0" rIns="0" bIns="0" anchor="t">
                      <a:spAutoFit/>
                    </wps:bodyPr>
                  </wps:wsp>
                </a:graphicData>
              </a:graphic>
            </wp:anchor>
          </w:drawing>
        </mc:Choice>
        <mc:Fallback>
          <w:pict>
            <v:rect id="文本框 4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Fl81gXKAQAAkwMAAA4AAAAAAAAAAQAgAAAAHwEAAGRycy9lMm9E&#10;b2MueG1sUEsFBgAAAAAGAAYAWQEAAFsFAAAAAA==&#10;">
              <v:fill on="f" focussize="0,0"/>
              <v:stroke on="f"/>
              <v:imagedata o:title=""/>
              <o:lock v:ext="edit" aspectratio="f"/>
              <v:textbox inset="0mm,0mm,0mm,0mm" style="mso-fit-shape-to-text:t;">
                <w:txbxContent>
                  <w:p w14:paraId="73B0974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9</w:t>
                    </w:r>
                    <w:r>
                      <w:rPr>
                        <w:rFonts w:hint="eastAsia"/>
                        <w:sz w:val="18"/>
                      </w:rP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32990">
    <w:pPr>
      <w:pStyle w:val="2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53035" cy="175260"/>
              <wp:effectExtent l="0" t="0" r="0" b="0"/>
              <wp:wrapNone/>
              <wp:docPr id="4103" name="文本框 2"/>
              <wp:cNvGraphicFramePr/>
              <a:graphic xmlns:a="http://schemas.openxmlformats.org/drawingml/2006/main">
                <a:graphicData uri="http://schemas.microsoft.com/office/word/2010/wordprocessingShape">
                  <wps:wsp>
                    <wps:cNvSpPr/>
                    <wps:spPr>
                      <a:xfrm>
                        <a:off x="0" y="0"/>
                        <a:ext cx="153035" cy="175260"/>
                      </a:xfrm>
                      <a:prstGeom prst="rect">
                        <a:avLst/>
                      </a:prstGeom>
                      <a:ln>
                        <a:noFill/>
                      </a:ln>
                    </wps:spPr>
                    <wps:txbx>
                      <w:txbxContent>
                        <w:p w14:paraId="563ECA60">
                          <w:pPr>
                            <w:snapToGrid w:val="0"/>
                            <w:rPr>
                              <w:sz w:val="24"/>
                              <w:szCs w:val="24"/>
                            </w:rPr>
                          </w:pPr>
                          <w:r>
                            <w:rPr>
                              <w:rFonts w:hint="eastAsia"/>
                              <w:sz w:val="24"/>
                              <w:szCs w:val="24"/>
                            </w:rPr>
                            <w:fldChar w:fldCharType="begin"/>
                          </w:r>
                          <w:r>
                            <w:rPr>
                              <w:sz w:val="24"/>
                              <w:szCs w:val="24"/>
                            </w:rPr>
                            <w:instrText xml:space="preserve"> PAGE  \* MERGEFORMAT </w:instrText>
                          </w:r>
                          <w:r>
                            <w:rPr>
                              <w:rFonts w:hint="eastAsia"/>
                              <w:sz w:val="24"/>
                              <w:szCs w:val="24"/>
                            </w:rPr>
                            <w:fldChar w:fldCharType="separate"/>
                          </w:r>
                          <w:r>
                            <w:rPr>
                              <w:sz w:val="24"/>
                              <w:szCs w:val="24"/>
                            </w:rPr>
                            <w:t>12</w:t>
                          </w:r>
                          <w:r>
                            <w:rPr>
                              <w:rFonts w:hint="eastAsia"/>
                              <w:sz w:val="24"/>
                              <w:szCs w:val="24"/>
                            </w:rPr>
                            <w:fldChar w:fldCharType="end"/>
                          </w:r>
                        </w:p>
                      </w:txbxContent>
                    </wps:txbx>
                    <wps:bodyPr vert="horz" wrap="none" lIns="0" tIns="0" rIns="0" bIns="0" anchor="t" upright="1">
                      <a:spAutoFit/>
                    </wps:bodyPr>
                  </wps:wsp>
                </a:graphicData>
              </a:graphic>
            </wp:anchor>
          </w:drawing>
        </mc:Choice>
        <mc:Fallback>
          <w:pict>
            <v:rect id="文本框 2" o:spid="_x0000_s1026" o:spt="1" style="position:absolute;left:0pt;margin-top:0pt;height:13.8pt;width:12.05pt;mso-position-horizontal:center;mso-position-horizontal-relative:margin;mso-wrap-style:none;z-index:251659264;mso-width-relative:page;mso-height-relative:page;" filled="f" stroked="f" coordsize="21600,21600" o:gfxdata="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P7gRa0QAAAAMBAAAPAAAAAAAAAAEAIAAAACIA&#10;AABkcnMvZG93bnJldi54bWxQSwECFAAUAAAACACHTuJA2a01IdcBAACcAwAADgAAAAAAAAABACAA&#10;AAAgAQAAZHJzL2Uyb0RvYy54bWxQSwUGAAAAAAYABgBZAQAAaQUAAAAA&#10;">
              <v:fill on="f" focussize="0,0"/>
              <v:stroke on="f"/>
              <v:imagedata o:title=""/>
              <o:lock v:ext="edit" aspectratio="f"/>
              <v:textbox inset="0mm,0mm,0mm,0mm" style="mso-fit-shape-to-text:t;">
                <w:txbxContent>
                  <w:p w14:paraId="563ECA60">
                    <w:pPr>
                      <w:snapToGrid w:val="0"/>
                      <w:rPr>
                        <w:sz w:val="24"/>
                        <w:szCs w:val="24"/>
                      </w:rPr>
                    </w:pPr>
                    <w:r>
                      <w:rPr>
                        <w:rFonts w:hint="eastAsia"/>
                        <w:sz w:val="24"/>
                        <w:szCs w:val="24"/>
                      </w:rPr>
                      <w:fldChar w:fldCharType="begin"/>
                    </w:r>
                    <w:r>
                      <w:rPr>
                        <w:sz w:val="24"/>
                        <w:szCs w:val="24"/>
                      </w:rPr>
                      <w:instrText xml:space="preserve"> PAGE  \* MERGEFORMAT </w:instrText>
                    </w:r>
                    <w:r>
                      <w:rPr>
                        <w:rFonts w:hint="eastAsia"/>
                        <w:sz w:val="24"/>
                        <w:szCs w:val="24"/>
                      </w:rPr>
                      <w:fldChar w:fldCharType="separate"/>
                    </w:r>
                    <w:r>
                      <w:rPr>
                        <w:sz w:val="24"/>
                        <w:szCs w:val="24"/>
                      </w:rPr>
                      <w:t>12</w:t>
                    </w:r>
                    <w:r>
                      <w:rPr>
                        <w:rFonts w:hint="eastAsia"/>
                        <w:sz w:val="24"/>
                        <w:szCs w:val="24"/>
                      </w:rP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63149">
    <w:pPr>
      <w:pStyle w:val="2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4" name="文本框 2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9942AE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a:spAutoFit/>
                    </wps:bodyPr>
                  </wps:wsp>
                </a:graphicData>
              </a:graphic>
            </wp:anchor>
          </w:drawing>
        </mc:Choice>
        <mc:Fallback>
          <w:pict>
            <v:rect id="文本框 2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5dblS0AAAAAUBAAAPAAAAAAAAAAEAIAAAACIAAABkcnMvZG93bnJldi54bWxQSwECFAAUAAAA&#10;CACHTuJAmqWAbr0BAAB8AwAADgAAAAAAAAABACAAAAAfAQAAZHJzL2Uyb0RvYy54bWxQSwUGAAAA&#10;AAYABgBZAQAATgUAAAAA&#10;">
              <v:fill on="f" focussize="0,0"/>
              <v:stroke on="f"/>
              <v:imagedata o:title=""/>
              <o:lock v:ext="edit" aspectratio="f"/>
              <v:textbox inset="0mm,0mm,0mm,0mm" style="mso-fit-shape-to-text:t;">
                <w:txbxContent>
                  <w:p w14:paraId="49942AE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733E4">
    <w:pPr>
      <w:pStyle w:val="21"/>
      <w:pBdr>
        <w:bottom w:val="single" w:color="auto" w:sz="4" w:space="1"/>
      </w:pBdr>
    </w:pPr>
    <w:r>
      <w:rPr>
        <w:rFonts w:hint="eastAsia" w:ascii="仿宋_GB2312" w:eastAsia="仿宋_GB2312"/>
        <w:color w:val="000000"/>
        <w:sz w:val="32"/>
        <w:szCs w:val="32"/>
      </w:rPr>
      <w:drawing>
        <wp:inline distT="0" distB="0" distL="0" distR="0">
          <wp:extent cx="350520" cy="168910"/>
          <wp:effectExtent l="0" t="0" r="0" b="13970"/>
          <wp:docPr id="4097" name="图片 1"/>
          <wp:cNvGraphicFramePr/>
          <a:graphic xmlns:a="http://schemas.openxmlformats.org/drawingml/2006/main">
            <a:graphicData uri="http://schemas.openxmlformats.org/drawingml/2006/picture">
              <pic:pic xmlns:pic="http://schemas.openxmlformats.org/drawingml/2006/picture">
                <pic:nvPicPr>
                  <pic:cNvPr id="4097" name="图片 1"/>
                  <pic:cNvPicPr/>
                </pic:nvPicPr>
                <pic:blipFill>
                  <a:blip r:embed="rId1" cstate="print"/>
                  <a:srcRect/>
                  <a:stretch>
                    <a:fillRect/>
                  </a:stretch>
                </pic:blipFill>
                <pic:spPr>
                  <a:xfrm>
                    <a:off x="0" y="0"/>
                    <a:ext cx="350520" cy="168910"/>
                  </a:xfrm>
                  <a:prstGeom prst="rect">
                    <a:avLst/>
                  </a:prstGeom>
                  <a:ln>
                    <a:noFill/>
                  </a:ln>
                </pic:spPr>
              </pic:pic>
            </a:graphicData>
          </a:graphic>
        </wp:inline>
      </w:drawing>
    </w:r>
    <w:r>
      <w:rPr>
        <w:rFonts w:hint="eastAsia"/>
      </w:rPr>
      <w:t>国家电投集团铝电投资有限公司                   服务竞争性谈判采购文件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9A3D2">
    <w:pPr>
      <w:pStyle w:val="21"/>
      <w:pBdr>
        <w:bottom w:val="single" w:color="auto" w:sz="4" w:space="1"/>
      </w:pBdr>
    </w:pPr>
    <w:bookmarkStart w:id="158" w:name="Content"/>
    <w:bookmarkEnd w:id="158"/>
    <w:r>
      <w:rPr>
        <w:rFonts w:hint="eastAsia" w:ascii="仿宋_GB2312" w:eastAsia="仿宋_GB2312"/>
        <w:color w:val="000000"/>
        <w:sz w:val="32"/>
        <w:szCs w:val="32"/>
      </w:rPr>
      <w:drawing>
        <wp:inline distT="0" distB="0" distL="0" distR="0">
          <wp:extent cx="350520" cy="168910"/>
          <wp:effectExtent l="0" t="0" r="0" b="13970"/>
          <wp:docPr id="4099" name="图片 1"/>
          <wp:cNvGraphicFramePr/>
          <a:graphic xmlns:a="http://schemas.openxmlformats.org/drawingml/2006/main">
            <a:graphicData uri="http://schemas.openxmlformats.org/drawingml/2006/picture">
              <pic:pic xmlns:pic="http://schemas.openxmlformats.org/drawingml/2006/picture">
                <pic:nvPicPr>
                  <pic:cNvPr id="4099" name="图片 1"/>
                  <pic:cNvPicPr/>
                </pic:nvPicPr>
                <pic:blipFill>
                  <a:blip r:embed="rId1" cstate="print"/>
                  <a:srcRect/>
                  <a:stretch>
                    <a:fillRect/>
                  </a:stretch>
                </pic:blipFill>
                <pic:spPr>
                  <a:xfrm>
                    <a:off x="0" y="0"/>
                    <a:ext cx="350520" cy="168910"/>
                  </a:xfrm>
                  <a:prstGeom prst="rect">
                    <a:avLst/>
                  </a:prstGeom>
                  <a:ln>
                    <a:noFill/>
                  </a:ln>
                </pic:spPr>
              </pic:pic>
            </a:graphicData>
          </a:graphic>
        </wp:inline>
      </w:drawing>
    </w:r>
    <w:r>
      <w:rPr>
        <w:rFonts w:hint="eastAsia"/>
      </w:rPr>
      <w:t>国家电投国际投资开发（几内亚）有限责任公司               服务竞争性谈判采购文件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3CA79">
    <w:pPr>
      <w:pStyle w:val="21"/>
      <w:pBdr>
        <w:bottom w:val="single" w:color="auto" w:sz="4" w:space="1"/>
      </w:pBdr>
      <w:jc w:val="left"/>
      <w:rPr>
        <w:bCs/>
        <w:lang w:val="fr-F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CC4D6">
    <w:pPr>
      <w:pStyle w:val="21"/>
      <w:pBdr>
        <w:bottom w:val="single" w:color="auto" w:sz="4" w:space="1"/>
      </w:pBdr>
    </w:pPr>
    <w:r>
      <w:rPr>
        <w:rFonts w:hint="eastAsia" w:ascii="仿宋_GB2312" w:eastAsia="仿宋_GB2312"/>
        <w:color w:val="000000"/>
        <w:sz w:val="32"/>
        <w:szCs w:val="32"/>
      </w:rPr>
      <w:drawing>
        <wp:inline distT="0" distB="0" distL="0" distR="0">
          <wp:extent cx="350520" cy="168910"/>
          <wp:effectExtent l="0" t="0" r="0" b="13970"/>
          <wp:docPr id="4105" name="图片 1"/>
          <wp:cNvGraphicFramePr/>
          <a:graphic xmlns:a="http://schemas.openxmlformats.org/drawingml/2006/main">
            <a:graphicData uri="http://schemas.openxmlformats.org/drawingml/2006/picture">
              <pic:pic xmlns:pic="http://schemas.openxmlformats.org/drawingml/2006/picture">
                <pic:nvPicPr>
                  <pic:cNvPr id="4105" name="图片 1"/>
                  <pic:cNvPicPr/>
                </pic:nvPicPr>
                <pic:blipFill>
                  <a:blip r:embed="rId1" cstate="print"/>
                  <a:srcRect/>
                  <a:stretch>
                    <a:fillRect/>
                  </a:stretch>
                </pic:blipFill>
                <pic:spPr>
                  <a:xfrm>
                    <a:off x="0" y="0"/>
                    <a:ext cx="350520" cy="168910"/>
                  </a:xfrm>
                  <a:prstGeom prst="rect">
                    <a:avLst/>
                  </a:prstGeom>
                  <a:ln>
                    <a:noFill/>
                  </a:ln>
                </pic:spPr>
              </pic:pic>
            </a:graphicData>
          </a:graphic>
        </wp:inline>
      </w:drawing>
    </w:r>
    <w:r>
      <w:rPr>
        <w:rFonts w:hint="eastAsia"/>
      </w:rPr>
      <w:t>国家电投集团铝电投资有限公司                   服务竞争性谈判采购文件（2023版）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chineseCounting"/>
      <w:suff w:val="space"/>
      <w:lvlText w:val="第%1章"/>
      <w:lvlJc w:val="left"/>
      <w:rPr>
        <w:rFonts w:hint="eastAsia"/>
      </w:rPr>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abstractNum w:abstractNumId="2">
    <w:nsid w:val="00000002"/>
    <w:multiLevelType w:val="singleLevel"/>
    <w:tmpl w:val="00000002"/>
    <w:lvl w:ilvl="0" w:tentative="0">
      <w:start w:val="1"/>
      <w:numFmt w:val="decimal"/>
      <w:lvlText w:val="%1."/>
      <w:lvlJc w:val="left"/>
      <w:pPr>
        <w:tabs>
          <w:tab w:val="left" w:pos="312"/>
        </w:tabs>
      </w:pPr>
    </w:lvl>
  </w:abstractNum>
  <w:abstractNum w:abstractNumId="3">
    <w:nsid w:val="00000003"/>
    <w:multiLevelType w:val="singleLevel"/>
    <w:tmpl w:val="00000003"/>
    <w:lvl w:ilvl="0" w:tentative="0">
      <w:start w:val="1"/>
      <w:numFmt w:val="decimal"/>
      <w:lvlText w:val="%1."/>
      <w:lvlJc w:val="left"/>
      <w:pPr>
        <w:tabs>
          <w:tab w:val="left" w:pos="312"/>
        </w:tabs>
      </w:pPr>
    </w:lvl>
  </w:abstractNum>
  <w:abstractNum w:abstractNumId="4">
    <w:nsid w:val="00000004"/>
    <w:multiLevelType w:val="singleLevel"/>
    <w:tmpl w:val="00000004"/>
    <w:lvl w:ilvl="0" w:tentative="0">
      <w:start w:val="1"/>
      <w:numFmt w:val="upperRoman"/>
      <w:suff w:val="nothing"/>
      <w:lvlText w:val="（%1）"/>
      <w:lvlJc w:val="left"/>
    </w:lvl>
  </w:abstractNum>
  <w:abstractNum w:abstractNumId="5">
    <w:nsid w:val="00000005"/>
    <w:multiLevelType w:val="singleLevel"/>
    <w:tmpl w:val="00000005"/>
    <w:lvl w:ilvl="0" w:tentative="0">
      <w:start w:val="3"/>
      <w:numFmt w:val="decimal"/>
      <w:suff w:val="nothing"/>
      <w:lvlText w:val="（%1）"/>
      <w:lvlJc w:val="left"/>
    </w:lvl>
  </w:abstractNum>
  <w:abstractNum w:abstractNumId="6">
    <w:nsid w:val="00000006"/>
    <w:multiLevelType w:val="multilevel"/>
    <w:tmpl w:val="00000006"/>
    <w:lvl w:ilvl="0" w:tentative="0">
      <w:start w:val="1"/>
      <w:numFmt w:val="japaneseCounting"/>
      <w:lvlText w:val="第%1条"/>
      <w:lvlJc w:val="left"/>
      <w:pPr>
        <w:ind w:left="1275" w:hanging="85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00000007"/>
    <w:multiLevelType w:val="singleLevel"/>
    <w:tmpl w:val="00000007"/>
    <w:lvl w:ilvl="0" w:tentative="0">
      <w:start w:val="1"/>
      <w:numFmt w:val="upperRoman"/>
      <w:suff w:val="nothing"/>
      <w:lvlText w:val="（%1）"/>
      <w:lvlJc w:val="left"/>
    </w:lvl>
  </w:abstractNum>
  <w:abstractNum w:abstractNumId="8">
    <w:nsid w:val="00000008"/>
    <w:multiLevelType w:val="singleLevel"/>
    <w:tmpl w:val="00000008"/>
    <w:lvl w:ilvl="0" w:tentative="0">
      <w:start w:val="1"/>
      <w:numFmt w:val="chineseCounting"/>
      <w:suff w:val="space"/>
      <w:lvlText w:val="第%1章"/>
      <w:lvlJc w:val="left"/>
      <w:rPr>
        <w:rFonts w:hint="eastAsia"/>
      </w:rPr>
    </w:lvl>
  </w:abstractNum>
  <w:abstractNum w:abstractNumId="9">
    <w:nsid w:val="00000009"/>
    <w:multiLevelType w:val="singleLevel"/>
    <w:tmpl w:val="00000009"/>
    <w:lvl w:ilvl="0" w:tentative="0">
      <w:start w:val="1"/>
      <w:numFmt w:val="decimal"/>
      <w:lvlText w:val="%1"/>
      <w:lvlJc w:val="center"/>
      <w:pPr>
        <w:tabs>
          <w:tab w:val="left" w:pos="170"/>
        </w:tabs>
        <w:ind w:left="0" w:firstLine="170"/>
      </w:pPr>
      <w:rPr>
        <w:rFonts w:hint="default"/>
      </w:rPr>
    </w:lvl>
  </w:abstractNum>
  <w:abstractNum w:abstractNumId="10">
    <w:nsid w:val="0000000A"/>
    <w:multiLevelType w:val="singleLevel"/>
    <w:tmpl w:val="0000000A"/>
    <w:lvl w:ilvl="0" w:tentative="0">
      <w:start w:val="1"/>
      <w:numFmt w:val="chineseCounting"/>
      <w:suff w:val="nothing"/>
      <w:lvlText w:val="（%1）"/>
      <w:lvlJc w:val="left"/>
    </w:lvl>
  </w:abstractNum>
  <w:abstractNum w:abstractNumId="11">
    <w:nsid w:val="0000000B"/>
    <w:multiLevelType w:val="singleLevel"/>
    <w:tmpl w:val="0000000B"/>
    <w:lvl w:ilvl="0" w:tentative="0">
      <w:start w:val="2"/>
      <w:numFmt w:val="decimal"/>
      <w:suff w:val="space"/>
      <w:lvlText w:val="%1."/>
      <w:lvlJc w:val="left"/>
    </w:lvl>
  </w:abstractNum>
  <w:abstractNum w:abstractNumId="12">
    <w:nsid w:val="0000000D"/>
    <w:multiLevelType w:val="singleLevel"/>
    <w:tmpl w:val="0000000D"/>
    <w:lvl w:ilvl="0" w:tentative="0">
      <w:start w:val="1"/>
      <w:numFmt w:val="decimal"/>
      <w:suff w:val="nothing"/>
      <w:lvlText w:val="%1．"/>
      <w:lvlJc w:val="left"/>
      <w:pPr>
        <w:ind w:left="0" w:leftChars="0" w:firstLine="400" w:firstLineChars="0"/>
      </w:pPr>
      <w:rPr>
        <w:rFonts w:hint="default"/>
      </w:rPr>
    </w:lvl>
  </w:abstractNum>
  <w:abstractNum w:abstractNumId="13">
    <w:nsid w:val="0000000E"/>
    <w:multiLevelType w:val="singleLevel"/>
    <w:tmpl w:val="0000000E"/>
    <w:lvl w:ilvl="0" w:tentative="0">
      <w:start w:val="1"/>
      <w:numFmt w:val="decimal"/>
      <w:suff w:val="nothing"/>
      <w:lvlText w:val="%1．"/>
      <w:lvlJc w:val="left"/>
      <w:pPr>
        <w:ind w:left="0" w:leftChars="0" w:firstLine="400" w:firstLineChars="0"/>
      </w:pPr>
      <w:rPr>
        <w:rFonts w:hint="default"/>
      </w:rPr>
    </w:lvl>
  </w:abstractNum>
  <w:abstractNum w:abstractNumId="14">
    <w:nsid w:val="0000000F"/>
    <w:multiLevelType w:val="singleLevel"/>
    <w:tmpl w:val="0000000F"/>
    <w:lvl w:ilvl="0" w:tentative="0">
      <w:start w:val="1"/>
      <w:numFmt w:val="decimal"/>
      <w:suff w:val="nothing"/>
      <w:lvlText w:val="%1．"/>
      <w:lvlJc w:val="left"/>
      <w:pPr>
        <w:ind w:left="0" w:leftChars="0" w:firstLine="400" w:firstLineChars="0"/>
      </w:pPr>
      <w:rPr>
        <w:rFonts w:hint="default"/>
      </w:rPr>
    </w:lvl>
  </w:abstractNum>
  <w:abstractNum w:abstractNumId="15">
    <w:nsid w:val="00000010"/>
    <w:multiLevelType w:val="singleLevel"/>
    <w:tmpl w:val="00000010"/>
    <w:lvl w:ilvl="0" w:tentative="0">
      <w:start w:val="1"/>
      <w:numFmt w:val="decimal"/>
      <w:lvlText w:val="%1."/>
      <w:lvlJc w:val="left"/>
      <w:pPr>
        <w:tabs>
          <w:tab w:val="left" w:pos="312"/>
        </w:tabs>
      </w:pPr>
    </w:lvl>
  </w:abstractNum>
  <w:abstractNum w:abstractNumId="16">
    <w:nsid w:val="00000011"/>
    <w:multiLevelType w:val="singleLevel"/>
    <w:tmpl w:val="00000011"/>
    <w:lvl w:ilvl="0" w:tentative="0">
      <w:start w:val="1"/>
      <w:numFmt w:val="upperRoman"/>
      <w:suff w:val="nothing"/>
      <w:lvlText w:val="（%1）"/>
      <w:lvlJc w:val="left"/>
    </w:lvl>
  </w:abstractNum>
  <w:abstractNum w:abstractNumId="17">
    <w:nsid w:val="00000012"/>
    <w:multiLevelType w:val="singleLevel"/>
    <w:tmpl w:val="00000012"/>
    <w:lvl w:ilvl="0" w:tentative="0">
      <w:start w:val="1"/>
      <w:numFmt w:val="decimal"/>
      <w:suff w:val="space"/>
      <w:lvlText w:val="%1."/>
      <w:lvlJc w:val="left"/>
    </w:lvl>
  </w:abstractNum>
  <w:num w:numId="1">
    <w:abstractNumId w:val="8"/>
  </w:num>
  <w:num w:numId="2">
    <w:abstractNumId w:val="9"/>
  </w:num>
  <w:num w:numId="3">
    <w:abstractNumId w:val="2"/>
  </w:num>
  <w:num w:numId="4">
    <w:abstractNumId w:val="15"/>
  </w:num>
  <w:num w:numId="5">
    <w:abstractNumId w:val="0"/>
  </w:num>
  <w:num w:numId="6">
    <w:abstractNumId w:val="11"/>
  </w:num>
  <w:num w:numId="7">
    <w:abstractNumId w:val="6"/>
  </w:num>
  <w:num w:numId="8">
    <w:abstractNumId w:val="3"/>
  </w:num>
  <w:num w:numId="9">
    <w:abstractNumId w:val="17"/>
  </w:num>
  <w:num w:numId="10">
    <w:abstractNumId w:val="4"/>
  </w:num>
  <w:num w:numId="11">
    <w:abstractNumId w:val="12"/>
  </w:num>
  <w:num w:numId="12">
    <w:abstractNumId w:val="13"/>
  </w:num>
  <w:num w:numId="13">
    <w:abstractNumId w:val="14"/>
  </w:num>
  <w:num w:numId="14">
    <w:abstractNumId w:val="16"/>
  </w:num>
  <w:num w:numId="15">
    <w:abstractNumId w:val="7"/>
  </w:num>
  <w:num w:numId="16">
    <w:abstractNumId w:val="10"/>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trackRevisions w:val="1"/>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20066A8"/>
    <w:rsid w:val="092D20AE"/>
    <w:rsid w:val="116861BB"/>
    <w:rsid w:val="18B65137"/>
    <w:rsid w:val="2276738B"/>
    <w:rsid w:val="32E93950"/>
    <w:rsid w:val="35453DCD"/>
    <w:rsid w:val="3A087AAA"/>
    <w:rsid w:val="44024E70"/>
    <w:rsid w:val="442A41F9"/>
    <w:rsid w:val="4A9D0066"/>
    <w:rsid w:val="4B465D0E"/>
    <w:rsid w:val="4E060E89"/>
    <w:rsid w:val="5A984AEF"/>
    <w:rsid w:val="63C006A5"/>
    <w:rsid w:val="664A21B2"/>
    <w:rsid w:val="69FE4E54"/>
    <w:rsid w:val="6C213774"/>
    <w:rsid w:val="79D61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99"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4"/>
    <w:next w:val="1"/>
    <w:link w:val="42"/>
    <w:qFormat/>
    <w:uiPriority w:val="0"/>
    <w:pPr>
      <w:keepNext/>
      <w:outlineLvl w:val="1"/>
    </w:pPr>
    <w:rPr>
      <w:sz w:val="28"/>
    </w:rPr>
  </w:style>
  <w:style w:type="paragraph" w:styleId="5">
    <w:name w:val="heading 3"/>
    <w:basedOn w:val="1"/>
    <w:next w:val="1"/>
    <w:qFormat/>
    <w:uiPriority w:val="0"/>
    <w:pPr>
      <w:keepNext/>
      <w:keepLines/>
      <w:spacing w:line="415" w:lineRule="auto"/>
      <w:outlineLvl w:val="2"/>
    </w:pPr>
    <w:rPr>
      <w:b/>
      <w:bCs/>
      <w:sz w:val="32"/>
      <w:szCs w:val="32"/>
    </w:rPr>
  </w:style>
  <w:style w:type="paragraph" w:styleId="6">
    <w:name w:val="heading 4"/>
    <w:basedOn w:val="1"/>
    <w:next w:val="1"/>
    <w:qFormat/>
    <w:uiPriority w:val="9"/>
    <w:pPr>
      <w:keepNext/>
      <w:keepLines/>
      <w:spacing w:before="280" w:after="290" w:line="372" w:lineRule="auto"/>
      <w:outlineLvl w:val="3"/>
    </w:pPr>
    <w:rPr>
      <w:rFonts w:ascii="Arial" w:hAnsi="Arial" w:eastAsia="黑体"/>
      <w:b/>
      <w:sz w:val="28"/>
    </w:rPr>
  </w:style>
  <w:style w:type="paragraph" w:styleId="7">
    <w:name w:val="heading 5"/>
    <w:basedOn w:val="1"/>
    <w:next w:val="1"/>
    <w:qFormat/>
    <w:uiPriority w:val="9"/>
    <w:pPr>
      <w:keepNext/>
      <w:keepLines/>
      <w:spacing w:before="280" w:after="290" w:line="372" w:lineRule="auto"/>
      <w:outlineLvl w:val="4"/>
    </w:pPr>
    <w:rPr>
      <w:b/>
      <w:sz w:val="28"/>
    </w:rPr>
  </w:style>
  <w:style w:type="character" w:default="1" w:styleId="33">
    <w:name w:val="Default Paragraph Font"/>
    <w:qFormat/>
    <w:uiPriority w:val="1"/>
  </w:style>
  <w:style w:type="table" w:default="1" w:styleId="31">
    <w:name w:val="Normal Table"/>
    <w:qFormat/>
    <w:uiPriority w:val="99"/>
    <w:tblPr>
      <w:tblCellMar>
        <w:top w:w="0" w:type="dxa"/>
        <w:left w:w="108" w:type="dxa"/>
        <w:bottom w:w="0" w:type="dxa"/>
        <w:right w:w="108" w:type="dxa"/>
      </w:tblCellMar>
    </w:tblPr>
  </w:style>
  <w:style w:type="paragraph" w:styleId="4">
    <w:name w:val="Title"/>
    <w:basedOn w:val="1"/>
    <w:next w:val="1"/>
    <w:qFormat/>
    <w:uiPriority w:val="10"/>
    <w:pPr>
      <w:adjustRightInd w:val="0"/>
      <w:spacing w:before="240" w:after="60" w:line="420" w:lineRule="atLeast"/>
      <w:jc w:val="center"/>
      <w:textAlignment w:val="baseline"/>
      <w:outlineLvl w:val="0"/>
    </w:pPr>
    <w:rPr>
      <w:rFonts w:ascii="Arial" w:hAnsi="Arial"/>
      <w:b/>
      <w:kern w:val="0"/>
      <w:sz w:val="32"/>
    </w:rPr>
  </w:style>
  <w:style w:type="paragraph" w:styleId="8">
    <w:name w:val="toc 7"/>
    <w:basedOn w:val="1"/>
    <w:next w:val="1"/>
    <w:qFormat/>
    <w:uiPriority w:val="39"/>
    <w:pPr>
      <w:ind w:left="2520" w:leftChars="1200"/>
    </w:pPr>
  </w:style>
  <w:style w:type="paragraph" w:styleId="9">
    <w:name w:val="Normal Indent"/>
    <w:basedOn w:val="1"/>
    <w:qFormat/>
    <w:uiPriority w:val="99"/>
    <w:pPr>
      <w:adjustRightInd w:val="0"/>
      <w:spacing w:line="410" w:lineRule="atLeast"/>
      <w:ind w:firstLine="420"/>
      <w:jc w:val="left"/>
    </w:pPr>
    <w:rPr>
      <w:rFonts w:ascii="宋体"/>
      <w:kern w:val="0"/>
      <w:sz w:val="24"/>
    </w:rPr>
  </w:style>
  <w:style w:type="paragraph" w:styleId="10">
    <w:name w:val="annotation text"/>
    <w:basedOn w:val="1"/>
    <w:qFormat/>
    <w:uiPriority w:val="99"/>
    <w:pPr>
      <w:jc w:val="left"/>
    </w:pPr>
  </w:style>
  <w:style w:type="paragraph" w:styleId="11">
    <w:name w:val="Body Text 3"/>
    <w:basedOn w:val="1"/>
    <w:qFormat/>
    <w:uiPriority w:val="0"/>
    <w:pPr>
      <w:spacing w:after="120"/>
    </w:pPr>
    <w:rPr>
      <w:sz w:val="16"/>
      <w:szCs w:val="16"/>
    </w:rPr>
  </w:style>
  <w:style w:type="paragraph" w:styleId="12">
    <w:name w:val="Body Text"/>
    <w:basedOn w:val="1"/>
    <w:next w:val="1"/>
    <w:qFormat/>
    <w:uiPriority w:val="0"/>
    <w:pPr>
      <w:spacing w:after="120"/>
    </w:pPr>
  </w:style>
  <w:style w:type="paragraph" w:styleId="13">
    <w:name w:val="Body Text Indent"/>
    <w:basedOn w:val="1"/>
    <w:qFormat/>
    <w:uiPriority w:val="0"/>
    <w:pPr>
      <w:adjustRightInd w:val="0"/>
      <w:spacing w:line="360" w:lineRule="auto"/>
      <w:ind w:firstLine="600"/>
    </w:pPr>
    <w:rPr>
      <w:sz w:val="28"/>
      <w:szCs w:val="28"/>
    </w:rPr>
  </w:style>
  <w:style w:type="paragraph" w:styleId="14">
    <w:name w:val="Block Text"/>
    <w:basedOn w:val="1"/>
    <w:qFormat/>
    <w:uiPriority w:val="99"/>
    <w:pPr>
      <w:spacing w:after="120"/>
      <w:ind w:left="1440" w:leftChars="700" w:right="1440" w:rightChars="700"/>
    </w:pPr>
    <w:rPr>
      <w:szCs w:val="24"/>
    </w:rPr>
  </w:style>
  <w:style w:type="paragraph" w:styleId="15">
    <w:name w:val="toc 5"/>
    <w:basedOn w:val="1"/>
    <w:next w:val="1"/>
    <w:qFormat/>
    <w:uiPriority w:val="39"/>
    <w:pPr>
      <w:ind w:left="1680" w:leftChars="800"/>
    </w:pPr>
  </w:style>
  <w:style w:type="paragraph" w:styleId="16">
    <w:name w:val="toc 3"/>
    <w:basedOn w:val="1"/>
    <w:next w:val="1"/>
    <w:qFormat/>
    <w:uiPriority w:val="0"/>
    <w:pPr>
      <w:ind w:left="840" w:leftChars="400"/>
    </w:pPr>
  </w:style>
  <w:style w:type="paragraph" w:styleId="17">
    <w:name w:val="Plain Text"/>
    <w:basedOn w:val="1"/>
    <w:qFormat/>
    <w:uiPriority w:val="0"/>
  </w:style>
  <w:style w:type="paragraph" w:styleId="18">
    <w:name w:val="toc 8"/>
    <w:basedOn w:val="1"/>
    <w:next w:val="1"/>
    <w:qFormat/>
    <w:uiPriority w:val="39"/>
    <w:pPr>
      <w:ind w:left="2940" w:leftChars="1400"/>
    </w:pPr>
  </w:style>
  <w:style w:type="paragraph" w:styleId="19">
    <w:name w:val="Date"/>
    <w:basedOn w:val="1"/>
    <w:next w:val="1"/>
    <w:qFormat/>
    <w:uiPriority w:val="99"/>
    <w:pPr>
      <w:ind w:left="2500" w:leftChars="2500"/>
    </w:pPr>
  </w:style>
  <w:style w:type="paragraph" w:styleId="20">
    <w:name w:val="footer"/>
    <w:basedOn w:val="1"/>
    <w:next w:val="1"/>
    <w:qFormat/>
    <w:uiPriority w:val="0"/>
    <w:pPr>
      <w:tabs>
        <w:tab w:val="center" w:pos="4153"/>
        <w:tab w:val="right" w:pos="8306"/>
      </w:tabs>
      <w:snapToGrid w:val="0"/>
      <w:jc w:val="left"/>
    </w:pPr>
    <w:rPr>
      <w:sz w:val="18"/>
    </w:rPr>
  </w:style>
  <w:style w:type="paragraph" w:styleId="21">
    <w:name w:val="header"/>
    <w:basedOn w:val="1"/>
    <w:link w:val="4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2">
    <w:name w:val="toc 1"/>
    <w:basedOn w:val="1"/>
    <w:next w:val="1"/>
    <w:qFormat/>
    <w:uiPriority w:val="39"/>
  </w:style>
  <w:style w:type="paragraph" w:styleId="23">
    <w:name w:val="toc 4"/>
    <w:basedOn w:val="1"/>
    <w:next w:val="1"/>
    <w:qFormat/>
    <w:uiPriority w:val="39"/>
    <w:pPr>
      <w:ind w:left="1260" w:leftChars="600"/>
    </w:pPr>
  </w:style>
  <w:style w:type="paragraph" w:styleId="24">
    <w:name w:val="toc 6"/>
    <w:basedOn w:val="1"/>
    <w:next w:val="1"/>
    <w:qFormat/>
    <w:uiPriority w:val="39"/>
    <w:pPr>
      <w:ind w:left="2100" w:leftChars="1000"/>
    </w:pPr>
  </w:style>
  <w:style w:type="paragraph" w:styleId="25">
    <w:name w:val="Body Text Indent 3"/>
    <w:basedOn w:val="1"/>
    <w:qFormat/>
    <w:uiPriority w:val="99"/>
    <w:pPr>
      <w:spacing w:after="120"/>
      <w:ind w:left="420" w:leftChars="200"/>
    </w:pPr>
    <w:rPr>
      <w:sz w:val="16"/>
      <w:szCs w:val="16"/>
    </w:rPr>
  </w:style>
  <w:style w:type="paragraph" w:styleId="26">
    <w:name w:val="toc 2"/>
    <w:basedOn w:val="1"/>
    <w:next w:val="1"/>
    <w:qFormat/>
    <w:uiPriority w:val="0"/>
    <w:pPr>
      <w:ind w:left="420" w:leftChars="200"/>
    </w:pPr>
  </w:style>
  <w:style w:type="paragraph" w:styleId="27">
    <w:name w:val="toc 9"/>
    <w:basedOn w:val="1"/>
    <w:next w:val="1"/>
    <w:qFormat/>
    <w:uiPriority w:val="39"/>
    <w:pPr>
      <w:ind w:left="3360" w:leftChars="1600"/>
    </w:pPr>
  </w:style>
  <w:style w:type="paragraph" w:styleId="28">
    <w:name w:val="Normal (Web)"/>
    <w:basedOn w:val="1"/>
    <w:qFormat/>
    <w:uiPriority w:val="99"/>
    <w:pPr>
      <w:spacing w:before="100" w:beforeAutospacing="1" w:after="100" w:afterAutospacing="1"/>
      <w:jc w:val="left"/>
    </w:pPr>
    <w:rPr>
      <w:kern w:val="0"/>
      <w:sz w:val="24"/>
    </w:rPr>
  </w:style>
  <w:style w:type="paragraph" w:styleId="29">
    <w:name w:val="Body Text First Indent"/>
    <w:basedOn w:val="12"/>
    <w:next w:val="1"/>
    <w:qFormat/>
    <w:uiPriority w:val="0"/>
    <w:pPr>
      <w:tabs>
        <w:tab w:val="left" w:pos="720"/>
      </w:tabs>
      <w:adjustRightInd w:val="0"/>
      <w:spacing w:line="410" w:lineRule="atLeast"/>
      <w:ind w:firstLine="420" w:firstLineChars="100"/>
      <w:jc w:val="left"/>
      <w:textAlignment w:val="baseline"/>
    </w:pPr>
    <w:rPr>
      <w:rFonts w:ascii="宋体" w:hAnsi="宋体"/>
      <w:color w:val="000000"/>
      <w:kern w:val="0"/>
    </w:rPr>
  </w:style>
  <w:style w:type="paragraph" w:styleId="30">
    <w:name w:val="Body Text First Indent 2"/>
    <w:basedOn w:val="13"/>
    <w:qFormat/>
    <w:uiPriority w:val="99"/>
    <w:pPr>
      <w:tabs>
        <w:tab w:val="left" w:pos="1218"/>
        <w:tab w:val="left" w:pos="3544"/>
      </w:tabs>
      <w:ind w:firstLine="420" w:firstLineChars="200"/>
    </w:pPr>
    <w:rPr>
      <w:szCs w:val="24"/>
    </w:rPr>
  </w:style>
  <w:style w:type="table" w:styleId="32">
    <w:name w:val="Table Grid"/>
    <w:basedOn w:val="3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page number"/>
    <w:basedOn w:val="33"/>
    <w:qFormat/>
    <w:uiPriority w:val="99"/>
  </w:style>
  <w:style w:type="character" w:styleId="35">
    <w:name w:val="FollowedHyperlink"/>
    <w:basedOn w:val="33"/>
    <w:qFormat/>
    <w:uiPriority w:val="99"/>
    <w:rPr>
      <w:color w:val="1D6B6B"/>
      <w:u w:val="none"/>
    </w:rPr>
  </w:style>
  <w:style w:type="character" w:styleId="36">
    <w:name w:val="HTML Definition"/>
    <w:basedOn w:val="33"/>
    <w:qFormat/>
    <w:uiPriority w:val="99"/>
  </w:style>
  <w:style w:type="character" w:styleId="37">
    <w:name w:val="HTML Variable"/>
    <w:basedOn w:val="33"/>
    <w:qFormat/>
    <w:uiPriority w:val="99"/>
  </w:style>
  <w:style w:type="character" w:styleId="38">
    <w:name w:val="Hyperlink"/>
    <w:qFormat/>
    <w:uiPriority w:val="99"/>
    <w:rPr>
      <w:color w:val="0563C1"/>
      <w:u w:val="single"/>
    </w:rPr>
  </w:style>
  <w:style w:type="character" w:styleId="39">
    <w:name w:val="HTML Code"/>
    <w:basedOn w:val="33"/>
    <w:qFormat/>
    <w:uiPriority w:val="99"/>
    <w:rPr>
      <w:rFonts w:ascii="微软雅黑" w:hAnsi="微软雅黑" w:eastAsia="微软雅黑" w:cs="微软雅黑"/>
      <w:sz w:val="20"/>
    </w:rPr>
  </w:style>
  <w:style w:type="character" w:styleId="40">
    <w:name w:val="HTML Cite"/>
    <w:basedOn w:val="33"/>
    <w:qFormat/>
    <w:uiPriority w:val="99"/>
  </w:style>
  <w:style w:type="character" w:customStyle="1" w:styleId="41">
    <w:name w:val="页眉 字符"/>
    <w:link w:val="21"/>
    <w:qFormat/>
    <w:uiPriority w:val="0"/>
    <w:rPr>
      <w:kern w:val="2"/>
      <w:sz w:val="18"/>
    </w:rPr>
  </w:style>
  <w:style w:type="character" w:customStyle="1" w:styleId="42">
    <w:name w:val="标题 2 字符"/>
    <w:link w:val="3"/>
    <w:qFormat/>
    <w:uiPriority w:val="0"/>
    <w:rPr>
      <w:b/>
      <w:sz w:val="28"/>
    </w:rPr>
  </w:style>
  <w:style w:type="character" w:customStyle="1" w:styleId="43">
    <w:name w:val="ico1655"/>
    <w:basedOn w:val="33"/>
    <w:qFormat/>
    <w:uiPriority w:val="0"/>
  </w:style>
  <w:style w:type="character" w:customStyle="1" w:styleId="44">
    <w:name w:val="active5"/>
    <w:basedOn w:val="33"/>
    <w:qFormat/>
    <w:uiPriority w:val="0"/>
    <w:rPr>
      <w:color w:val="FFFFFF"/>
      <w:shd w:val="clear" w:color="auto" w:fill="6EABB1"/>
    </w:rPr>
  </w:style>
  <w:style w:type="character" w:customStyle="1" w:styleId="45">
    <w:name w:val="time_overtime"/>
    <w:basedOn w:val="33"/>
    <w:qFormat/>
    <w:uiPriority w:val="0"/>
  </w:style>
  <w:style w:type="character" w:customStyle="1" w:styleId="46">
    <w:name w:val="ico1654"/>
    <w:basedOn w:val="33"/>
    <w:qFormat/>
    <w:uiPriority w:val="0"/>
  </w:style>
  <w:style w:type="character" w:customStyle="1" w:styleId="47">
    <w:name w:val="portal_setico1"/>
    <w:basedOn w:val="33"/>
    <w:qFormat/>
    <w:uiPriority w:val="0"/>
  </w:style>
  <w:style w:type="character" w:customStyle="1" w:styleId="48">
    <w:name w:val="icontext1"/>
    <w:basedOn w:val="33"/>
    <w:qFormat/>
    <w:uiPriority w:val="0"/>
  </w:style>
  <w:style w:type="character" w:customStyle="1" w:styleId="49">
    <w:name w:val="enddate"/>
    <w:basedOn w:val="33"/>
    <w:qFormat/>
    <w:uiPriority w:val="0"/>
  </w:style>
  <w:style w:type="character" w:customStyle="1" w:styleId="50">
    <w:name w:val="time_logo"/>
    <w:basedOn w:val="33"/>
    <w:qFormat/>
    <w:uiPriority w:val="0"/>
  </w:style>
  <w:style w:type="character" w:customStyle="1" w:styleId="51">
    <w:name w:val="pagechatarealistclose_box1"/>
    <w:basedOn w:val="33"/>
    <w:qFormat/>
    <w:uiPriority w:val="0"/>
  </w:style>
  <w:style w:type="character" w:customStyle="1" w:styleId="52">
    <w:name w:val="createdate"/>
    <w:basedOn w:val="33"/>
    <w:qFormat/>
    <w:uiPriority w:val="0"/>
    <w:rPr>
      <w:color w:val="6A8386"/>
    </w:rPr>
  </w:style>
  <w:style w:type="character" w:customStyle="1" w:styleId="53">
    <w:name w:val="select"/>
    <w:basedOn w:val="33"/>
    <w:qFormat/>
    <w:uiPriority w:val="0"/>
  </w:style>
  <w:style w:type="character" w:customStyle="1" w:styleId="54">
    <w:name w:val="iconline2"/>
    <w:basedOn w:val="33"/>
    <w:qFormat/>
    <w:uiPriority w:val="0"/>
  </w:style>
  <w:style w:type="character" w:customStyle="1" w:styleId="55">
    <w:name w:val="edit_type"/>
    <w:basedOn w:val="33"/>
    <w:qFormat/>
    <w:uiPriority w:val="0"/>
  </w:style>
  <w:style w:type="character" w:customStyle="1" w:styleId="56">
    <w:name w:val="close2"/>
    <w:basedOn w:val="33"/>
    <w:qFormat/>
    <w:uiPriority w:val="0"/>
  </w:style>
  <w:style w:type="character" w:customStyle="1" w:styleId="57">
    <w:name w:val="up"/>
    <w:basedOn w:val="33"/>
    <w:qFormat/>
    <w:uiPriority w:val="0"/>
  </w:style>
  <w:style w:type="character" w:customStyle="1" w:styleId="58">
    <w:name w:val="advanced_item"/>
    <w:basedOn w:val="33"/>
    <w:qFormat/>
    <w:uiPriority w:val="0"/>
  </w:style>
  <w:style w:type="character" w:customStyle="1" w:styleId="59">
    <w:name w:val="del"/>
    <w:basedOn w:val="33"/>
    <w:qFormat/>
    <w:uiPriority w:val="0"/>
  </w:style>
  <w:style w:type="character" w:customStyle="1" w:styleId="60">
    <w:name w:val="infomation"/>
    <w:basedOn w:val="33"/>
    <w:qFormat/>
    <w:uiPriority w:val="0"/>
  </w:style>
  <w:style w:type="character" w:customStyle="1" w:styleId="61">
    <w:name w:val="sender"/>
    <w:basedOn w:val="33"/>
    <w:qFormat/>
    <w:uiPriority w:val="0"/>
  </w:style>
  <w:style w:type="character" w:customStyle="1" w:styleId="62">
    <w:name w:val="left"/>
    <w:basedOn w:val="33"/>
    <w:qFormat/>
    <w:uiPriority w:val="0"/>
  </w:style>
  <w:style w:type="character" w:customStyle="1" w:styleId="63">
    <w:name w:val="time"/>
    <w:basedOn w:val="33"/>
    <w:qFormat/>
    <w:uiPriority w:val="0"/>
  </w:style>
  <w:style w:type="character" w:customStyle="1" w:styleId="64">
    <w:name w:val="hover19"/>
    <w:basedOn w:val="33"/>
    <w:qFormat/>
    <w:uiPriority w:val="0"/>
    <w:rPr>
      <w:color w:val="1B57B9"/>
    </w:rPr>
  </w:style>
  <w:style w:type="character" w:customStyle="1" w:styleId="65">
    <w:name w:val="icontext3"/>
    <w:basedOn w:val="33"/>
    <w:qFormat/>
    <w:uiPriority w:val="0"/>
  </w:style>
  <w:style w:type="character" w:customStyle="1" w:styleId="66">
    <w:name w:val="hover36"/>
    <w:basedOn w:val="33"/>
    <w:qFormat/>
    <w:uiPriority w:val="0"/>
    <w:rPr>
      <w:color w:val="FFFFFF"/>
    </w:rPr>
  </w:style>
  <w:style w:type="character" w:customStyle="1" w:styleId="67">
    <w:name w:val="name"/>
    <w:basedOn w:val="33"/>
    <w:qFormat/>
    <w:uiPriority w:val="0"/>
  </w:style>
  <w:style w:type="character" w:customStyle="1" w:styleId="68">
    <w:name w:val="down"/>
    <w:basedOn w:val="33"/>
    <w:qFormat/>
    <w:uiPriority w:val="0"/>
  </w:style>
  <w:style w:type="character" w:customStyle="1" w:styleId="69">
    <w:name w:val="no_background"/>
    <w:basedOn w:val="33"/>
    <w:qFormat/>
    <w:uiPriority w:val="0"/>
  </w:style>
  <w:style w:type="character" w:customStyle="1" w:styleId="70">
    <w:name w:val="ico_system"/>
    <w:basedOn w:val="33"/>
    <w:qFormat/>
    <w:uiPriority w:val="0"/>
  </w:style>
  <w:style w:type="character" w:customStyle="1" w:styleId="71">
    <w:name w:val="urgent"/>
    <w:basedOn w:val="33"/>
    <w:qFormat/>
    <w:uiPriority w:val="0"/>
    <w:rPr>
      <w:color w:val="000000"/>
    </w:rPr>
  </w:style>
  <w:style w:type="character" w:customStyle="1" w:styleId="72">
    <w:name w:val="cy"/>
    <w:basedOn w:val="33"/>
    <w:qFormat/>
    <w:uiPriority w:val="0"/>
  </w:style>
  <w:style w:type="character" w:customStyle="1" w:styleId="73">
    <w:name w:val="cdropleft"/>
    <w:basedOn w:val="33"/>
    <w:qFormat/>
    <w:uiPriority w:val="0"/>
  </w:style>
  <w:style w:type="character" w:customStyle="1" w:styleId="74">
    <w:name w:val="hilite"/>
    <w:basedOn w:val="33"/>
    <w:qFormat/>
    <w:uiPriority w:val="0"/>
    <w:rPr>
      <w:color w:val="FFFFFF"/>
      <w:shd w:val="clear" w:color="auto" w:fill="666666"/>
    </w:rPr>
  </w:style>
  <w:style w:type="character" w:customStyle="1" w:styleId="75">
    <w:name w:val="iconline21"/>
    <w:basedOn w:val="33"/>
    <w:qFormat/>
    <w:uiPriority w:val="0"/>
  </w:style>
  <w:style w:type="character" w:customStyle="1" w:styleId="76">
    <w:name w:val="active7"/>
    <w:basedOn w:val="33"/>
    <w:qFormat/>
    <w:uiPriority w:val="0"/>
  </w:style>
  <w:style w:type="character" w:customStyle="1" w:styleId="77">
    <w:name w:val="cdropright"/>
    <w:basedOn w:val="33"/>
    <w:qFormat/>
    <w:uiPriority w:val="0"/>
  </w:style>
  <w:style w:type="character" w:customStyle="1" w:styleId="78">
    <w:name w:val="hover41"/>
    <w:basedOn w:val="33"/>
    <w:qFormat/>
    <w:uiPriority w:val="0"/>
    <w:rPr>
      <w:color w:val="FFFFFF"/>
    </w:rPr>
  </w:style>
  <w:style w:type="character" w:customStyle="1" w:styleId="79">
    <w:name w:val="owner"/>
    <w:basedOn w:val="33"/>
    <w:qFormat/>
    <w:uiPriority w:val="0"/>
  </w:style>
  <w:style w:type="character" w:customStyle="1" w:styleId="80">
    <w:name w:val="button4"/>
    <w:basedOn w:val="33"/>
    <w:qFormat/>
    <w:uiPriority w:val="0"/>
  </w:style>
  <w:style w:type="character" w:customStyle="1" w:styleId="81">
    <w:name w:val="placeholder"/>
    <w:basedOn w:val="33"/>
    <w:qFormat/>
    <w:uiPriority w:val="0"/>
  </w:style>
  <w:style w:type="character" w:customStyle="1" w:styleId="82">
    <w:name w:val="w32"/>
    <w:basedOn w:val="33"/>
    <w:qFormat/>
    <w:uiPriority w:val="0"/>
  </w:style>
  <w:style w:type="character" w:customStyle="1" w:styleId="83">
    <w:name w:val="icontext12"/>
    <w:basedOn w:val="33"/>
    <w:qFormat/>
    <w:uiPriority w:val="0"/>
  </w:style>
  <w:style w:type="character" w:customStyle="1" w:styleId="84">
    <w:name w:val="fc-event-bg"/>
    <w:basedOn w:val="33"/>
    <w:qFormat/>
    <w:uiPriority w:val="0"/>
    <w:rPr>
      <w:shd w:val="clear" w:color="auto" w:fill="FFFFFF"/>
    </w:rPr>
  </w:style>
  <w:style w:type="character" w:customStyle="1" w:styleId="85">
    <w:name w:val="remind"/>
    <w:basedOn w:val="33"/>
    <w:qFormat/>
    <w:uiPriority w:val="0"/>
  </w:style>
  <w:style w:type="character" w:customStyle="1" w:styleId="86">
    <w:name w:val="type"/>
    <w:basedOn w:val="33"/>
    <w:qFormat/>
    <w:uiPriority w:val="0"/>
  </w:style>
  <w:style w:type="character" w:customStyle="1" w:styleId="87">
    <w:name w:val="xdrichtextbox"/>
    <w:basedOn w:val="33"/>
    <w:qFormat/>
    <w:uiPriority w:val="0"/>
    <w:rPr>
      <w:color w:val="auto"/>
      <w:sz w:val="18"/>
      <w:szCs w:val="18"/>
      <w:u w:val="none"/>
      <w:bdr w:val="single" w:color="DCDCDC" w:sz="8" w:space="0"/>
      <w:shd w:val="clear" w:color="auto" w:fill="auto"/>
    </w:rPr>
  </w:style>
  <w:style w:type="character" w:customStyle="1" w:styleId="88">
    <w:name w:val="mid"/>
    <w:basedOn w:val="33"/>
    <w:qFormat/>
    <w:uiPriority w:val="0"/>
  </w:style>
  <w:style w:type="character" w:customStyle="1" w:styleId="89">
    <w:name w:val="state"/>
    <w:basedOn w:val="33"/>
    <w:qFormat/>
    <w:uiPriority w:val="0"/>
  </w:style>
  <w:style w:type="character" w:customStyle="1" w:styleId="90">
    <w:name w:val="ico_open"/>
    <w:basedOn w:val="33"/>
    <w:qFormat/>
    <w:uiPriority w:val="0"/>
  </w:style>
  <w:style w:type="character" w:customStyle="1" w:styleId="91">
    <w:name w:val="close"/>
    <w:basedOn w:val="33"/>
    <w:qFormat/>
    <w:uiPriority w:val="0"/>
  </w:style>
  <w:style w:type="character" w:customStyle="1" w:styleId="92">
    <w:name w:val="sort"/>
    <w:basedOn w:val="33"/>
    <w:qFormat/>
    <w:uiPriority w:val="0"/>
    <w:rPr>
      <w:bdr w:val="single" w:color="D3E8DF" w:sz="6" w:space="0"/>
    </w:rPr>
  </w:style>
  <w:style w:type="character" w:customStyle="1" w:styleId="93">
    <w:name w:val="print"/>
    <w:basedOn w:val="33"/>
    <w:qFormat/>
    <w:uiPriority w:val="0"/>
  </w:style>
  <w:style w:type="character" w:customStyle="1" w:styleId="94">
    <w:name w:val="close3"/>
    <w:basedOn w:val="33"/>
    <w:qFormat/>
    <w:uiPriority w:val="0"/>
    <w:rPr>
      <w:vanish/>
    </w:rPr>
  </w:style>
  <w:style w:type="character" w:customStyle="1" w:styleId="95">
    <w:name w:val="fc-event-title"/>
    <w:basedOn w:val="33"/>
    <w:qFormat/>
    <w:uiPriority w:val="0"/>
  </w:style>
  <w:style w:type="character" w:customStyle="1" w:styleId="96">
    <w:name w:val="ico_open1"/>
    <w:basedOn w:val="33"/>
    <w:qFormat/>
    <w:uiPriority w:val="0"/>
  </w:style>
  <w:style w:type="character" w:customStyle="1" w:styleId="97">
    <w:name w:val="ui_title_wrap_title"/>
    <w:basedOn w:val="33"/>
    <w:qFormat/>
    <w:uiPriority w:val="0"/>
  </w:style>
  <w:style w:type="character" w:customStyle="1" w:styleId="98">
    <w:name w:val="button"/>
    <w:basedOn w:val="33"/>
    <w:qFormat/>
    <w:uiPriority w:val="0"/>
  </w:style>
  <w:style w:type="character" w:customStyle="1" w:styleId="99">
    <w:name w:val="after"/>
    <w:basedOn w:val="33"/>
    <w:qFormat/>
    <w:uiPriority w:val="0"/>
    <w:rPr>
      <w:sz w:val="16"/>
      <w:szCs w:val="0"/>
    </w:rPr>
  </w:style>
  <w:style w:type="character" w:customStyle="1" w:styleId="100">
    <w:name w:val="close1"/>
    <w:basedOn w:val="33"/>
    <w:qFormat/>
    <w:uiPriority w:val="0"/>
  </w:style>
  <w:style w:type="character" w:customStyle="1" w:styleId="101">
    <w:name w:val="icontext11"/>
    <w:basedOn w:val="33"/>
    <w:qFormat/>
    <w:uiPriority w:val="0"/>
  </w:style>
  <w:style w:type="character" w:customStyle="1" w:styleId="102">
    <w:name w:val="common"/>
    <w:basedOn w:val="33"/>
    <w:qFormat/>
    <w:uiPriority w:val="0"/>
  </w:style>
  <w:style w:type="character" w:customStyle="1" w:styleId="103">
    <w:name w:val="publisher"/>
    <w:basedOn w:val="33"/>
    <w:qFormat/>
    <w:uiPriority w:val="0"/>
  </w:style>
  <w:style w:type="character" w:customStyle="1" w:styleId="104">
    <w:name w:val="ico_fold2"/>
    <w:basedOn w:val="33"/>
    <w:qFormat/>
    <w:uiPriority w:val="0"/>
  </w:style>
  <w:style w:type="character" w:customStyle="1" w:styleId="105">
    <w:name w:val="browse_class&gt;span"/>
    <w:basedOn w:val="33"/>
    <w:qFormat/>
    <w:uiPriority w:val="0"/>
  </w:style>
  <w:style w:type="character" w:customStyle="1" w:styleId="106">
    <w:name w:val="addresses_group2"/>
    <w:basedOn w:val="33"/>
    <w:qFormat/>
    <w:uiPriority w:val="0"/>
  </w:style>
  <w:style w:type="character" w:customStyle="1" w:styleId="107">
    <w:name w:val="addaffix"/>
    <w:basedOn w:val="33"/>
    <w:qFormat/>
    <w:uiPriority w:val="0"/>
  </w:style>
  <w:style w:type="character" w:customStyle="1" w:styleId="108">
    <w:name w:val="icontext2"/>
    <w:basedOn w:val="33"/>
    <w:qFormat/>
    <w:uiPriority w:val="0"/>
  </w:style>
  <w:style w:type="character" w:customStyle="1" w:styleId="109">
    <w:name w:val="score2"/>
    <w:basedOn w:val="33"/>
    <w:qFormat/>
    <w:uiPriority w:val="0"/>
  </w:style>
  <w:style w:type="character" w:customStyle="1" w:styleId="110">
    <w:name w:val="refresh"/>
    <w:basedOn w:val="33"/>
    <w:qFormat/>
    <w:uiPriority w:val="0"/>
  </w:style>
  <w:style w:type="character" w:customStyle="1" w:styleId="111">
    <w:name w:val="drapbtn"/>
    <w:basedOn w:val="33"/>
    <w:qFormat/>
    <w:uiPriority w:val="0"/>
  </w:style>
  <w:style w:type="character" w:customStyle="1" w:styleId="112">
    <w:name w:val="xdrichtextbox2"/>
    <w:basedOn w:val="33"/>
    <w:qFormat/>
    <w:uiPriority w:val="0"/>
  </w:style>
  <w:style w:type="character" w:customStyle="1" w:styleId="113">
    <w:name w:val="share"/>
    <w:basedOn w:val="33"/>
    <w:qFormat/>
    <w:uiPriority w:val="0"/>
  </w:style>
  <w:style w:type="character" w:customStyle="1" w:styleId="114">
    <w:name w:val="creater"/>
    <w:basedOn w:val="33"/>
    <w:qFormat/>
    <w:uiPriority w:val="0"/>
  </w:style>
  <w:style w:type="character" w:customStyle="1" w:styleId="115">
    <w:name w:val="biggerthanmax"/>
    <w:basedOn w:val="33"/>
    <w:qFormat/>
    <w:uiPriority w:val="0"/>
    <w:rPr>
      <w:shd w:val="clear" w:color="auto" w:fill="FFFF00"/>
    </w:rPr>
  </w:style>
  <w:style w:type="character" w:customStyle="1" w:styleId="116">
    <w:name w:val="tmpztreemove_arrow"/>
    <w:basedOn w:val="33"/>
    <w:qFormat/>
    <w:uiPriority w:val="0"/>
  </w:style>
  <w:style w:type="character" w:customStyle="1" w:styleId="117">
    <w:name w:val="pagechatarealistclose_box"/>
    <w:basedOn w:val="33"/>
    <w:qFormat/>
    <w:uiPriority w:val="0"/>
  </w:style>
  <w:style w:type="character" w:customStyle="1" w:styleId="118">
    <w:name w:val="hover21"/>
    <w:basedOn w:val="33"/>
    <w:qFormat/>
    <w:uiPriority w:val="0"/>
  </w:style>
  <w:style w:type="character" w:customStyle="1" w:styleId="119">
    <w:name w:val="time_select4"/>
    <w:basedOn w:val="33"/>
    <w:qFormat/>
    <w:uiPriority w:val="0"/>
  </w:style>
  <w:style w:type="character" w:customStyle="1" w:styleId="120">
    <w:name w:val="fold_open"/>
    <w:basedOn w:val="33"/>
    <w:qFormat/>
    <w:uiPriority w:val="0"/>
  </w:style>
  <w:style w:type="character" w:customStyle="1" w:styleId="121">
    <w:name w:val="unselect"/>
    <w:basedOn w:val="33"/>
    <w:qFormat/>
    <w:uiPriority w:val="0"/>
  </w:style>
  <w:style w:type="character" w:customStyle="1" w:styleId="122">
    <w:name w:val="person"/>
    <w:basedOn w:val="33"/>
    <w:qFormat/>
    <w:uiPriority w:val="0"/>
  </w:style>
  <w:style w:type="character" w:customStyle="1" w:styleId="123">
    <w:name w:val="setmenu"/>
    <w:basedOn w:val="33"/>
    <w:qFormat/>
    <w:uiPriority w:val="0"/>
  </w:style>
  <w:style w:type="character" w:customStyle="1" w:styleId="124">
    <w:name w:val="hover20"/>
    <w:basedOn w:val="33"/>
    <w:qFormat/>
    <w:uiPriority w:val="0"/>
  </w:style>
  <w:style w:type="character" w:customStyle="1" w:styleId="125">
    <w:name w:val="choosename"/>
    <w:basedOn w:val="33"/>
    <w:qFormat/>
    <w:uiPriority w:val="0"/>
  </w:style>
  <w:style w:type="character" w:customStyle="1" w:styleId="126">
    <w:name w:val="design_class"/>
    <w:basedOn w:val="33"/>
    <w:qFormat/>
    <w:uiPriority w:val="0"/>
  </w:style>
  <w:style w:type="character" w:customStyle="1" w:styleId="127">
    <w:name w:val="startdate"/>
    <w:basedOn w:val="33"/>
    <w:qFormat/>
    <w:uiPriority w:val="0"/>
  </w:style>
  <w:style w:type="character" w:customStyle="1" w:styleId="128">
    <w:name w:val="setlist_ico"/>
    <w:basedOn w:val="33"/>
    <w:qFormat/>
    <w:uiPriority w:val="0"/>
  </w:style>
  <w:style w:type="character" w:customStyle="1" w:styleId="129">
    <w:name w:val="form"/>
    <w:basedOn w:val="33"/>
    <w:qFormat/>
    <w:uiPriority w:val="0"/>
  </w:style>
  <w:style w:type="character" w:customStyle="1" w:styleId="130">
    <w:name w:val="associateddata"/>
    <w:basedOn w:val="33"/>
    <w:qFormat/>
    <w:uiPriority w:val="0"/>
    <w:rPr>
      <w:shd w:val="clear" w:color="auto" w:fill="50A6F9"/>
    </w:rPr>
  </w:style>
  <w:style w:type="character" w:customStyle="1" w:styleId="131">
    <w:name w:val="hover18"/>
    <w:basedOn w:val="33"/>
    <w:qFormat/>
    <w:uiPriority w:val="0"/>
  </w:style>
  <w:style w:type="character" w:customStyle="1" w:styleId="132">
    <w:name w:val="scope"/>
    <w:basedOn w:val="33"/>
    <w:qFormat/>
    <w:uiPriority w:val="0"/>
  </w:style>
  <w:style w:type="character" w:customStyle="1" w:styleId="133">
    <w:name w:val="nobutton"/>
    <w:basedOn w:val="33"/>
    <w:qFormat/>
    <w:uiPriority w:val="0"/>
  </w:style>
  <w:style w:type="character" w:customStyle="1" w:styleId="134">
    <w:name w:val="senddate"/>
    <w:basedOn w:val="33"/>
    <w:qFormat/>
    <w:uiPriority w:val="0"/>
  </w:style>
  <w:style w:type="character" w:customStyle="1" w:styleId="135">
    <w:name w:val="number"/>
    <w:basedOn w:val="33"/>
    <w:qFormat/>
    <w:uiPriority w:val="0"/>
    <w:rPr>
      <w:b/>
      <w:sz w:val="22"/>
      <w:szCs w:val="22"/>
    </w:rPr>
  </w:style>
  <w:style w:type="character" w:customStyle="1" w:styleId="136">
    <w:name w:val="hover22"/>
    <w:basedOn w:val="33"/>
    <w:qFormat/>
    <w:uiPriority w:val="0"/>
  </w:style>
  <w:style w:type="character" w:customStyle="1" w:styleId="137">
    <w:name w:val="remindgray"/>
    <w:basedOn w:val="33"/>
    <w:qFormat/>
    <w:uiPriority w:val="0"/>
  </w:style>
  <w:style w:type="character" w:customStyle="1" w:styleId="138">
    <w:name w:val="active4"/>
    <w:basedOn w:val="33"/>
    <w:qFormat/>
    <w:uiPriority w:val="0"/>
    <w:rPr>
      <w:color w:val="FFFFFF"/>
    </w:rPr>
  </w:style>
  <w:style w:type="character" w:customStyle="1" w:styleId="139">
    <w:name w:val="reminders"/>
    <w:basedOn w:val="33"/>
    <w:qFormat/>
    <w:uiPriority w:val="0"/>
  </w:style>
  <w:style w:type="character" w:customStyle="1" w:styleId="140">
    <w:name w:val="hide2"/>
    <w:basedOn w:val="33"/>
    <w:qFormat/>
    <w:uiPriority w:val="0"/>
    <w:rPr>
      <w:vanish/>
    </w:rPr>
  </w:style>
  <w:style w:type="character" w:customStyle="1" w:styleId="141">
    <w:name w:val="time1"/>
    <w:basedOn w:val="33"/>
    <w:qFormat/>
    <w:uiPriority w:val="0"/>
    <w:rPr>
      <w:color w:val="6A8386"/>
    </w:rPr>
  </w:style>
  <w:style w:type="character" w:customStyle="1" w:styleId="142">
    <w:name w:val="layui-layer-tabnow"/>
    <w:basedOn w:val="33"/>
    <w:qFormat/>
    <w:uiPriority w:val="0"/>
    <w:rPr>
      <w:bdr w:val="single" w:color="CCCCCC" w:sz="6" w:space="0"/>
      <w:shd w:val="clear" w:color="auto" w:fill="FFFFFF"/>
    </w:rPr>
  </w:style>
  <w:style w:type="character" w:customStyle="1" w:styleId="143">
    <w:name w:val="fc-event-time12"/>
    <w:basedOn w:val="33"/>
    <w:qFormat/>
    <w:uiPriority w:val="0"/>
    <w:rPr>
      <w:sz w:val="15"/>
      <w:szCs w:val="15"/>
    </w:rPr>
  </w:style>
  <w:style w:type="character" w:customStyle="1" w:styleId="144">
    <w:name w:val="edit_class"/>
    <w:basedOn w:val="33"/>
    <w:qFormat/>
    <w:uiPriority w:val="0"/>
  </w:style>
  <w:style w:type="character" w:customStyle="1" w:styleId="145">
    <w:name w:val="first-child"/>
    <w:basedOn w:val="33"/>
    <w:qFormat/>
    <w:uiPriority w:val="0"/>
  </w:style>
  <w:style w:type="character" w:customStyle="1" w:styleId="146">
    <w:name w:val="portal_setico"/>
    <w:basedOn w:val="33"/>
    <w:qFormat/>
    <w:uiPriority w:val="0"/>
  </w:style>
  <w:style w:type="character" w:customStyle="1" w:styleId="147">
    <w:name w:val="active"/>
    <w:basedOn w:val="33"/>
    <w:qFormat/>
    <w:uiPriority w:val="0"/>
    <w:rPr>
      <w:color w:val="00FF00"/>
      <w:shd w:val="clear" w:color="auto" w:fill="111111"/>
    </w:rPr>
  </w:style>
  <w:style w:type="character" w:customStyle="1" w:styleId="148">
    <w:name w:val="complete"/>
    <w:basedOn w:val="33"/>
    <w:qFormat/>
    <w:uiPriority w:val="0"/>
  </w:style>
  <w:style w:type="paragraph" w:customStyle="1" w:styleId="149">
    <w:name w:val="样式1"/>
    <w:basedOn w:val="5"/>
    <w:next w:val="6"/>
    <w:qFormat/>
    <w:uiPriority w:val="0"/>
    <w:rPr>
      <w:rFonts w:eastAsia="Arial"/>
    </w:rPr>
  </w:style>
  <w:style w:type="paragraph" w:customStyle="1" w:styleId="150">
    <w:name w:val="段"/>
    <w:qFormat/>
    <w:uiPriority w:val="0"/>
    <w:pPr>
      <w:ind w:firstLine="200" w:firstLineChars="200"/>
      <w:jc w:val="both"/>
    </w:pPr>
    <w:rPr>
      <w:rFonts w:ascii="宋体" w:hAnsi="Times New Roman" w:eastAsia="宋体" w:cs="Times New Roman"/>
      <w:sz w:val="21"/>
      <w:szCs w:val="22"/>
      <w:lang w:val="en-US" w:eastAsia="zh-CN" w:bidi="ar-SA"/>
    </w:rPr>
  </w:style>
  <w:style w:type="paragraph" w:customStyle="1" w:styleId="151">
    <w:name w:val="四级标题"/>
    <w:basedOn w:val="19"/>
    <w:qFormat/>
    <w:uiPriority w:val="0"/>
    <w:rPr>
      <w:rFonts w:eastAsia="黑体"/>
    </w:rPr>
  </w:style>
  <w:style w:type="paragraph" w:customStyle="1" w:styleId="152">
    <w:name w:val="Normal Indent1"/>
    <w:basedOn w:val="1"/>
    <w:qFormat/>
    <w:uiPriority w:val="0"/>
    <w:pPr>
      <w:ind w:firstLine="420"/>
    </w:pPr>
  </w:style>
  <w:style w:type="paragraph" w:customStyle="1" w:styleId="153">
    <w:name w:val="BlockQuote"/>
    <w:basedOn w:val="1"/>
    <w:qFormat/>
    <w:uiPriority w:val="0"/>
    <w:pPr>
      <w:spacing w:line="600" w:lineRule="exact"/>
      <w:ind w:firstLine="880" w:firstLineChars="200"/>
    </w:pPr>
    <w:rPr>
      <w:rFonts w:eastAsia="仿宋"/>
      <w:sz w:val="32"/>
    </w:rPr>
  </w:style>
  <w:style w:type="paragraph" w:customStyle="1" w:styleId="154">
    <w:name w:val="标准"/>
    <w:basedOn w:val="1"/>
    <w:qFormat/>
    <w:uiPriority w:val="0"/>
    <w:pPr>
      <w:adjustRightInd w:val="0"/>
      <w:spacing w:line="312" w:lineRule="atLeast"/>
    </w:pPr>
    <w:rPr>
      <w:kern w:val="0"/>
      <w:sz w:val="24"/>
    </w:rPr>
  </w:style>
  <w:style w:type="paragraph" w:customStyle="1" w:styleId="155">
    <w:name w:val="正文首行缩进 21"/>
    <w:basedOn w:val="156"/>
    <w:next w:val="28"/>
    <w:qFormat/>
    <w:uiPriority w:val="0"/>
    <w:pPr>
      <w:ind w:firstLine="200" w:firstLineChars="200"/>
    </w:pPr>
  </w:style>
  <w:style w:type="paragraph" w:customStyle="1" w:styleId="156">
    <w:name w:val="正文文本缩进1"/>
    <w:basedOn w:val="1"/>
    <w:qFormat/>
    <w:uiPriority w:val="0"/>
    <w:pPr>
      <w:ind w:left="200" w:leftChars="200"/>
    </w:pPr>
  </w:style>
  <w:style w:type="paragraph" w:customStyle="1" w:styleId="157">
    <w:name w:val="Table Paragraph"/>
    <w:basedOn w:val="1"/>
    <w:qFormat/>
    <w:uiPriority w:val="1"/>
    <w:pPr>
      <w:jc w:val="left"/>
    </w:pPr>
    <w:rPr>
      <w:rFonts w:ascii="Calibri" w:hAnsi="Calibri"/>
      <w:kern w:val="0"/>
      <w:sz w:val="22"/>
      <w:lang w:eastAsia="en-US"/>
    </w:rPr>
  </w:style>
  <w:style w:type="paragraph" w:customStyle="1" w:styleId="158">
    <w:name w:val="_Style 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9">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无间隔2"/>
    <w:qFormat/>
    <w:uiPriority w:val="1"/>
    <w:pPr>
      <w:widowControl w:val="0"/>
      <w:jc w:val="both"/>
    </w:pPr>
    <w:rPr>
      <w:rFonts w:hint="eastAsia" w:ascii="Times New Roman" w:hAnsi="Times New Roman" w:eastAsia="华文中宋" w:cs="Times New Roman"/>
      <w:kern w:val="2"/>
      <w:sz w:val="21"/>
      <w:szCs w:val="22"/>
      <w:lang w:val="en-US" w:eastAsia="zh-CN" w:bidi="ar-SA"/>
    </w:rPr>
  </w:style>
  <w:style w:type="paragraph" w:customStyle="1" w:styleId="161">
    <w:name w:val="列表段落1"/>
    <w:basedOn w:val="1"/>
    <w:qFormat/>
    <w:uiPriority w:val="34"/>
    <w:pPr>
      <w:ind w:firstLine="420" w:firstLineChars="200"/>
    </w:pPr>
    <w:rPr>
      <w:rFonts w:ascii="Calibri" w:hAnsi="Calibri"/>
      <w:szCs w:val="22"/>
    </w:rPr>
  </w:style>
  <w:style w:type="table" w:customStyle="1" w:styleId="162">
    <w:name w:val="常规_表二_12"/>
    <w:basedOn w:val="31"/>
    <w:qFormat/>
    <w:uiPriority w:val="0"/>
    <w:pPr>
      <w:textAlignment w:val="center"/>
    </w:pPr>
    <w:rPr>
      <w:rFonts w:hint="eastAsia" w:ascii="宋体" w:hAnsi="宋体" w:cs="宋体"/>
      <w:sz w:val="24"/>
      <w:szCs w:val="24"/>
    </w:rPr>
    <w:tcPr>
      <w:vAlign w:val="center"/>
    </w:tcPr>
  </w:style>
  <w:style w:type="table" w:customStyle="1" w:styleId="163">
    <w:name w:val="常规 291"/>
    <w:basedOn w:val="31"/>
    <w:qFormat/>
    <w:uiPriority w:val="0"/>
    <w:pPr>
      <w:textAlignment w:val="center"/>
    </w:pPr>
    <w:rPr>
      <w:rFonts w:hint="eastAsia" w:ascii="宋体" w:hAnsi="宋体" w:cs="宋体"/>
      <w:color w:val="000000"/>
      <w:sz w:val="22"/>
      <w:szCs w:val="22"/>
    </w:rPr>
    <w:tcPr>
      <w:vAlign w:val="center"/>
    </w:tcPr>
  </w:style>
  <w:style w:type="table" w:customStyle="1" w:styleId="164">
    <w:name w:val="常规 18 21"/>
    <w:basedOn w:val="31"/>
    <w:qFormat/>
    <w:uiPriority w:val="0"/>
    <w:pPr>
      <w:textAlignment w:val="bottom"/>
    </w:pPr>
    <w:rPr>
      <w:rFonts w:ascii="Tahoma" w:hAnsi="Tahoma" w:eastAsia="Tahoma" w:cs="Tahoma"/>
      <w:color w:val="000000"/>
      <w:sz w:val="22"/>
      <w:szCs w:val="22"/>
    </w:rPr>
    <w:tcPr>
      <w:vAlign w:val="bottom"/>
    </w:tcPr>
  </w:style>
  <w:style w:type="table" w:customStyle="1" w:styleId="165">
    <w:name w:val="常规_检修_331"/>
    <w:basedOn w:val="31"/>
    <w:qFormat/>
    <w:uiPriority w:val="0"/>
    <w:pPr>
      <w:textAlignment w:val="center"/>
    </w:pPr>
    <w:rPr>
      <w:rFonts w:hint="eastAsia" w:ascii="宋体" w:hAnsi="宋体" w:cs="宋体"/>
      <w:sz w:val="18"/>
      <w:szCs w:val="18"/>
    </w:rPr>
    <w:tcPr>
      <w:vAlign w:val="center"/>
    </w:tcPr>
  </w:style>
  <w:style w:type="table" w:customStyle="1" w:styleId="166">
    <w:name w:val="常规 151"/>
    <w:basedOn w:val="31"/>
    <w:qFormat/>
    <w:uiPriority w:val="0"/>
    <w:pPr>
      <w:textAlignment w:val="center"/>
    </w:pPr>
    <w:rPr>
      <w:rFonts w:hint="eastAsia" w:ascii="宋体" w:hAnsi="宋体" w:cs="宋体"/>
      <w:sz w:val="24"/>
      <w:szCs w:val="24"/>
    </w:rPr>
    <w:tcPr>
      <w:vAlign w:val="center"/>
    </w:tcPr>
  </w:style>
  <w:style w:type="table" w:customStyle="1" w:styleId="167">
    <w:name w:val="常规 261"/>
    <w:basedOn w:val="31"/>
    <w:qFormat/>
    <w:uiPriority w:val="0"/>
    <w:pPr>
      <w:textAlignment w:val="center"/>
    </w:pPr>
    <w:rPr>
      <w:rFonts w:hint="eastAsia" w:ascii="宋体" w:hAnsi="宋体" w:cs="宋体"/>
      <w:sz w:val="24"/>
      <w:szCs w:val="24"/>
    </w:rPr>
    <w:tcPr>
      <w:vAlign w:val="center"/>
    </w:tcPr>
  </w:style>
  <w:style w:type="table" w:customStyle="1" w:styleId="168">
    <w:name w:val="常规 10 31"/>
    <w:basedOn w:val="31"/>
    <w:qFormat/>
    <w:uiPriority w:val="0"/>
    <w:pPr>
      <w:textAlignment w:val="bottom"/>
    </w:pPr>
    <w:rPr>
      <w:rFonts w:ascii="Tahoma" w:hAnsi="Tahoma" w:eastAsia="Tahoma" w:cs="Tahoma"/>
      <w:color w:val="000000"/>
      <w:sz w:val="22"/>
      <w:szCs w:val="22"/>
    </w:rPr>
    <w:tcPr>
      <w:vAlign w:val="bottom"/>
    </w:tcPr>
  </w:style>
  <w:style w:type="table" w:customStyle="1" w:styleId="169">
    <w:name w:val="常规 2 31"/>
    <w:basedOn w:val="31"/>
    <w:qFormat/>
    <w:uiPriority w:val="0"/>
    <w:pPr>
      <w:textAlignment w:val="bottom"/>
    </w:pPr>
    <w:rPr>
      <w:rFonts w:ascii="Tahoma" w:hAnsi="Tahoma" w:eastAsia="Tahoma" w:cs="Tahoma"/>
      <w:color w:val="000000"/>
      <w:sz w:val="22"/>
      <w:szCs w:val="22"/>
    </w:rPr>
    <w:tcPr>
      <w:vAlign w:val="bottom"/>
    </w:tcPr>
  </w:style>
  <w:style w:type="table" w:customStyle="1" w:styleId="170">
    <w:name w:val="常规_Sheet1_51"/>
    <w:basedOn w:val="31"/>
    <w:qFormat/>
    <w:uiPriority w:val="0"/>
    <w:pPr>
      <w:textAlignment w:val="center"/>
    </w:pPr>
    <w:rPr>
      <w:rFonts w:hint="eastAsia" w:ascii="宋体" w:hAnsi="宋体" w:cs="宋体"/>
      <w:sz w:val="18"/>
      <w:szCs w:val="18"/>
    </w:rPr>
    <w:tcPr>
      <w:vAlign w:val="center"/>
    </w:tcPr>
  </w:style>
  <w:style w:type="table" w:customStyle="1" w:styleId="171">
    <w:name w:val="常规 6 21"/>
    <w:basedOn w:val="31"/>
    <w:qFormat/>
    <w:uiPriority w:val="0"/>
    <w:pPr>
      <w:textAlignment w:val="bottom"/>
    </w:pPr>
    <w:rPr>
      <w:rFonts w:ascii="Tahoma" w:hAnsi="Tahoma" w:eastAsia="Tahoma" w:cs="Tahoma"/>
      <w:color w:val="000000"/>
      <w:sz w:val="22"/>
      <w:szCs w:val="22"/>
    </w:rPr>
    <w:tcPr>
      <w:vAlign w:val="bottom"/>
    </w:tcPr>
  </w:style>
  <w:style w:type="table" w:customStyle="1" w:styleId="172">
    <w:name w:val="常规 4 21"/>
    <w:basedOn w:val="31"/>
    <w:qFormat/>
    <w:uiPriority w:val="0"/>
    <w:pPr>
      <w:textAlignment w:val="bottom"/>
    </w:pPr>
    <w:rPr>
      <w:rFonts w:ascii="Tahoma" w:hAnsi="Tahoma" w:eastAsia="Tahoma" w:cs="Tahoma"/>
      <w:color w:val="000000"/>
      <w:sz w:val="22"/>
      <w:szCs w:val="22"/>
    </w:rPr>
    <w:tcPr>
      <w:vAlign w:val="bottom"/>
    </w:tcPr>
  </w:style>
  <w:style w:type="table" w:customStyle="1" w:styleId="173">
    <w:name w:val="常规2"/>
    <w:basedOn w:val="31"/>
    <w:qFormat/>
    <w:uiPriority w:val="0"/>
    <w:pPr>
      <w:textAlignment w:val="bottom"/>
    </w:pPr>
    <w:rPr>
      <w:sz w:val="24"/>
      <w:szCs w:val="24"/>
    </w:rPr>
    <w:tcPr>
      <w:vAlign w:val="bottom"/>
    </w:tcPr>
  </w:style>
  <w:style w:type="table" w:customStyle="1" w:styleId="174">
    <w:name w:val="常规_Sheet1_41"/>
    <w:basedOn w:val="31"/>
    <w:qFormat/>
    <w:uiPriority w:val="0"/>
    <w:pPr>
      <w:textAlignment w:val="center"/>
    </w:pPr>
    <w:rPr>
      <w:rFonts w:hint="eastAsia" w:ascii="宋体" w:hAnsi="宋体" w:cs="宋体"/>
      <w:sz w:val="18"/>
      <w:szCs w:val="18"/>
    </w:rPr>
    <w:tcPr>
      <w:vAlign w:val="center"/>
    </w:tcPr>
  </w:style>
  <w:style w:type="table" w:customStyle="1" w:styleId="175">
    <w:name w:val="常规_检修_312"/>
    <w:basedOn w:val="31"/>
    <w:qFormat/>
    <w:uiPriority w:val="0"/>
    <w:pPr>
      <w:textAlignment w:val="center"/>
    </w:pPr>
    <w:rPr>
      <w:rFonts w:hint="eastAsia" w:ascii="宋体" w:hAnsi="宋体" w:cs="宋体"/>
      <w:sz w:val="18"/>
      <w:szCs w:val="18"/>
    </w:rPr>
    <w:tcPr>
      <w:vAlign w:val="center"/>
    </w:tcPr>
  </w:style>
  <w:style w:type="table" w:customStyle="1" w:styleId="176">
    <w:name w:val="常规_Sheet11"/>
    <w:basedOn w:val="31"/>
    <w:qFormat/>
    <w:uiPriority w:val="0"/>
    <w:pPr>
      <w:textAlignment w:val="bottom"/>
    </w:pPr>
    <w:rPr>
      <w:rFonts w:hint="eastAsia" w:ascii="宋体" w:hAnsi="宋体" w:cs="宋体"/>
      <w:sz w:val="24"/>
      <w:szCs w:val="24"/>
    </w:rPr>
    <w:tcPr>
      <w:vAlign w:val="bottom"/>
    </w:tcPr>
  </w:style>
  <w:style w:type="table" w:customStyle="1" w:styleId="177">
    <w:name w:val="常规_检修_141"/>
    <w:basedOn w:val="31"/>
    <w:qFormat/>
    <w:uiPriority w:val="0"/>
    <w:pPr>
      <w:textAlignment w:val="center"/>
    </w:pPr>
    <w:rPr>
      <w:rFonts w:hint="eastAsia" w:ascii="宋体" w:hAnsi="宋体" w:cs="宋体"/>
      <w:sz w:val="18"/>
      <w:szCs w:val="18"/>
    </w:rPr>
    <w:tcPr>
      <w:vAlign w:val="center"/>
    </w:tcPr>
  </w:style>
  <w:style w:type="table" w:customStyle="1" w:styleId="178">
    <w:name w:val="常规_检修_171"/>
    <w:basedOn w:val="31"/>
    <w:qFormat/>
    <w:uiPriority w:val="0"/>
    <w:pPr>
      <w:textAlignment w:val="center"/>
    </w:pPr>
    <w:rPr>
      <w:rFonts w:hint="eastAsia" w:ascii="宋体" w:hAnsi="宋体" w:cs="宋体"/>
      <w:sz w:val="18"/>
      <w:szCs w:val="18"/>
    </w:rPr>
    <w:tcPr>
      <w:vAlign w:val="center"/>
    </w:tcPr>
  </w:style>
  <w:style w:type="table" w:customStyle="1" w:styleId="179">
    <w:name w:val="常规_检修_131"/>
    <w:basedOn w:val="31"/>
    <w:qFormat/>
    <w:uiPriority w:val="0"/>
    <w:pPr>
      <w:textAlignment w:val="center"/>
    </w:pPr>
    <w:rPr>
      <w:rFonts w:hint="eastAsia" w:ascii="宋体" w:hAnsi="宋体" w:cs="宋体"/>
      <w:sz w:val="18"/>
      <w:szCs w:val="18"/>
    </w:rPr>
    <w:tcPr>
      <w:vAlign w:val="center"/>
    </w:tcPr>
  </w:style>
  <w:style w:type="table" w:customStyle="1" w:styleId="180">
    <w:name w:val="常规_检修、实业、矿业1"/>
    <w:basedOn w:val="31"/>
    <w:qFormat/>
    <w:uiPriority w:val="0"/>
    <w:pPr>
      <w:textAlignment w:val="center"/>
    </w:pPr>
    <w:rPr>
      <w:rFonts w:hint="eastAsia" w:ascii="宋体" w:hAnsi="宋体" w:cs="宋体"/>
      <w:sz w:val="24"/>
      <w:szCs w:val="24"/>
    </w:rPr>
    <w:tcPr>
      <w:vAlign w:val="center"/>
    </w:tcPr>
  </w:style>
  <w:style w:type="table" w:customStyle="1" w:styleId="181">
    <w:name w:val="常规_Sheet1_21"/>
    <w:basedOn w:val="31"/>
    <w:qFormat/>
    <w:uiPriority w:val="0"/>
    <w:pPr>
      <w:textAlignment w:val="center"/>
    </w:pPr>
    <w:rPr>
      <w:rFonts w:hint="eastAsia" w:ascii="宋体" w:hAnsi="宋体" w:cs="宋体"/>
      <w:sz w:val="18"/>
      <w:szCs w:val="18"/>
    </w:rPr>
    <w:tcPr>
      <w:vAlign w:val="center"/>
    </w:tcPr>
  </w:style>
  <w:style w:type="table" w:customStyle="1" w:styleId="182">
    <w:name w:val="常规 231"/>
    <w:basedOn w:val="31"/>
    <w:qFormat/>
    <w:uiPriority w:val="0"/>
    <w:pPr>
      <w:textAlignment w:val="center"/>
    </w:pPr>
    <w:rPr>
      <w:rFonts w:hint="eastAsia" w:ascii="宋体" w:hAnsi="宋体" w:cs="宋体"/>
      <w:sz w:val="24"/>
      <w:szCs w:val="24"/>
    </w:rPr>
    <w:tcPr>
      <w:vAlign w:val="center"/>
    </w:tcPr>
  </w:style>
  <w:style w:type="table" w:customStyle="1" w:styleId="183">
    <w:name w:val="常规_检修_21"/>
    <w:basedOn w:val="31"/>
    <w:qFormat/>
    <w:uiPriority w:val="0"/>
    <w:pPr>
      <w:textAlignment w:val="center"/>
    </w:pPr>
    <w:rPr>
      <w:rFonts w:hint="eastAsia" w:ascii="宋体" w:hAnsi="宋体" w:cs="宋体"/>
      <w:sz w:val="18"/>
      <w:szCs w:val="18"/>
    </w:rPr>
    <w:tcPr>
      <w:vAlign w:val="center"/>
    </w:tcPr>
  </w:style>
  <w:style w:type="table" w:customStyle="1" w:styleId="184">
    <w:name w:val="常规_表二_21"/>
    <w:basedOn w:val="31"/>
    <w:qFormat/>
    <w:uiPriority w:val="0"/>
    <w:pPr>
      <w:textAlignment w:val="center"/>
    </w:pPr>
    <w:rPr>
      <w:rFonts w:hint="eastAsia" w:ascii="宋体" w:hAnsi="宋体" w:cs="宋体"/>
      <w:sz w:val="24"/>
      <w:szCs w:val="24"/>
    </w:rPr>
    <w:tcPr>
      <w:vAlign w:val="center"/>
    </w:tcPr>
  </w:style>
  <w:style w:type="table" w:customStyle="1" w:styleId="185">
    <w:name w:val="常规_检修_51"/>
    <w:basedOn w:val="31"/>
    <w:qFormat/>
    <w:uiPriority w:val="0"/>
    <w:pPr>
      <w:textAlignment w:val="center"/>
    </w:pPr>
    <w:rPr>
      <w:rFonts w:hint="eastAsia" w:ascii="宋体" w:hAnsi="宋体" w:cs="宋体"/>
      <w:sz w:val="18"/>
      <w:szCs w:val="18"/>
    </w:rPr>
    <w:tcPr>
      <w:vAlign w:val="center"/>
    </w:tcPr>
  </w:style>
  <w:style w:type="table" w:customStyle="1" w:styleId="186">
    <w:name w:val="常规_检修_291"/>
    <w:basedOn w:val="31"/>
    <w:qFormat/>
    <w:uiPriority w:val="0"/>
    <w:pPr>
      <w:textAlignment w:val="center"/>
    </w:pPr>
    <w:rPr>
      <w:rFonts w:hint="eastAsia" w:ascii="宋体" w:hAnsi="宋体" w:cs="宋体"/>
      <w:sz w:val="18"/>
      <w:szCs w:val="18"/>
    </w:rPr>
    <w:tcPr>
      <w:vAlign w:val="center"/>
    </w:tcPr>
  </w:style>
  <w:style w:type="table" w:customStyle="1" w:styleId="187">
    <w:name w:val="常规_检修_241"/>
    <w:basedOn w:val="31"/>
    <w:qFormat/>
    <w:uiPriority w:val="0"/>
    <w:pPr>
      <w:textAlignment w:val="center"/>
    </w:pPr>
    <w:rPr>
      <w:rFonts w:hint="eastAsia" w:ascii="宋体" w:hAnsi="宋体" w:cs="宋体"/>
      <w:sz w:val="18"/>
      <w:szCs w:val="18"/>
    </w:rPr>
    <w:tcPr>
      <w:vAlign w:val="center"/>
    </w:tcPr>
  </w:style>
  <w:style w:type="table" w:customStyle="1" w:styleId="188">
    <w:name w:val="常规_Sheet1_131"/>
    <w:basedOn w:val="31"/>
    <w:qFormat/>
    <w:uiPriority w:val="0"/>
    <w:pPr>
      <w:textAlignment w:val="center"/>
    </w:pPr>
    <w:rPr>
      <w:rFonts w:hint="eastAsia" w:ascii="宋体" w:hAnsi="宋体" w:cs="宋体"/>
      <w:sz w:val="18"/>
      <w:szCs w:val="18"/>
    </w:rPr>
    <w:tcPr>
      <w:vAlign w:val="center"/>
    </w:tcPr>
  </w:style>
  <w:style w:type="table" w:customStyle="1" w:styleId="189">
    <w:name w:val="货币2"/>
    <w:basedOn w:val="31"/>
    <w:qFormat/>
    <w:uiPriority w:val="0"/>
  </w:style>
  <w:style w:type="table" w:customStyle="1" w:styleId="190">
    <w:name w:val="常规_检修_231"/>
    <w:basedOn w:val="31"/>
    <w:qFormat/>
    <w:uiPriority w:val="0"/>
    <w:pPr>
      <w:textAlignment w:val="center"/>
    </w:pPr>
    <w:rPr>
      <w:rFonts w:hint="eastAsia" w:ascii="宋体" w:hAnsi="宋体" w:cs="宋体"/>
      <w:sz w:val="18"/>
      <w:szCs w:val="18"/>
    </w:rPr>
    <w:tcPr>
      <w:vAlign w:val="center"/>
    </w:tcPr>
  </w:style>
  <w:style w:type="table" w:customStyle="1" w:styleId="191">
    <w:name w:val="常规 5 21"/>
    <w:basedOn w:val="31"/>
    <w:qFormat/>
    <w:uiPriority w:val="0"/>
    <w:pPr>
      <w:textAlignment w:val="bottom"/>
    </w:pPr>
    <w:rPr>
      <w:rFonts w:ascii="Tahoma" w:hAnsi="Tahoma" w:eastAsia="Tahoma" w:cs="Tahoma"/>
      <w:color w:val="000000"/>
      <w:sz w:val="22"/>
      <w:szCs w:val="22"/>
    </w:rPr>
    <w:tcPr>
      <w:vAlign w:val="bottom"/>
    </w:tcPr>
  </w:style>
  <w:style w:type="table" w:customStyle="1" w:styleId="192">
    <w:name w:val="常规_Sheet1_111"/>
    <w:basedOn w:val="31"/>
    <w:qFormat/>
    <w:uiPriority w:val="0"/>
    <w:pPr>
      <w:textAlignment w:val="center"/>
    </w:pPr>
    <w:rPr>
      <w:rFonts w:hint="eastAsia" w:ascii="宋体" w:hAnsi="宋体" w:cs="宋体"/>
      <w:sz w:val="18"/>
      <w:szCs w:val="18"/>
    </w:rPr>
    <w:tcPr>
      <w:vAlign w:val="center"/>
    </w:tcPr>
  </w:style>
  <w:style w:type="table" w:customStyle="1" w:styleId="193">
    <w:name w:val="常规 21"/>
    <w:basedOn w:val="31"/>
    <w:qFormat/>
    <w:uiPriority w:val="0"/>
    <w:pPr>
      <w:textAlignment w:val="center"/>
    </w:pPr>
    <w:rPr>
      <w:rFonts w:hint="eastAsia" w:ascii="宋体" w:hAnsi="宋体" w:cs="宋体"/>
      <w:sz w:val="24"/>
      <w:szCs w:val="24"/>
    </w:rPr>
    <w:tcPr>
      <w:vAlign w:val="center"/>
    </w:tcPr>
  </w:style>
  <w:style w:type="table" w:customStyle="1" w:styleId="194">
    <w:name w:val="常规_检修_271"/>
    <w:basedOn w:val="31"/>
    <w:qFormat/>
    <w:uiPriority w:val="0"/>
    <w:pPr>
      <w:textAlignment w:val="center"/>
    </w:pPr>
    <w:rPr>
      <w:rFonts w:hint="eastAsia" w:ascii="宋体" w:hAnsi="宋体" w:cs="宋体"/>
      <w:sz w:val="18"/>
      <w:szCs w:val="18"/>
    </w:rPr>
    <w:tcPr>
      <w:vAlign w:val="center"/>
    </w:tcPr>
  </w:style>
  <w:style w:type="table" w:customStyle="1" w:styleId="195">
    <w:name w:val="常规_检修_222"/>
    <w:basedOn w:val="31"/>
    <w:qFormat/>
    <w:uiPriority w:val="0"/>
    <w:pPr>
      <w:textAlignment w:val="center"/>
    </w:pPr>
    <w:rPr>
      <w:rFonts w:hint="eastAsia" w:ascii="宋体" w:hAnsi="宋体" w:cs="宋体"/>
      <w:sz w:val="18"/>
      <w:szCs w:val="18"/>
    </w:rPr>
    <w:tcPr>
      <w:vAlign w:val="center"/>
    </w:tcPr>
  </w:style>
  <w:style w:type="table" w:customStyle="1" w:styleId="196">
    <w:name w:val="常规_Sheet1_151"/>
    <w:basedOn w:val="31"/>
    <w:qFormat/>
    <w:uiPriority w:val="0"/>
    <w:pPr>
      <w:textAlignment w:val="center"/>
    </w:pPr>
    <w:rPr>
      <w:rFonts w:hint="eastAsia" w:ascii="宋体" w:hAnsi="宋体" w:cs="宋体"/>
      <w:sz w:val="18"/>
      <w:szCs w:val="18"/>
    </w:rPr>
    <w:tcPr>
      <w:vAlign w:val="center"/>
    </w:tcPr>
  </w:style>
  <w:style w:type="table" w:customStyle="1" w:styleId="197">
    <w:name w:val="超链接1"/>
    <w:basedOn w:val="31"/>
    <w:qFormat/>
    <w:uiPriority w:val="0"/>
    <w:rPr>
      <w:rFonts w:hint="eastAsia" w:ascii="宋体" w:hAnsi="宋体" w:cs="宋体"/>
      <w:color w:val="0000FF"/>
      <w:sz w:val="22"/>
      <w:szCs w:val="22"/>
      <w:u w:val="single"/>
    </w:rPr>
  </w:style>
  <w:style w:type="table" w:customStyle="1" w:styleId="198">
    <w:name w:val="常规 19 21"/>
    <w:basedOn w:val="31"/>
    <w:qFormat/>
    <w:uiPriority w:val="0"/>
    <w:pPr>
      <w:textAlignment w:val="bottom"/>
    </w:pPr>
    <w:rPr>
      <w:rFonts w:ascii="Tahoma" w:hAnsi="Tahoma" w:eastAsia="Tahoma" w:cs="Tahoma"/>
      <w:color w:val="000000"/>
      <w:sz w:val="22"/>
      <w:szCs w:val="22"/>
    </w:rPr>
    <w:tcPr>
      <w:vAlign w:val="bottom"/>
    </w:tcPr>
  </w:style>
  <w:style w:type="table" w:customStyle="1" w:styleId="199">
    <w:name w:val="常规 10 21"/>
    <w:basedOn w:val="31"/>
    <w:qFormat/>
    <w:uiPriority w:val="0"/>
    <w:pPr>
      <w:textAlignment w:val="center"/>
    </w:pPr>
    <w:rPr>
      <w:rFonts w:hint="eastAsia" w:ascii="宋体" w:hAnsi="宋体" w:cs="宋体"/>
      <w:sz w:val="24"/>
      <w:szCs w:val="24"/>
    </w:rPr>
    <w:tcPr>
      <w:vAlign w:val="center"/>
    </w:tcPr>
  </w:style>
  <w:style w:type="table" w:customStyle="1" w:styleId="200">
    <w:name w:val="常规_检修_151"/>
    <w:basedOn w:val="31"/>
    <w:qFormat/>
    <w:uiPriority w:val="0"/>
    <w:pPr>
      <w:textAlignment w:val="center"/>
    </w:pPr>
    <w:rPr>
      <w:rFonts w:hint="eastAsia" w:ascii="宋体" w:hAnsi="宋体" w:cs="宋体"/>
      <w:sz w:val="18"/>
      <w:szCs w:val="18"/>
    </w:rPr>
    <w:tcPr>
      <w:vAlign w:val="center"/>
    </w:tcPr>
  </w:style>
  <w:style w:type="table" w:customStyle="1" w:styleId="201">
    <w:name w:val="常规 11 21"/>
    <w:basedOn w:val="31"/>
    <w:qFormat/>
    <w:uiPriority w:val="0"/>
    <w:pPr>
      <w:textAlignment w:val="bottom"/>
    </w:pPr>
    <w:rPr>
      <w:rFonts w:ascii="Tahoma" w:hAnsi="Tahoma" w:eastAsia="Tahoma" w:cs="Tahoma"/>
      <w:color w:val="000000"/>
      <w:sz w:val="22"/>
      <w:szCs w:val="22"/>
    </w:rPr>
    <w:tcPr>
      <w:vAlign w:val="bottom"/>
    </w:tcPr>
  </w:style>
  <w:style w:type="table" w:customStyle="1" w:styleId="202">
    <w:name w:val="常规_检修_81"/>
    <w:basedOn w:val="31"/>
    <w:qFormat/>
    <w:uiPriority w:val="0"/>
    <w:pPr>
      <w:textAlignment w:val="center"/>
    </w:pPr>
    <w:rPr>
      <w:rFonts w:hint="eastAsia" w:ascii="宋体" w:hAnsi="宋体" w:cs="宋体"/>
      <w:sz w:val="18"/>
      <w:szCs w:val="18"/>
    </w:rPr>
    <w:tcPr>
      <w:vAlign w:val="center"/>
    </w:tcPr>
  </w:style>
  <w:style w:type="table" w:customStyle="1" w:styleId="203">
    <w:name w:val="常规 3 21"/>
    <w:basedOn w:val="31"/>
    <w:qFormat/>
    <w:uiPriority w:val="0"/>
    <w:pPr>
      <w:textAlignment w:val="bottom"/>
    </w:pPr>
    <w:rPr>
      <w:rFonts w:ascii="Tahoma" w:hAnsi="Tahoma" w:eastAsia="Tahoma" w:cs="Tahoma"/>
      <w:color w:val="000000"/>
      <w:sz w:val="22"/>
      <w:szCs w:val="22"/>
    </w:rPr>
    <w:tcPr>
      <w:vAlign w:val="bottom"/>
    </w:tcPr>
  </w:style>
  <w:style w:type="table" w:customStyle="1" w:styleId="204">
    <w:name w:val="常规_检修_381"/>
    <w:basedOn w:val="31"/>
    <w:qFormat/>
    <w:uiPriority w:val="0"/>
    <w:pPr>
      <w:textAlignment w:val="center"/>
    </w:pPr>
    <w:rPr>
      <w:rFonts w:hint="eastAsia" w:ascii="宋体" w:hAnsi="宋体" w:cs="宋体"/>
      <w:sz w:val="18"/>
      <w:szCs w:val="18"/>
    </w:rPr>
    <w:tcPr>
      <w:vAlign w:val="center"/>
    </w:tcPr>
  </w:style>
  <w:style w:type="table" w:customStyle="1" w:styleId="205">
    <w:name w:val="常规_检修_71"/>
    <w:basedOn w:val="31"/>
    <w:qFormat/>
    <w:uiPriority w:val="0"/>
    <w:pPr>
      <w:textAlignment w:val="center"/>
    </w:pPr>
    <w:rPr>
      <w:rFonts w:hint="eastAsia" w:ascii="宋体" w:hAnsi="宋体" w:cs="宋体"/>
      <w:sz w:val="18"/>
      <w:szCs w:val="18"/>
    </w:rPr>
    <w:tcPr>
      <w:vAlign w:val="center"/>
    </w:tcPr>
  </w:style>
  <w:style w:type="table" w:customStyle="1" w:styleId="206">
    <w:name w:val="常规 311"/>
    <w:basedOn w:val="31"/>
    <w:qFormat/>
    <w:uiPriority w:val="0"/>
    <w:pPr>
      <w:textAlignment w:val="center"/>
    </w:pPr>
    <w:rPr>
      <w:rFonts w:hint="eastAsia" w:ascii="宋体" w:hAnsi="宋体" w:cs="宋体"/>
      <w:sz w:val="24"/>
      <w:szCs w:val="24"/>
    </w:rPr>
    <w:tcPr>
      <w:vAlign w:val="center"/>
    </w:tcPr>
  </w:style>
  <w:style w:type="table" w:customStyle="1" w:styleId="207">
    <w:name w:val="常规_检修_251"/>
    <w:basedOn w:val="31"/>
    <w:qFormat/>
    <w:uiPriority w:val="0"/>
    <w:pPr>
      <w:textAlignment w:val="center"/>
    </w:pPr>
    <w:rPr>
      <w:rFonts w:hint="eastAsia" w:ascii="宋体" w:hAnsi="宋体" w:cs="宋体"/>
      <w:sz w:val="18"/>
      <w:szCs w:val="18"/>
    </w:rPr>
    <w:tcPr>
      <w:vAlign w:val="center"/>
    </w:tcPr>
  </w:style>
  <w:style w:type="table" w:customStyle="1" w:styleId="208">
    <w:name w:val="常规_检修1"/>
    <w:basedOn w:val="31"/>
    <w:qFormat/>
    <w:uiPriority w:val="0"/>
    <w:pPr>
      <w:textAlignment w:val="center"/>
    </w:pPr>
    <w:rPr>
      <w:rFonts w:hint="eastAsia" w:ascii="宋体" w:hAnsi="宋体" w:cs="宋体"/>
      <w:sz w:val="18"/>
      <w:szCs w:val="18"/>
    </w:rPr>
    <w:tcPr>
      <w:vAlign w:val="center"/>
    </w:tcPr>
  </w:style>
  <w:style w:type="table" w:customStyle="1" w:styleId="209">
    <w:name w:val="常规 7 21"/>
    <w:basedOn w:val="31"/>
    <w:qFormat/>
    <w:uiPriority w:val="0"/>
    <w:pPr>
      <w:textAlignment w:val="bottom"/>
    </w:pPr>
    <w:rPr>
      <w:rFonts w:ascii="Tahoma" w:hAnsi="Tahoma" w:eastAsia="Tahoma" w:cs="Tahoma"/>
      <w:color w:val="000000"/>
      <w:sz w:val="22"/>
      <w:szCs w:val="22"/>
    </w:rPr>
    <w:tcPr>
      <w:vAlign w:val="bottom"/>
    </w:tcPr>
  </w:style>
  <w:style w:type="table" w:customStyle="1" w:styleId="210">
    <w:name w:val="常规 251"/>
    <w:basedOn w:val="31"/>
    <w:qFormat/>
    <w:uiPriority w:val="0"/>
    <w:pPr>
      <w:textAlignment w:val="center"/>
    </w:pPr>
    <w:rPr>
      <w:rFonts w:hint="eastAsia" w:ascii="宋体" w:hAnsi="宋体" w:cs="宋体"/>
      <w:sz w:val="24"/>
      <w:szCs w:val="24"/>
    </w:rPr>
    <w:tcPr>
      <w:vAlign w:val="center"/>
    </w:tcPr>
  </w:style>
  <w:style w:type="table" w:customStyle="1" w:styleId="211">
    <w:name w:val="常规_检修_261"/>
    <w:basedOn w:val="31"/>
    <w:qFormat/>
    <w:uiPriority w:val="0"/>
    <w:pPr>
      <w:textAlignment w:val="center"/>
    </w:pPr>
    <w:rPr>
      <w:rFonts w:hint="eastAsia" w:ascii="宋体" w:hAnsi="宋体" w:cs="宋体"/>
      <w:sz w:val="18"/>
      <w:szCs w:val="18"/>
    </w:rPr>
    <w:tcPr>
      <w:vAlign w:val="center"/>
    </w:tcPr>
  </w:style>
  <w:style w:type="table" w:customStyle="1" w:styleId="212">
    <w:name w:val="常规_Sheet1_31"/>
    <w:basedOn w:val="31"/>
    <w:qFormat/>
    <w:uiPriority w:val="0"/>
    <w:pPr>
      <w:textAlignment w:val="center"/>
    </w:pPr>
    <w:rPr>
      <w:rFonts w:hint="eastAsia" w:ascii="宋体" w:hAnsi="宋体" w:cs="宋体"/>
      <w:sz w:val="18"/>
      <w:szCs w:val="18"/>
    </w:rPr>
    <w:tcPr>
      <w:vAlign w:val="center"/>
    </w:tcPr>
  </w:style>
  <w:style w:type="table" w:customStyle="1" w:styleId="213">
    <w:name w:val="常规_检修_122"/>
    <w:basedOn w:val="31"/>
    <w:qFormat/>
    <w:uiPriority w:val="0"/>
    <w:pPr>
      <w:textAlignment w:val="center"/>
    </w:pPr>
    <w:rPr>
      <w:rFonts w:hint="eastAsia" w:ascii="宋体" w:hAnsi="宋体" w:cs="宋体"/>
      <w:sz w:val="18"/>
      <w:szCs w:val="18"/>
    </w:rPr>
    <w:tcPr>
      <w:vAlign w:val="center"/>
    </w:tcPr>
  </w:style>
  <w:style w:type="table" w:customStyle="1" w:styleId="214">
    <w:name w:val="常规_检修_411"/>
    <w:basedOn w:val="31"/>
    <w:qFormat/>
    <w:uiPriority w:val="0"/>
    <w:pPr>
      <w:textAlignment w:val="center"/>
    </w:pPr>
    <w:rPr>
      <w:rFonts w:hint="eastAsia" w:ascii="宋体" w:hAnsi="宋体" w:cs="宋体"/>
      <w:sz w:val="18"/>
      <w:szCs w:val="18"/>
    </w:rPr>
    <w:tcPr>
      <w:vAlign w:val="center"/>
    </w:tcPr>
  </w:style>
  <w:style w:type="table" w:customStyle="1" w:styleId="215">
    <w:name w:val="常规_检修_181"/>
    <w:basedOn w:val="31"/>
    <w:qFormat/>
    <w:uiPriority w:val="0"/>
    <w:pPr>
      <w:textAlignment w:val="center"/>
    </w:pPr>
    <w:rPr>
      <w:rFonts w:hint="eastAsia" w:ascii="宋体" w:hAnsi="宋体" w:cs="宋体"/>
      <w:sz w:val="18"/>
      <w:szCs w:val="18"/>
    </w:rPr>
    <w:tcPr>
      <w:vAlign w:val="center"/>
    </w:tcPr>
  </w:style>
  <w:style w:type="table" w:customStyle="1" w:styleId="216">
    <w:name w:val="常规 17 21"/>
    <w:basedOn w:val="31"/>
    <w:qFormat/>
    <w:uiPriority w:val="0"/>
    <w:pPr>
      <w:textAlignment w:val="bottom"/>
    </w:pPr>
    <w:rPr>
      <w:rFonts w:ascii="Tahoma" w:hAnsi="Tahoma" w:eastAsia="Tahoma" w:cs="Tahoma"/>
      <w:color w:val="000000"/>
      <w:sz w:val="22"/>
      <w:szCs w:val="22"/>
    </w:rPr>
    <w:tcPr>
      <w:vAlign w:val="bottom"/>
    </w:tcPr>
  </w:style>
  <w:style w:type="table" w:customStyle="1" w:styleId="217">
    <w:name w:val="常规_Sheet12"/>
    <w:basedOn w:val="31"/>
    <w:qFormat/>
    <w:uiPriority w:val="0"/>
    <w:pPr>
      <w:textAlignment w:val="bottom"/>
    </w:pPr>
    <w:rPr>
      <w:rFonts w:hint="eastAsia" w:ascii="宋体" w:hAnsi="宋体" w:cs="宋体"/>
      <w:sz w:val="24"/>
      <w:szCs w:val="24"/>
    </w:rPr>
    <w:tcPr>
      <w:vAlign w:val="bottom"/>
    </w:tcPr>
  </w:style>
  <w:style w:type="table" w:customStyle="1" w:styleId="218">
    <w:name w:val="常规_Sheet1_91"/>
    <w:basedOn w:val="31"/>
    <w:qFormat/>
    <w:uiPriority w:val="0"/>
    <w:pPr>
      <w:textAlignment w:val="center"/>
    </w:pPr>
    <w:rPr>
      <w:rFonts w:hint="eastAsia" w:ascii="宋体" w:hAnsi="宋体" w:cs="宋体"/>
      <w:sz w:val="18"/>
      <w:szCs w:val="18"/>
    </w:rPr>
    <w:tcPr>
      <w:vAlign w:val="center"/>
    </w:tcPr>
  </w:style>
  <w:style w:type="table" w:customStyle="1" w:styleId="219">
    <w:name w:val="常规1"/>
    <w:basedOn w:val="31"/>
    <w:qFormat/>
    <w:uiPriority w:val="0"/>
    <w:pPr>
      <w:textAlignment w:val="bottom"/>
    </w:pPr>
    <w:rPr>
      <w:sz w:val="24"/>
      <w:szCs w:val="24"/>
    </w:rPr>
    <w:tcPr>
      <w:vAlign w:val="bottom"/>
    </w:tcPr>
  </w:style>
  <w:style w:type="table" w:customStyle="1" w:styleId="220">
    <w:name w:val="常规_检修_112"/>
    <w:basedOn w:val="31"/>
    <w:qFormat/>
    <w:uiPriority w:val="0"/>
    <w:pPr>
      <w:textAlignment w:val="center"/>
    </w:pPr>
    <w:rPr>
      <w:rFonts w:hint="eastAsia" w:ascii="宋体" w:hAnsi="宋体" w:cs="宋体"/>
      <w:sz w:val="18"/>
      <w:szCs w:val="18"/>
    </w:rPr>
    <w:tcPr>
      <w:vAlign w:val="center"/>
    </w:tcPr>
  </w:style>
  <w:style w:type="table" w:customStyle="1" w:styleId="221">
    <w:name w:val="常规_检修_61"/>
    <w:basedOn w:val="31"/>
    <w:qFormat/>
    <w:uiPriority w:val="0"/>
    <w:pPr>
      <w:textAlignment w:val="center"/>
    </w:pPr>
    <w:rPr>
      <w:rFonts w:hint="eastAsia" w:ascii="宋体" w:hAnsi="宋体" w:cs="宋体"/>
      <w:sz w:val="18"/>
      <w:szCs w:val="18"/>
    </w:rPr>
    <w:tcPr>
      <w:vAlign w:val="center"/>
    </w:tcPr>
  </w:style>
  <w:style w:type="table" w:customStyle="1" w:styleId="222">
    <w:name w:val="常规_检修_361"/>
    <w:basedOn w:val="31"/>
    <w:qFormat/>
    <w:uiPriority w:val="0"/>
    <w:pPr>
      <w:textAlignment w:val="center"/>
    </w:pPr>
    <w:rPr>
      <w:rFonts w:hint="eastAsia" w:ascii="宋体" w:hAnsi="宋体" w:cs="宋体"/>
      <w:sz w:val="18"/>
      <w:szCs w:val="18"/>
    </w:rPr>
    <w:tcPr>
      <w:vAlign w:val="center"/>
    </w:tcPr>
  </w:style>
  <w:style w:type="table" w:customStyle="1" w:styleId="223">
    <w:name w:val="常规_检修_371"/>
    <w:basedOn w:val="31"/>
    <w:qFormat/>
    <w:uiPriority w:val="0"/>
    <w:pPr>
      <w:textAlignment w:val="center"/>
    </w:pPr>
    <w:rPr>
      <w:rFonts w:hint="eastAsia" w:ascii="宋体" w:hAnsi="宋体" w:cs="宋体"/>
      <w:sz w:val="18"/>
      <w:szCs w:val="18"/>
    </w:rPr>
    <w:tcPr>
      <w:vAlign w:val="center"/>
    </w:tcPr>
  </w:style>
  <w:style w:type="table" w:customStyle="1" w:styleId="224">
    <w:name w:val="常规_检修_201"/>
    <w:basedOn w:val="31"/>
    <w:qFormat/>
    <w:uiPriority w:val="0"/>
    <w:pPr>
      <w:textAlignment w:val="center"/>
    </w:pPr>
    <w:rPr>
      <w:rFonts w:hint="eastAsia" w:ascii="宋体" w:hAnsi="宋体" w:cs="宋体"/>
      <w:sz w:val="18"/>
      <w:szCs w:val="18"/>
    </w:rPr>
    <w:tcPr>
      <w:vAlign w:val="center"/>
    </w:tcPr>
  </w:style>
  <w:style w:type="table" w:customStyle="1" w:styleId="225">
    <w:name w:val="常规_检修_31"/>
    <w:basedOn w:val="31"/>
    <w:qFormat/>
    <w:uiPriority w:val="0"/>
    <w:pPr>
      <w:textAlignment w:val="center"/>
    </w:pPr>
    <w:rPr>
      <w:rFonts w:hint="eastAsia" w:ascii="宋体" w:hAnsi="宋体" w:cs="宋体"/>
      <w:sz w:val="18"/>
      <w:szCs w:val="18"/>
    </w:rPr>
    <w:tcPr>
      <w:vAlign w:val="center"/>
    </w:tcPr>
  </w:style>
  <w:style w:type="table" w:customStyle="1" w:styleId="226">
    <w:name w:val="常规 9 21"/>
    <w:basedOn w:val="31"/>
    <w:qFormat/>
    <w:uiPriority w:val="0"/>
    <w:pPr>
      <w:textAlignment w:val="bottom"/>
    </w:pPr>
    <w:rPr>
      <w:rFonts w:ascii="Tahoma" w:hAnsi="Tahoma" w:eastAsia="Tahoma" w:cs="Tahoma"/>
      <w:color w:val="000000"/>
      <w:sz w:val="22"/>
      <w:szCs w:val="22"/>
    </w:rPr>
    <w:tcPr>
      <w:vAlign w:val="bottom"/>
    </w:tcPr>
  </w:style>
  <w:style w:type="table" w:customStyle="1" w:styleId="227">
    <w:name w:val="常规_检修_11"/>
    <w:basedOn w:val="31"/>
    <w:qFormat/>
    <w:uiPriority w:val="0"/>
    <w:pPr>
      <w:textAlignment w:val="center"/>
    </w:pPr>
    <w:rPr>
      <w:rFonts w:hint="eastAsia" w:ascii="宋体" w:hAnsi="宋体" w:cs="宋体"/>
      <w:sz w:val="18"/>
      <w:szCs w:val="18"/>
    </w:rPr>
    <w:tcPr>
      <w:vAlign w:val="center"/>
    </w:tcPr>
  </w:style>
  <w:style w:type="table" w:customStyle="1" w:styleId="228">
    <w:name w:val="常规 13 21"/>
    <w:basedOn w:val="31"/>
    <w:qFormat/>
    <w:uiPriority w:val="0"/>
    <w:pPr>
      <w:textAlignment w:val="bottom"/>
    </w:pPr>
    <w:rPr>
      <w:rFonts w:ascii="Tahoma" w:hAnsi="Tahoma" w:eastAsia="Tahoma" w:cs="Tahoma"/>
      <w:color w:val="000000"/>
      <w:sz w:val="22"/>
      <w:szCs w:val="22"/>
    </w:rPr>
    <w:tcPr>
      <w:vAlign w:val="bottom"/>
    </w:tcPr>
  </w:style>
  <w:style w:type="table" w:customStyle="1" w:styleId="229">
    <w:name w:val="常规 16 21"/>
    <w:basedOn w:val="31"/>
    <w:qFormat/>
    <w:uiPriority w:val="0"/>
    <w:pPr>
      <w:textAlignment w:val="bottom"/>
    </w:pPr>
    <w:rPr>
      <w:rFonts w:ascii="Tahoma" w:hAnsi="Tahoma" w:eastAsia="Tahoma" w:cs="Tahoma"/>
      <w:color w:val="000000"/>
      <w:sz w:val="22"/>
      <w:szCs w:val="22"/>
    </w:rPr>
    <w:tcPr>
      <w:vAlign w:val="bottom"/>
    </w:tcPr>
  </w:style>
  <w:style w:type="table" w:customStyle="1" w:styleId="230">
    <w:name w:val="常规_检修_212"/>
    <w:basedOn w:val="31"/>
    <w:qFormat/>
    <w:uiPriority w:val="0"/>
    <w:pPr>
      <w:textAlignment w:val="center"/>
    </w:pPr>
    <w:rPr>
      <w:rFonts w:hint="eastAsia" w:ascii="宋体" w:hAnsi="宋体" w:cs="宋体"/>
      <w:sz w:val="18"/>
      <w:szCs w:val="18"/>
    </w:rPr>
    <w:tcPr>
      <w:vAlign w:val="center"/>
    </w:tcPr>
  </w:style>
  <w:style w:type="table" w:customStyle="1" w:styleId="231">
    <w:name w:val="常规_15晋北铝业公司集团计划内1"/>
    <w:basedOn w:val="31"/>
    <w:qFormat/>
    <w:uiPriority w:val="0"/>
    <w:pPr>
      <w:textAlignment w:val="center"/>
    </w:pPr>
    <w:rPr>
      <w:rFonts w:hint="eastAsia" w:ascii="宋体" w:hAnsi="宋体" w:cs="宋体"/>
      <w:sz w:val="24"/>
      <w:szCs w:val="24"/>
    </w:rPr>
    <w:tcPr>
      <w:vAlign w:val="center"/>
    </w:tcPr>
  </w:style>
  <w:style w:type="table" w:customStyle="1" w:styleId="232">
    <w:name w:val="常规 271"/>
    <w:basedOn w:val="31"/>
    <w:qFormat/>
    <w:uiPriority w:val="0"/>
    <w:pPr>
      <w:textAlignment w:val="center"/>
    </w:pPr>
    <w:rPr>
      <w:rFonts w:hint="eastAsia" w:ascii="宋体" w:hAnsi="宋体" w:cs="宋体"/>
      <w:color w:val="000000"/>
      <w:sz w:val="22"/>
      <w:szCs w:val="22"/>
    </w:rPr>
    <w:tcPr>
      <w:vAlign w:val="center"/>
    </w:tcPr>
  </w:style>
  <w:style w:type="table" w:customStyle="1" w:styleId="233">
    <w:name w:val="常规_检修_391"/>
    <w:basedOn w:val="31"/>
    <w:qFormat/>
    <w:uiPriority w:val="0"/>
    <w:pPr>
      <w:textAlignment w:val="center"/>
    </w:pPr>
    <w:rPr>
      <w:rFonts w:hint="eastAsia" w:ascii="宋体" w:hAnsi="宋体" w:cs="宋体"/>
      <w:sz w:val="18"/>
      <w:szCs w:val="18"/>
    </w:rPr>
    <w:tcPr>
      <w:vAlign w:val="center"/>
    </w:tcPr>
  </w:style>
  <w:style w:type="table" w:customStyle="1" w:styleId="234">
    <w:name w:val="常规_检修_281"/>
    <w:basedOn w:val="31"/>
    <w:qFormat/>
    <w:uiPriority w:val="0"/>
    <w:pPr>
      <w:textAlignment w:val="center"/>
    </w:pPr>
    <w:rPr>
      <w:rFonts w:hint="eastAsia" w:ascii="宋体" w:hAnsi="宋体" w:cs="宋体"/>
      <w:sz w:val="18"/>
      <w:szCs w:val="18"/>
    </w:rPr>
    <w:tcPr>
      <w:vAlign w:val="center"/>
    </w:tcPr>
  </w:style>
  <w:style w:type="table" w:customStyle="1" w:styleId="235">
    <w:name w:val="常规_检修_301"/>
    <w:basedOn w:val="31"/>
    <w:qFormat/>
    <w:uiPriority w:val="0"/>
    <w:pPr>
      <w:textAlignment w:val="center"/>
    </w:pPr>
    <w:rPr>
      <w:rFonts w:hint="eastAsia" w:ascii="宋体" w:hAnsi="宋体" w:cs="宋体"/>
      <w:sz w:val="18"/>
      <w:szCs w:val="18"/>
    </w:rPr>
    <w:tcPr>
      <w:vAlign w:val="center"/>
    </w:tcPr>
  </w:style>
  <w:style w:type="table" w:customStyle="1" w:styleId="236">
    <w:name w:val="常规_检修_161"/>
    <w:basedOn w:val="31"/>
    <w:qFormat/>
    <w:uiPriority w:val="0"/>
    <w:pPr>
      <w:textAlignment w:val="center"/>
    </w:pPr>
    <w:rPr>
      <w:rFonts w:hint="eastAsia" w:ascii="宋体" w:hAnsi="宋体" w:cs="宋体"/>
      <w:sz w:val="18"/>
      <w:szCs w:val="18"/>
    </w:rPr>
    <w:tcPr>
      <w:vAlign w:val="center"/>
    </w:tcPr>
  </w:style>
  <w:style w:type="table" w:customStyle="1" w:styleId="237">
    <w:name w:val="常规_检修_42"/>
    <w:basedOn w:val="31"/>
    <w:qFormat/>
    <w:uiPriority w:val="0"/>
    <w:pPr>
      <w:textAlignment w:val="center"/>
    </w:pPr>
    <w:rPr>
      <w:rFonts w:hint="eastAsia" w:ascii="宋体" w:hAnsi="宋体" w:cs="宋体"/>
      <w:sz w:val="18"/>
      <w:szCs w:val="18"/>
    </w:rPr>
    <w:tcPr>
      <w:vAlign w:val="center"/>
    </w:tcPr>
  </w:style>
  <w:style w:type="table" w:customStyle="1" w:styleId="238">
    <w:name w:val="常规_检修_401"/>
    <w:basedOn w:val="31"/>
    <w:qFormat/>
    <w:uiPriority w:val="0"/>
    <w:pPr>
      <w:textAlignment w:val="center"/>
    </w:pPr>
    <w:rPr>
      <w:rFonts w:hint="eastAsia" w:ascii="宋体" w:hAnsi="宋体" w:cs="宋体"/>
      <w:sz w:val="18"/>
      <w:szCs w:val="18"/>
    </w:rPr>
    <w:tcPr>
      <w:vAlign w:val="center"/>
    </w:tcPr>
  </w:style>
  <w:style w:type="table" w:customStyle="1" w:styleId="239">
    <w:name w:val="常规_检修_91"/>
    <w:basedOn w:val="31"/>
    <w:qFormat/>
    <w:uiPriority w:val="0"/>
    <w:pPr>
      <w:textAlignment w:val="center"/>
    </w:pPr>
    <w:rPr>
      <w:rFonts w:hint="eastAsia" w:ascii="宋体" w:hAnsi="宋体" w:cs="宋体"/>
      <w:sz w:val="18"/>
      <w:szCs w:val="18"/>
    </w:rPr>
    <w:tcPr>
      <w:vAlign w:val="center"/>
    </w:tcPr>
  </w:style>
  <w:style w:type="table" w:customStyle="1" w:styleId="240">
    <w:name w:val="常规_检修_351"/>
    <w:basedOn w:val="31"/>
    <w:qFormat/>
    <w:uiPriority w:val="0"/>
    <w:pPr>
      <w:textAlignment w:val="center"/>
    </w:pPr>
    <w:rPr>
      <w:rFonts w:hint="eastAsia" w:ascii="宋体" w:hAnsi="宋体" w:cs="宋体"/>
      <w:sz w:val="18"/>
      <w:szCs w:val="18"/>
    </w:rPr>
    <w:tcPr>
      <w:vAlign w:val="center"/>
    </w:tcPr>
  </w:style>
  <w:style w:type="table" w:customStyle="1" w:styleId="241">
    <w:name w:val="常规_Sheet1_71"/>
    <w:basedOn w:val="31"/>
    <w:qFormat/>
    <w:uiPriority w:val="0"/>
    <w:pPr>
      <w:textAlignment w:val="center"/>
    </w:pPr>
    <w:rPr>
      <w:rFonts w:hint="eastAsia" w:ascii="宋体" w:hAnsi="宋体" w:cs="宋体"/>
      <w:sz w:val="18"/>
      <w:szCs w:val="18"/>
    </w:rPr>
    <w:tcPr>
      <w:vAlign w:val="center"/>
    </w:tcPr>
  </w:style>
  <w:style w:type="table" w:customStyle="1" w:styleId="242">
    <w:name w:val="常规_Sheet1_161"/>
    <w:basedOn w:val="31"/>
    <w:qFormat/>
    <w:uiPriority w:val="0"/>
    <w:pPr>
      <w:textAlignment w:val="center"/>
    </w:pPr>
    <w:rPr>
      <w:rFonts w:hint="eastAsia" w:ascii="宋体" w:hAnsi="宋体" w:cs="宋体"/>
      <w:sz w:val="18"/>
      <w:szCs w:val="18"/>
    </w:rPr>
    <w:tcPr>
      <w:vAlign w:val="center"/>
    </w:tcPr>
  </w:style>
  <w:style w:type="table" w:customStyle="1" w:styleId="243">
    <w:name w:val="常规_Sheet1_12"/>
    <w:basedOn w:val="31"/>
    <w:qFormat/>
    <w:uiPriority w:val="0"/>
    <w:pPr>
      <w:textAlignment w:val="bottom"/>
    </w:pPr>
    <w:rPr>
      <w:rFonts w:hint="eastAsia" w:ascii="宋体" w:hAnsi="宋体" w:cs="宋体"/>
      <w:sz w:val="24"/>
      <w:szCs w:val="24"/>
    </w:rPr>
    <w:tcPr>
      <w:vAlign w:val="bottom"/>
    </w:tcPr>
  </w:style>
  <w:style w:type="table" w:customStyle="1" w:styleId="244">
    <w:name w:val="常规_检修_101"/>
    <w:basedOn w:val="31"/>
    <w:qFormat/>
    <w:uiPriority w:val="0"/>
    <w:pPr>
      <w:textAlignment w:val="center"/>
    </w:pPr>
    <w:rPr>
      <w:rFonts w:hint="eastAsia" w:ascii="宋体" w:hAnsi="宋体" w:cs="宋体"/>
      <w:sz w:val="18"/>
      <w:szCs w:val="18"/>
    </w:rPr>
    <w:tcPr>
      <w:vAlign w:val="center"/>
    </w:tcPr>
  </w:style>
  <w:style w:type="table" w:customStyle="1" w:styleId="245">
    <w:name w:val="常规 12 21"/>
    <w:basedOn w:val="31"/>
    <w:qFormat/>
    <w:uiPriority w:val="0"/>
    <w:pPr>
      <w:textAlignment w:val="bottom"/>
    </w:pPr>
    <w:rPr>
      <w:rFonts w:ascii="Tahoma" w:hAnsi="Tahoma" w:eastAsia="Tahoma" w:cs="Tahoma"/>
      <w:color w:val="000000"/>
      <w:sz w:val="22"/>
      <w:szCs w:val="22"/>
    </w:rPr>
    <w:tcPr>
      <w:vAlign w:val="bottom"/>
    </w:tcPr>
  </w:style>
  <w:style w:type="table" w:customStyle="1" w:styleId="246">
    <w:name w:val="常规_检修_341"/>
    <w:basedOn w:val="31"/>
    <w:qFormat/>
    <w:uiPriority w:val="0"/>
    <w:pPr>
      <w:textAlignment w:val="center"/>
    </w:pPr>
    <w:rPr>
      <w:rFonts w:hint="eastAsia" w:ascii="宋体" w:hAnsi="宋体" w:cs="宋体"/>
      <w:sz w:val="18"/>
      <w:szCs w:val="18"/>
    </w:rPr>
    <w:tcPr>
      <w:vAlign w:val="center"/>
    </w:tcPr>
  </w:style>
  <w:style w:type="table" w:customStyle="1" w:styleId="247">
    <w:name w:val="常规_表二_22"/>
    <w:basedOn w:val="31"/>
    <w:qFormat/>
    <w:uiPriority w:val="0"/>
    <w:pPr>
      <w:textAlignment w:val="center"/>
    </w:pPr>
    <w:rPr>
      <w:rFonts w:hint="eastAsia" w:ascii="宋体" w:hAnsi="宋体" w:cs="宋体"/>
      <w:sz w:val="24"/>
      <w:szCs w:val="24"/>
    </w:rPr>
    <w:tcPr>
      <w:vAlign w:val="center"/>
    </w:tcPr>
  </w:style>
  <w:style w:type="table" w:customStyle="1" w:styleId="248">
    <w:name w:val="常规_Sheet1_101"/>
    <w:basedOn w:val="31"/>
    <w:qFormat/>
    <w:uiPriority w:val="0"/>
    <w:pPr>
      <w:textAlignment w:val="center"/>
    </w:pPr>
    <w:rPr>
      <w:rFonts w:hint="eastAsia" w:ascii="宋体" w:hAnsi="宋体" w:cs="宋体"/>
      <w:sz w:val="18"/>
      <w:szCs w:val="18"/>
    </w:rPr>
    <w:tcPr>
      <w:vAlign w:val="center"/>
    </w:tcPr>
  </w:style>
  <w:style w:type="table" w:customStyle="1" w:styleId="249">
    <w:name w:val="常规_表二_11"/>
    <w:basedOn w:val="31"/>
    <w:qFormat/>
    <w:uiPriority w:val="0"/>
    <w:pPr>
      <w:textAlignment w:val="center"/>
    </w:pPr>
    <w:rPr>
      <w:rFonts w:hint="eastAsia" w:ascii="宋体" w:hAnsi="宋体" w:cs="宋体"/>
      <w:sz w:val="24"/>
      <w:szCs w:val="24"/>
    </w:rPr>
    <w:tcPr>
      <w:vAlign w:val="center"/>
    </w:tcPr>
  </w:style>
  <w:style w:type="table" w:customStyle="1" w:styleId="250">
    <w:name w:val="常规_Sheet1_81"/>
    <w:basedOn w:val="31"/>
    <w:qFormat/>
    <w:uiPriority w:val="0"/>
    <w:pPr>
      <w:textAlignment w:val="center"/>
    </w:pPr>
    <w:rPr>
      <w:rFonts w:hint="eastAsia" w:ascii="宋体" w:hAnsi="宋体" w:cs="宋体"/>
      <w:sz w:val="18"/>
      <w:szCs w:val="18"/>
    </w:rPr>
    <w:tcPr>
      <w:vAlign w:val="center"/>
    </w:tcPr>
  </w:style>
  <w:style w:type="table" w:customStyle="1" w:styleId="251">
    <w:name w:val="常规 8 21"/>
    <w:basedOn w:val="31"/>
    <w:qFormat/>
    <w:uiPriority w:val="0"/>
    <w:pPr>
      <w:textAlignment w:val="bottom"/>
    </w:pPr>
    <w:rPr>
      <w:rFonts w:ascii="Tahoma" w:hAnsi="Tahoma" w:eastAsia="Tahoma" w:cs="Tahoma"/>
      <w:color w:val="000000"/>
      <w:sz w:val="22"/>
      <w:szCs w:val="22"/>
    </w:rPr>
    <w:tcPr>
      <w:vAlign w:val="bottom"/>
    </w:tcPr>
  </w:style>
  <w:style w:type="table" w:customStyle="1" w:styleId="252">
    <w:name w:val="常规_检修_322"/>
    <w:basedOn w:val="31"/>
    <w:qFormat/>
    <w:uiPriority w:val="0"/>
    <w:pPr>
      <w:textAlignment w:val="center"/>
    </w:pPr>
    <w:rPr>
      <w:rFonts w:hint="eastAsia" w:ascii="宋体" w:hAnsi="宋体" w:cs="宋体"/>
      <w:sz w:val="18"/>
      <w:szCs w:val="18"/>
    </w:rPr>
    <w:tcPr>
      <w:vAlign w:val="center"/>
    </w:tcPr>
  </w:style>
  <w:style w:type="table" w:customStyle="1" w:styleId="253">
    <w:name w:val="常规_检修_191"/>
    <w:basedOn w:val="31"/>
    <w:qFormat/>
    <w:uiPriority w:val="0"/>
    <w:pPr>
      <w:textAlignment w:val="center"/>
    </w:pPr>
    <w:rPr>
      <w:rFonts w:hint="eastAsia" w:ascii="宋体" w:hAnsi="宋体" w:cs="宋体"/>
      <w:sz w:val="18"/>
      <w:szCs w:val="18"/>
    </w:rPr>
    <w:tcPr>
      <w:vAlign w:val="center"/>
    </w:tcPr>
  </w:style>
  <w:style w:type="table" w:customStyle="1" w:styleId="254">
    <w:name w:val="常规_Sheet1_142"/>
    <w:basedOn w:val="31"/>
    <w:qFormat/>
    <w:uiPriority w:val="0"/>
    <w:pPr>
      <w:textAlignment w:val="center"/>
    </w:pPr>
    <w:rPr>
      <w:rFonts w:hint="eastAsia" w:ascii="宋体" w:hAnsi="宋体" w:cs="宋体"/>
      <w:sz w:val="18"/>
      <w:szCs w:val="18"/>
    </w:rPr>
    <w:tcPr>
      <w:vAlign w:val="center"/>
    </w:tcPr>
  </w:style>
  <w:style w:type="table" w:customStyle="1" w:styleId="255">
    <w:name w:val="常规 141"/>
    <w:basedOn w:val="31"/>
    <w:qFormat/>
    <w:uiPriority w:val="0"/>
    <w:pPr>
      <w:textAlignment w:val="center"/>
    </w:pPr>
    <w:rPr>
      <w:rFonts w:hint="eastAsia" w:ascii="宋体" w:hAnsi="宋体" w:cs="宋体"/>
      <w:sz w:val="24"/>
      <w:szCs w:val="24"/>
    </w:rPr>
    <w:tcPr>
      <w:vAlign w:val="center"/>
    </w:tc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82d77b-42c1-4ced-a225-c9319cb55287}">
  <ds:schemaRefs/>
</ds:datastoreItem>
</file>

<file path=docProps/app.xml><?xml version="1.0" encoding="utf-8"?>
<Properties xmlns="http://schemas.openxmlformats.org/officeDocument/2006/extended-properties" xmlns:vt="http://schemas.openxmlformats.org/officeDocument/2006/docPropsVTypes">
  <Template>Normal</Template>
  <Pages>53</Pages>
  <Words>10820</Words>
  <Characters>32919</Characters>
  <Paragraphs>1985</Paragraphs>
  <TotalTime>12</TotalTime>
  <ScaleCrop>false</ScaleCrop>
  <LinksUpToDate>false</LinksUpToDate>
  <CharactersWithSpaces>37303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2025-01-25T19:07:00Z</dcterms:created>
  <dc:creator>Administrator</dc:creator>
  <cp:lastModifiedBy>望汐</cp:lastModifiedBy>
  <cp:lastPrinted>2020-02-12T02:23:00Z</cp:lastPrinted>
  <dcterms:modified xsi:type="dcterms:W3CDTF">2026-04-18T16:14:07Z</dcterms:modified>
  <dc:title>生活饮用水供应项目 询价函</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1F03F66C99AA44A2BA29A5384398048C_13</vt:lpwstr>
  </property>
  <property fmtid="{D5CDD505-2E9C-101B-9397-08002B2CF9AE}" pid="4" name="KSOTemplateDocerSaveRecord">
    <vt:lpwstr>eyJoZGlkIjoiMzQ4ODYzY2FlNmMzYmE3ODJhODIxM2E1Y2Y4MTNlNjEiLCJ1c2VySWQiOiI0MjgxMDIxNzYifQ==</vt:lpwstr>
  </property>
</Properties>
</file>