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148AFC0">
      <w:pPr>
        <w:spacing w:line="360" w:lineRule="auto"/>
        <w:ind w:right="119"/>
        <w:jc w:val="left"/>
        <w:rPr>
          <w:b/>
          <w:bCs/>
          <w:sz w:val="24"/>
        </w:rPr>
      </w:pPr>
    </w:p>
    <w:p w14:paraId="2C8B01AA">
      <w:pPr>
        <w:spacing w:line="360" w:lineRule="auto"/>
        <w:rPr>
          <w:b/>
          <w:bCs/>
          <w:sz w:val="52"/>
          <w:szCs w:val="52"/>
        </w:rPr>
      </w:pPr>
      <w:r>
        <w:rPr>
          <w:rFonts w:eastAsia="仿宋"/>
          <w:b/>
          <w:bCs/>
          <w:sz w:val="32"/>
          <w:szCs w:val="32"/>
          <w:lang w:val="en-US"/>
        </w:rPr>
        <w:drawing>
          <wp:anchor distT="0" distB="0" distL="114300" distR="114300" simplePos="0" relativeHeight="251663360" behindDoc="0" locked="0" layoutInCell="1" allowOverlap="1">
            <wp:simplePos x="0" y="0"/>
            <wp:positionH relativeFrom="column">
              <wp:posOffset>-188595</wp:posOffset>
            </wp:positionH>
            <wp:positionV relativeFrom="paragraph">
              <wp:posOffset>53975</wp:posOffset>
            </wp:positionV>
            <wp:extent cx="3262630" cy="524510"/>
            <wp:effectExtent l="0" t="0" r="13970" b="8890"/>
            <wp:wrapNone/>
            <wp:docPr id="10" name="图片 10" descr="说明: 铝电公司-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说明: 铝电公司-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62630" cy="524510"/>
                    </a:xfrm>
                    <a:prstGeom prst="rect">
                      <a:avLst/>
                    </a:prstGeom>
                    <a:noFill/>
                    <a:ln>
                      <a:noFill/>
                    </a:ln>
                    <a:effectLst/>
                  </pic:spPr>
                </pic:pic>
              </a:graphicData>
            </a:graphic>
          </wp:anchor>
        </w:drawing>
      </w:r>
    </w:p>
    <w:p w14:paraId="6BCB90FA">
      <w:pPr>
        <w:spacing w:line="360" w:lineRule="auto"/>
        <w:jc w:val="center"/>
        <w:rPr>
          <w:b/>
          <w:bCs/>
          <w:sz w:val="52"/>
          <w:szCs w:val="52"/>
        </w:rPr>
      </w:pPr>
    </w:p>
    <w:p w14:paraId="7B85A5D3">
      <w:pPr>
        <w:pStyle w:val="21"/>
        <w:rPr>
          <w:b/>
          <w:bCs/>
          <w:sz w:val="52"/>
          <w:szCs w:val="52"/>
        </w:rPr>
      </w:pPr>
    </w:p>
    <w:p w14:paraId="51379C24">
      <w:pPr>
        <w:pStyle w:val="21"/>
        <w:rPr>
          <w:b/>
          <w:bCs/>
          <w:sz w:val="52"/>
          <w:szCs w:val="52"/>
        </w:rPr>
      </w:pPr>
    </w:p>
    <w:p w14:paraId="5D6E0118">
      <w:pPr>
        <w:adjustRightInd w:val="0"/>
        <w:snapToGrid w:val="0"/>
        <w:spacing w:line="360" w:lineRule="auto"/>
        <w:jc w:val="center"/>
        <w:rPr>
          <w:b/>
          <w:bCs/>
          <w:sz w:val="44"/>
          <w:szCs w:val="44"/>
        </w:rPr>
      </w:pPr>
      <w:r>
        <w:rPr>
          <w:rFonts w:hint="eastAsia"/>
          <w:b/>
          <w:bCs/>
          <w:sz w:val="44"/>
          <w:szCs w:val="44"/>
        </w:rPr>
        <w:t>几内亚高丽亚矿山股份有限公司</w:t>
      </w:r>
    </w:p>
    <w:p w14:paraId="602CE4C3">
      <w:pPr>
        <w:adjustRightInd w:val="0"/>
        <w:snapToGrid w:val="0"/>
        <w:spacing w:line="360" w:lineRule="auto"/>
        <w:jc w:val="center"/>
        <w:rPr>
          <w:b/>
          <w:bCs/>
          <w:sz w:val="44"/>
          <w:szCs w:val="44"/>
        </w:rPr>
      </w:pPr>
      <w:r>
        <w:rPr>
          <w:rFonts w:hint="eastAsia"/>
          <w:b/>
          <w:bCs/>
          <w:sz w:val="44"/>
          <w:szCs w:val="44"/>
          <w:lang w:val="en-US"/>
        </w:rPr>
        <w:t>蒂美伟-</w:t>
      </w:r>
      <w:r>
        <w:rPr>
          <w:rFonts w:hint="eastAsia"/>
          <w:b/>
          <w:bCs/>
          <w:sz w:val="44"/>
          <w:szCs w:val="44"/>
        </w:rPr>
        <w:t>孔苏达米社区道路修缮项目</w:t>
      </w:r>
    </w:p>
    <w:p w14:paraId="3550EE06">
      <w:pPr>
        <w:adjustRightInd w:val="0"/>
        <w:snapToGrid w:val="0"/>
        <w:spacing w:line="360" w:lineRule="auto"/>
        <w:jc w:val="center"/>
        <w:rPr>
          <w:b/>
          <w:bCs/>
          <w:sz w:val="44"/>
          <w:szCs w:val="44"/>
        </w:rPr>
      </w:pPr>
      <w:r>
        <w:rPr>
          <w:rFonts w:hint="eastAsia"/>
          <w:b/>
          <w:bCs/>
          <w:sz w:val="44"/>
          <w:szCs w:val="44"/>
        </w:rPr>
        <w:t>询价采购文件</w:t>
      </w:r>
    </w:p>
    <w:p w14:paraId="7CC82635">
      <w:pPr>
        <w:jc w:val="center"/>
      </w:pPr>
      <w:r>
        <w:rPr>
          <w:sz w:val="44"/>
          <w:szCs w:val="44"/>
          <w:lang w:val="fr-BE"/>
        </w:rPr>
        <w:t>Dossier d</w:t>
      </w:r>
      <w:r>
        <w:rPr>
          <w:sz w:val="44"/>
          <w:szCs w:val="44"/>
        </w:rPr>
        <w:t>’</w:t>
      </w:r>
      <w:r>
        <w:rPr>
          <w:sz w:val="44"/>
          <w:szCs w:val="44"/>
          <w:lang w:val="fr-BE"/>
        </w:rPr>
        <w:t>Appel d</w:t>
      </w:r>
      <w:r>
        <w:rPr>
          <w:sz w:val="44"/>
          <w:szCs w:val="44"/>
        </w:rPr>
        <w:t>’</w:t>
      </w:r>
      <w:r>
        <w:rPr>
          <w:sz w:val="44"/>
          <w:szCs w:val="44"/>
          <w:lang w:val="fr-BE"/>
        </w:rPr>
        <w:t xml:space="preserve">Offres </w:t>
      </w:r>
      <w:r>
        <w:rPr>
          <w:rFonts w:hint="eastAsia"/>
          <w:sz w:val="44"/>
          <w:szCs w:val="44"/>
        </w:rPr>
        <w:t xml:space="preserve">pour </w:t>
      </w:r>
      <w:r>
        <w:rPr>
          <w:sz w:val="44"/>
          <w:szCs w:val="44"/>
        </w:rPr>
        <w:t>les Travaux de Réhabilitation des Routes Communautaires</w:t>
      </w:r>
      <w:r>
        <w:rPr>
          <w:rFonts w:hint="eastAsia"/>
          <w:sz w:val="44"/>
          <w:szCs w:val="44"/>
        </w:rPr>
        <w:t>（Thimmewi - Konsatamy）</w:t>
      </w:r>
      <w:r>
        <w:rPr>
          <w:sz w:val="44"/>
          <w:szCs w:val="44"/>
        </w:rPr>
        <w:t>–</w:t>
      </w:r>
      <w:r>
        <w:rPr>
          <w:rFonts w:hint="eastAsia"/>
          <w:sz w:val="44"/>
          <w:szCs w:val="44"/>
        </w:rPr>
        <w:t xml:space="preserve"> </w:t>
      </w:r>
      <w:r>
        <w:rPr>
          <w:sz w:val="44"/>
          <w:szCs w:val="44"/>
        </w:rPr>
        <w:t>Guinea Colia Mining S.A.</w:t>
      </w:r>
    </w:p>
    <w:p w14:paraId="256EAAC7">
      <w:pPr>
        <w:jc w:val="center"/>
      </w:pPr>
    </w:p>
    <w:p w14:paraId="219A60F2">
      <w:pPr>
        <w:jc w:val="center"/>
      </w:pPr>
    </w:p>
    <w:p w14:paraId="3A85F6C9">
      <w:pPr>
        <w:jc w:val="center"/>
      </w:pPr>
    </w:p>
    <w:p w14:paraId="405952D0">
      <w:pPr>
        <w:pStyle w:val="164"/>
        <w:ind w:left="5250"/>
      </w:pPr>
    </w:p>
    <w:p w14:paraId="3DCACE94">
      <w:pPr>
        <w:pStyle w:val="164"/>
        <w:ind w:left="5250"/>
      </w:pPr>
    </w:p>
    <w:p w14:paraId="2863D584">
      <w:pPr>
        <w:pStyle w:val="164"/>
        <w:ind w:left="5250"/>
      </w:pPr>
    </w:p>
    <w:p w14:paraId="1902E2F3">
      <w:pPr>
        <w:pStyle w:val="164"/>
        <w:ind w:left="5250"/>
      </w:pPr>
    </w:p>
    <w:p w14:paraId="1EC94E62">
      <w:pPr>
        <w:spacing w:line="360" w:lineRule="auto"/>
        <w:rPr>
          <w:bCs/>
          <w:sz w:val="24"/>
          <w:szCs w:val="18"/>
        </w:rPr>
      </w:pPr>
    </w:p>
    <w:tbl>
      <w:tblPr>
        <w:tblStyle w:val="34"/>
        <w:tblW w:w="9180" w:type="dxa"/>
        <w:jc w:val="center"/>
        <w:tblLayout w:type="fixed"/>
        <w:tblCellMar>
          <w:top w:w="0" w:type="dxa"/>
          <w:left w:w="108" w:type="dxa"/>
          <w:bottom w:w="0" w:type="dxa"/>
          <w:right w:w="108" w:type="dxa"/>
        </w:tblCellMar>
      </w:tblPr>
      <w:tblGrid>
        <w:gridCol w:w="2717"/>
        <w:gridCol w:w="6463"/>
      </w:tblGrid>
      <w:tr w14:paraId="07C3B79C">
        <w:tblPrEx>
          <w:tblCellMar>
            <w:top w:w="0" w:type="dxa"/>
            <w:left w:w="108" w:type="dxa"/>
            <w:bottom w:w="0" w:type="dxa"/>
            <w:right w:w="108" w:type="dxa"/>
          </w:tblCellMar>
        </w:tblPrEx>
        <w:trPr>
          <w:trHeight w:val="542" w:hRule="atLeast"/>
          <w:jc w:val="center"/>
        </w:trPr>
        <w:tc>
          <w:tcPr>
            <w:tcW w:w="2717" w:type="dxa"/>
            <w:vAlign w:val="center"/>
          </w:tcPr>
          <w:p w14:paraId="2BD0D1BB">
            <w:pPr>
              <w:jc w:val="distribute"/>
              <w:rPr>
                <w:sz w:val="28"/>
                <w:szCs w:val="22"/>
              </w:rPr>
            </w:pPr>
            <w:r>
              <w:rPr>
                <w:b/>
                <w:sz w:val="30"/>
                <w:szCs w:val="22"/>
              </w:rPr>
              <w:t>采  购  人：</w:t>
            </w:r>
          </w:p>
        </w:tc>
        <w:tc>
          <w:tcPr>
            <w:tcW w:w="6463" w:type="dxa"/>
            <w:vAlign w:val="center"/>
          </w:tcPr>
          <w:p w14:paraId="050ABB65">
            <w:pPr>
              <w:jc w:val="distribute"/>
              <w:rPr>
                <w:b/>
                <w:sz w:val="30"/>
                <w:szCs w:val="22"/>
                <w:lang w:val="en-US"/>
              </w:rPr>
            </w:pPr>
            <w:r>
              <w:rPr>
                <w:rFonts w:hint="eastAsia"/>
                <w:b/>
                <w:sz w:val="30"/>
                <w:szCs w:val="22"/>
                <w:lang w:val="en-US"/>
              </w:rPr>
              <w:t>国家电投集团铝电投资</w:t>
            </w:r>
            <w:r>
              <w:rPr>
                <w:b/>
                <w:sz w:val="30"/>
                <w:szCs w:val="22"/>
                <w:lang w:val="en-US"/>
              </w:rPr>
              <w:t>有限公司</w:t>
            </w:r>
          </w:p>
        </w:tc>
      </w:tr>
      <w:tr w14:paraId="508EAC0E">
        <w:tblPrEx>
          <w:tblCellMar>
            <w:top w:w="0" w:type="dxa"/>
            <w:left w:w="108" w:type="dxa"/>
            <w:bottom w:w="0" w:type="dxa"/>
            <w:right w:w="108" w:type="dxa"/>
          </w:tblCellMar>
        </w:tblPrEx>
        <w:trPr>
          <w:trHeight w:val="542" w:hRule="atLeast"/>
          <w:jc w:val="center"/>
        </w:trPr>
        <w:tc>
          <w:tcPr>
            <w:tcW w:w="2717" w:type="dxa"/>
            <w:vAlign w:val="center"/>
          </w:tcPr>
          <w:p w14:paraId="7A678BB3">
            <w:pPr>
              <w:jc w:val="distribute"/>
              <w:rPr>
                <w:rFonts w:ascii="宋体" w:hAnsi="宋体"/>
                <w:b/>
                <w:sz w:val="30"/>
                <w:szCs w:val="22"/>
                <w:lang w:val="en-US"/>
              </w:rPr>
            </w:pPr>
            <w:r>
              <w:rPr>
                <w:rFonts w:hint="eastAsia" w:ascii="宋体" w:hAnsi="宋体"/>
                <w:b/>
                <w:sz w:val="30"/>
                <w:szCs w:val="22"/>
              </w:rPr>
              <w:t>Acheteur：</w:t>
            </w:r>
          </w:p>
          <w:p w14:paraId="71673C6C">
            <w:pPr>
              <w:jc w:val="distribute"/>
              <w:rPr>
                <w:rFonts w:ascii="宋体" w:hAnsi="宋体"/>
                <w:b/>
                <w:sz w:val="30"/>
                <w:szCs w:val="22"/>
                <w:lang w:val="en-US"/>
              </w:rPr>
            </w:pPr>
            <w:r>
              <w:rPr>
                <w:rFonts w:hint="eastAsia" w:ascii="宋体" w:hAnsi="宋体"/>
                <w:b/>
                <w:sz w:val="30"/>
                <w:szCs w:val="22"/>
                <w:lang w:val="en-US"/>
              </w:rPr>
              <w:t>项目单位：</w:t>
            </w:r>
          </w:p>
          <w:p w14:paraId="2085F8BE">
            <w:pPr>
              <w:jc w:val="distribute"/>
              <w:rPr>
                <w:b/>
                <w:sz w:val="30"/>
                <w:szCs w:val="22"/>
              </w:rPr>
            </w:pPr>
            <w:r>
              <w:rPr>
                <w:sz w:val="30"/>
                <w:szCs w:val="22"/>
              </w:rPr>
              <w:t>Maître d'ouvrage</w:t>
            </w:r>
            <w:r>
              <w:rPr>
                <w:b/>
                <w:sz w:val="30"/>
                <w:szCs w:val="22"/>
              </w:rPr>
              <w:t>：</w:t>
            </w:r>
          </w:p>
        </w:tc>
        <w:tc>
          <w:tcPr>
            <w:tcW w:w="6463" w:type="dxa"/>
            <w:vAlign w:val="center"/>
          </w:tcPr>
          <w:p w14:paraId="4EA44E17">
            <w:pPr>
              <w:jc w:val="distribute"/>
              <w:rPr>
                <w:b/>
                <w:sz w:val="30"/>
                <w:szCs w:val="22"/>
                <w:lang w:val="en-US"/>
              </w:rPr>
            </w:pPr>
          </w:p>
          <w:p w14:paraId="1054A39F">
            <w:pPr>
              <w:jc w:val="distribute"/>
              <w:rPr>
                <w:b/>
                <w:sz w:val="30"/>
                <w:szCs w:val="22"/>
                <w:lang w:val="en-US"/>
              </w:rPr>
            </w:pPr>
            <w:r>
              <w:rPr>
                <w:rFonts w:hint="eastAsia"/>
                <w:b/>
                <w:sz w:val="30"/>
                <w:szCs w:val="22"/>
                <w:lang w:val="en-US"/>
              </w:rPr>
              <w:t>几内亚高丽亚矿山股份有限公司</w:t>
            </w:r>
          </w:p>
          <w:p w14:paraId="1A15C762">
            <w:pPr>
              <w:jc w:val="distribute"/>
              <w:rPr>
                <w:b/>
                <w:sz w:val="30"/>
                <w:szCs w:val="22"/>
                <w:lang w:val="en-US"/>
              </w:rPr>
            </w:pPr>
            <w:r>
              <w:rPr>
                <w:b/>
                <w:sz w:val="30"/>
                <w:szCs w:val="22"/>
                <w:lang w:val="en-US"/>
              </w:rPr>
              <w:t>Guinea Colia Mining S.A.</w:t>
            </w:r>
          </w:p>
        </w:tc>
      </w:tr>
    </w:tbl>
    <w:p w14:paraId="0C6B6A6F">
      <w:pPr>
        <w:spacing w:line="360" w:lineRule="auto"/>
        <w:rPr>
          <w:bCs/>
          <w:sz w:val="30"/>
          <w:szCs w:val="22"/>
        </w:rPr>
      </w:pPr>
    </w:p>
    <w:p w14:paraId="0FDED388">
      <w:pPr>
        <w:spacing w:line="360" w:lineRule="auto"/>
        <w:jc w:val="center"/>
        <w:rPr>
          <w:bCs/>
          <w:sz w:val="30"/>
          <w:szCs w:val="22"/>
        </w:rPr>
      </w:pPr>
      <w:r>
        <w:rPr>
          <w:rFonts w:hint="eastAsia"/>
          <w:bCs/>
          <w:sz w:val="30"/>
          <w:szCs w:val="22"/>
        </w:rPr>
        <w:t>2026年</w:t>
      </w:r>
      <w:r>
        <w:rPr>
          <w:rFonts w:hint="eastAsia"/>
          <w:bCs/>
          <w:sz w:val="30"/>
          <w:szCs w:val="22"/>
          <w:lang w:val="en-US"/>
        </w:rPr>
        <w:t>2</w:t>
      </w:r>
      <w:r>
        <w:rPr>
          <w:rFonts w:hint="eastAsia"/>
          <w:bCs/>
          <w:sz w:val="30"/>
          <w:szCs w:val="22"/>
        </w:rPr>
        <w:t>月</w:t>
      </w:r>
    </w:p>
    <w:p w14:paraId="7265CC83">
      <w:pPr>
        <w:spacing w:line="360" w:lineRule="auto"/>
        <w:jc w:val="center"/>
        <w:rPr>
          <w:rFonts w:cs="宋体"/>
          <w:bCs/>
          <w:sz w:val="36"/>
          <w:szCs w:val="36"/>
        </w:rPr>
      </w:pPr>
      <w:r>
        <w:rPr>
          <w:rFonts w:hint="eastAsia"/>
          <w:bCs/>
          <w:sz w:val="30"/>
          <w:szCs w:val="22"/>
          <w:lang w:val="en-US"/>
        </w:rPr>
        <w:t>Fé</w:t>
      </w:r>
      <w:r>
        <w:rPr>
          <w:bCs/>
          <w:sz w:val="30"/>
          <w:szCs w:val="22"/>
        </w:rPr>
        <w:t>v</w:t>
      </w:r>
      <w:r>
        <w:rPr>
          <w:rFonts w:hint="eastAsia"/>
          <w:bCs/>
          <w:sz w:val="30"/>
          <w:szCs w:val="22"/>
          <w:lang w:val="en-US"/>
        </w:rPr>
        <w:t>r</w:t>
      </w:r>
      <w:r>
        <w:rPr>
          <w:bCs/>
          <w:sz w:val="30"/>
          <w:szCs w:val="22"/>
        </w:rPr>
        <w:t>ier 2026</w:t>
      </w:r>
    </w:p>
    <w:p w14:paraId="4663C210">
      <w:pPr>
        <w:pStyle w:val="159"/>
        <w:spacing w:line="360" w:lineRule="auto"/>
        <w:ind w:firstLine="420" w:firstLineChars="200"/>
        <w:rPr>
          <w:kern w:val="2"/>
          <w:sz w:val="21"/>
          <w:szCs w:val="22"/>
          <w:lang w:val="en-US" w:eastAsia="zh-CN"/>
        </w:rPr>
      </w:pPr>
      <w:bookmarkStart w:id="0" w:name="_Toc144974495"/>
      <w:bookmarkStart w:id="1" w:name="_Toc300834947"/>
      <w:bookmarkStart w:id="2" w:name="_Toc152042303"/>
      <w:bookmarkStart w:id="3" w:name="_Toc247513950"/>
      <w:bookmarkStart w:id="4" w:name="_Toc152045527"/>
      <w:bookmarkStart w:id="5" w:name="_Toc30112"/>
      <w:bookmarkStart w:id="6" w:name="_Toc23296"/>
      <w:bookmarkStart w:id="7" w:name="_Toc4273"/>
      <w:bookmarkStart w:id="8" w:name="_Toc247527551"/>
      <w:bookmarkStart w:id="9" w:name="_Toc30176"/>
    </w:p>
    <w:p w14:paraId="7C18BF0B">
      <w:pPr>
        <w:pStyle w:val="159"/>
        <w:spacing w:line="360" w:lineRule="auto"/>
        <w:ind w:firstLine="420" w:firstLineChars="200"/>
        <w:rPr>
          <w:kern w:val="2"/>
          <w:sz w:val="21"/>
          <w:szCs w:val="22"/>
          <w:lang w:val="en-US" w:eastAsia="zh-CN"/>
        </w:rPr>
      </w:pPr>
    </w:p>
    <w:p w14:paraId="5C660407">
      <w:pPr>
        <w:spacing w:line="360" w:lineRule="auto"/>
        <w:jc w:val="center"/>
        <w:rPr>
          <w:rFonts w:ascii="仿宋_GB2312" w:hAnsi="宋体" w:eastAsia="仿宋_GB2312" w:cs="宋体"/>
          <w:b/>
          <w:sz w:val="36"/>
          <w:szCs w:val="36"/>
          <w:lang w:val="en-US"/>
        </w:rPr>
      </w:pPr>
      <w:r>
        <w:rPr>
          <w:b/>
          <w:sz w:val="28"/>
          <w:szCs w:val="28"/>
        </w:rPr>
        <w:t>目 录</w:t>
      </w:r>
    </w:p>
    <w:p w14:paraId="50B56446">
      <w:pPr>
        <w:pStyle w:val="23"/>
        <w:tabs>
          <w:tab w:val="right" w:leader="dot" w:pos="9354"/>
        </w:tabs>
        <w:rPr>
          <w:lang w:val="en-US"/>
        </w:rPr>
      </w:pPr>
      <w:r>
        <w:rPr>
          <w:rFonts w:hint="eastAsia" w:ascii="仿宋_GB2312" w:hAnsi="宋体" w:eastAsia="仿宋_GB2312" w:cs="宋体"/>
          <w:szCs w:val="36"/>
          <w:lang w:val="en-US"/>
        </w:rPr>
        <w:fldChar w:fldCharType="begin"/>
      </w:r>
      <w:r>
        <w:rPr>
          <w:rFonts w:hint="eastAsia" w:ascii="仿宋_GB2312" w:hAnsi="宋体" w:eastAsia="仿宋_GB2312" w:cs="宋体"/>
          <w:szCs w:val="36"/>
          <w:lang w:val="en-US"/>
        </w:rPr>
        <w:instrText xml:space="preserve">TOC \o "1-3" \h \u </w:instrText>
      </w:r>
      <w:r>
        <w:rPr>
          <w:rFonts w:hint="eastAsia" w:ascii="仿宋_GB2312" w:hAnsi="宋体" w:eastAsia="仿宋_GB2312" w:cs="宋体"/>
          <w:szCs w:val="36"/>
          <w:lang w:val="en-US"/>
        </w:rPr>
        <w:fldChar w:fldCharType="separate"/>
      </w:r>
      <w:r>
        <w:fldChar w:fldCharType="begin"/>
      </w:r>
      <w:r>
        <w:instrText xml:space="preserve"> HYPERLINK \l "_Toc8613" </w:instrText>
      </w:r>
      <w:r>
        <w:fldChar w:fldCharType="separate"/>
      </w:r>
      <w:r>
        <w:rPr>
          <w:lang w:val="en-US"/>
        </w:rPr>
        <w:t>第</w:t>
      </w:r>
      <w:r>
        <w:rPr>
          <w:rFonts w:hint="eastAsia" w:ascii="宋体" w:hAnsi="宋体"/>
          <w:kern w:val="44"/>
          <w:szCs w:val="28"/>
          <w:lang w:val="en-US"/>
        </w:rPr>
        <w:t xml:space="preserve">一章 </w:t>
      </w:r>
      <w:r>
        <w:rPr>
          <w:rFonts w:hint="eastAsia" w:ascii="宋体" w:hAnsi="宋体"/>
          <w:szCs w:val="28"/>
          <w:lang w:val="en-US"/>
        </w:rPr>
        <w:t>响应人</w:t>
      </w:r>
      <w:r>
        <w:rPr>
          <w:rFonts w:ascii="宋体" w:hAnsi="宋体"/>
          <w:szCs w:val="28"/>
          <w:lang w:val="en-US"/>
        </w:rPr>
        <w:t>须知</w:t>
      </w:r>
      <w:r>
        <w:rPr>
          <w:lang w:val="en-US"/>
        </w:rPr>
        <w:tab/>
      </w:r>
      <w:r>
        <w:rPr>
          <w:lang w:val="en-US"/>
        </w:rPr>
        <w:fldChar w:fldCharType="begin"/>
      </w:r>
      <w:r>
        <w:rPr>
          <w:lang w:val="en-US"/>
        </w:rPr>
        <w:instrText xml:space="preserve"> PAGEREF _Toc8613 </w:instrText>
      </w:r>
      <w:r>
        <w:rPr>
          <w:lang w:val="en-US"/>
        </w:rPr>
        <w:fldChar w:fldCharType="separate"/>
      </w:r>
      <w:r>
        <w:rPr>
          <w:lang w:val="en-US"/>
        </w:rPr>
        <w:t>2</w:t>
      </w:r>
      <w:r>
        <w:rPr>
          <w:lang w:val="en-US"/>
        </w:rPr>
        <w:fldChar w:fldCharType="end"/>
      </w:r>
      <w:r>
        <w:rPr>
          <w:lang w:val="en-US"/>
        </w:rPr>
        <w:fldChar w:fldCharType="end"/>
      </w:r>
    </w:p>
    <w:p w14:paraId="59D4A233">
      <w:pPr>
        <w:pStyle w:val="27"/>
        <w:tabs>
          <w:tab w:val="right" w:leader="dot" w:pos="9354"/>
        </w:tabs>
        <w:rPr>
          <w:lang w:val="en-US"/>
        </w:rPr>
      </w:pPr>
      <w:r>
        <w:fldChar w:fldCharType="begin"/>
      </w:r>
      <w:r>
        <w:instrText xml:space="preserve"> HYPERLINK \l "_Toc24597" </w:instrText>
      </w:r>
      <w:r>
        <w:fldChar w:fldCharType="separate"/>
      </w:r>
      <w:r>
        <w:rPr>
          <w:rFonts w:hint="eastAsia" w:ascii="宋体" w:hAnsi="宋体"/>
          <w:bCs/>
          <w:szCs w:val="21"/>
          <w:lang w:val="en-US"/>
        </w:rPr>
        <w:t>响应人须知前附表</w:t>
      </w:r>
      <w:r>
        <w:rPr>
          <w:lang w:val="en-US"/>
        </w:rPr>
        <w:tab/>
      </w:r>
      <w:r>
        <w:rPr>
          <w:lang w:val="en-US"/>
        </w:rPr>
        <w:fldChar w:fldCharType="begin"/>
      </w:r>
      <w:r>
        <w:rPr>
          <w:lang w:val="en-US"/>
        </w:rPr>
        <w:instrText xml:space="preserve"> PAGEREF _Toc24597 </w:instrText>
      </w:r>
      <w:r>
        <w:rPr>
          <w:lang w:val="en-US"/>
        </w:rPr>
        <w:fldChar w:fldCharType="separate"/>
      </w:r>
      <w:r>
        <w:rPr>
          <w:lang w:val="en-US"/>
        </w:rPr>
        <w:t>2</w:t>
      </w:r>
      <w:r>
        <w:rPr>
          <w:lang w:val="en-US"/>
        </w:rPr>
        <w:fldChar w:fldCharType="end"/>
      </w:r>
      <w:r>
        <w:rPr>
          <w:lang w:val="en-US"/>
        </w:rPr>
        <w:fldChar w:fldCharType="end"/>
      </w:r>
    </w:p>
    <w:p w14:paraId="4D5F7763">
      <w:pPr>
        <w:pStyle w:val="27"/>
        <w:tabs>
          <w:tab w:val="right" w:leader="dot" w:pos="9354"/>
        </w:tabs>
        <w:rPr>
          <w:lang w:val="en-US"/>
        </w:rPr>
      </w:pPr>
      <w:r>
        <w:fldChar w:fldCharType="begin"/>
      </w:r>
      <w:r>
        <w:instrText xml:space="preserve"> HYPERLINK \l "_Toc30912" </w:instrText>
      </w:r>
      <w:r>
        <w:fldChar w:fldCharType="separate"/>
      </w:r>
      <w:r>
        <w:rPr>
          <w:rFonts w:hint="eastAsia" w:ascii="宋体" w:hAnsi="宋体" w:cs="宋体"/>
          <w:kern w:val="0"/>
          <w:szCs w:val="21"/>
          <w:lang w:val="en-US"/>
        </w:rPr>
        <w:t>1.总则</w:t>
      </w:r>
      <w:r>
        <w:rPr>
          <w:lang w:val="en-US"/>
        </w:rPr>
        <w:tab/>
      </w:r>
      <w:r>
        <w:rPr>
          <w:lang w:val="en-US"/>
        </w:rPr>
        <w:fldChar w:fldCharType="begin"/>
      </w:r>
      <w:r>
        <w:rPr>
          <w:lang w:val="en-US"/>
        </w:rPr>
        <w:instrText xml:space="preserve"> PAGEREF _Toc30912 </w:instrText>
      </w:r>
      <w:r>
        <w:rPr>
          <w:lang w:val="en-US"/>
        </w:rPr>
        <w:fldChar w:fldCharType="separate"/>
      </w:r>
      <w:r>
        <w:rPr>
          <w:lang w:val="en-US"/>
        </w:rPr>
        <w:t>5</w:t>
      </w:r>
      <w:r>
        <w:rPr>
          <w:lang w:val="en-US"/>
        </w:rPr>
        <w:fldChar w:fldCharType="end"/>
      </w:r>
      <w:r>
        <w:rPr>
          <w:lang w:val="en-US"/>
        </w:rPr>
        <w:fldChar w:fldCharType="end"/>
      </w:r>
    </w:p>
    <w:p w14:paraId="6273EA47">
      <w:pPr>
        <w:pStyle w:val="27"/>
        <w:tabs>
          <w:tab w:val="right" w:leader="dot" w:pos="9354"/>
        </w:tabs>
        <w:rPr>
          <w:lang w:val="en-US"/>
        </w:rPr>
      </w:pPr>
      <w:r>
        <w:fldChar w:fldCharType="begin"/>
      </w:r>
      <w:r>
        <w:instrText xml:space="preserve"> HYPERLINK \l "_Toc30972" </w:instrText>
      </w:r>
      <w:r>
        <w:fldChar w:fldCharType="separate"/>
      </w:r>
      <w:r>
        <w:rPr>
          <w:rFonts w:hint="eastAsia" w:ascii="宋体" w:hAnsi="宋体" w:cs="宋体"/>
          <w:kern w:val="0"/>
          <w:szCs w:val="21"/>
          <w:lang w:val="en-US"/>
        </w:rPr>
        <w:t>2.询价文件组成</w:t>
      </w:r>
      <w:r>
        <w:rPr>
          <w:lang w:val="en-US"/>
        </w:rPr>
        <w:tab/>
      </w:r>
      <w:r>
        <w:rPr>
          <w:lang w:val="en-US"/>
        </w:rPr>
        <w:fldChar w:fldCharType="begin"/>
      </w:r>
      <w:r>
        <w:rPr>
          <w:lang w:val="en-US"/>
        </w:rPr>
        <w:instrText xml:space="preserve"> PAGEREF _Toc30972 </w:instrText>
      </w:r>
      <w:r>
        <w:rPr>
          <w:lang w:val="en-US"/>
        </w:rPr>
        <w:fldChar w:fldCharType="separate"/>
      </w:r>
      <w:r>
        <w:rPr>
          <w:lang w:val="en-US"/>
        </w:rPr>
        <w:t>5</w:t>
      </w:r>
      <w:r>
        <w:rPr>
          <w:lang w:val="en-US"/>
        </w:rPr>
        <w:fldChar w:fldCharType="end"/>
      </w:r>
      <w:r>
        <w:rPr>
          <w:lang w:val="en-US"/>
        </w:rPr>
        <w:fldChar w:fldCharType="end"/>
      </w:r>
    </w:p>
    <w:p w14:paraId="13EF936B">
      <w:pPr>
        <w:pStyle w:val="27"/>
        <w:tabs>
          <w:tab w:val="right" w:leader="dot" w:pos="9354"/>
        </w:tabs>
        <w:rPr>
          <w:lang w:val="en-US"/>
        </w:rPr>
      </w:pPr>
      <w:r>
        <w:fldChar w:fldCharType="begin"/>
      </w:r>
      <w:r>
        <w:instrText xml:space="preserve"> HYPERLINK \l "_Toc1794" </w:instrText>
      </w:r>
      <w:r>
        <w:fldChar w:fldCharType="separate"/>
      </w:r>
      <w:r>
        <w:rPr>
          <w:rFonts w:hint="eastAsia" w:ascii="宋体" w:hAnsi="宋体" w:cs="宋体"/>
          <w:kern w:val="0"/>
          <w:szCs w:val="21"/>
          <w:lang w:val="en-US"/>
        </w:rPr>
        <w:t>3.评审说明</w:t>
      </w:r>
      <w:r>
        <w:rPr>
          <w:lang w:val="en-US"/>
        </w:rPr>
        <w:tab/>
      </w:r>
      <w:r>
        <w:rPr>
          <w:lang w:val="en-US"/>
        </w:rPr>
        <w:fldChar w:fldCharType="begin"/>
      </w:r>
      <w:r>
        <w:rPr>
          <w:lang w:val="en-US"/>
        </w:rPr>
        <w:instrText xml:space="preserve"> PAGEREF _Toc1794 </w:instrText>
      </w:r>
      <w:r>
        <w:rPr>
          <w:lang w:val="en-US"/>
        </w:rPr>
        <w:fldChar w:fldCharType="separate"/>
      </w:r>
      <w:r>
        <w:rPr>
          <w:lang w:val="en-US"/>
        </w:rPr>
        <w:t>5</w:t>
      </w:r>
      <w:r>
        <w:rPr>
          <w:lang w:val="en-US"/>
        </w:rPr>
        <w:fldChar w:fldCharType="end"/>
      </w:r>
      <w:r>
        <w:rPr>
          <w:lang w:val="en-US"/>
        </w:rPr>
        <w:fldChar w:fldCharType="end"/>
      </w:r>
    </w:p>
    <w:p w14:paraId="68F71961">
      <w:pPr>
        <w:pStyle w:val="27"/>
        <w:tabs>
          <w:tab w:val="right" w:leader="dot" w:pos="9354"/>
        </w:tabs>
        <w:rPr>
          <w:lang w:val="en-US"/>
        </w:rPr>
      </w:pPr>
      <w:r>
        <w:fldChar w:fldCharType="begin"/>
      </w:r>
      <w:r>
        <w:instrText xml:space="preserve"> HYPERLINK \l "_Toc10354" </w:instrText>
      </w:r>
      <w:r>
        <w:fldChar w:fldCharType="separate"/>
      </w:r>
      <w:r>
        <w:rPr>
          <w:rFonts w:hint="eastAsia" w:ascii="宋体" w:hAnsi="宋体" w:cs="宋体"/>
          <w:kern w:val="0"/>
          <w:szCs w:val="21"/>
          <w:lang w:val="en-US"/>
        </w:rPr>
        <w:t>4.合同签订</w:t>
      </w:r>
      <w:r>
        <w:rPr>
          <w:lang w:val="en-US"/>
        </w:rPr>
        <w:tab/>
      </w:r>
      <w:r>
        <w:rPr>
          <w:lang w:val="en-US"/>
        </w:rPr>
        <w:fldChar w:fldCharType="begin"/>
      </w:r>
      <w:r>
        <w:rPr>
          <w:lang w:val="en-US"/>
        </w:rPr>
        <w:instrText xml:space="preserve"> PAGEREF _Toc10354 </w:instrText>
      </w:r>
      <w:r>
        <w:rPr>
          <w:lang w:val="en-US"/>
        </w:rPr>
        <w:fldChar w:fldCharType="separate"/>
      </w:r>
      <w:r>
        <w:rPr>
          <w:lang w:val="en-US"/>
        </w:rPr>
        <w:t>8</w:t>
      </w:r>
      <w:r>
        <w:rPr>
          <w:lang w:val="en-US"/>
        </w:rPr>
        <w:fldChar w:fldCharType="end"/>
      </w:r>
      <w:r>
        <w:rPr>
          <w:lang w:val="en-US"/>
        </w:rPr>
        <w:fldChar w:fldCharType="end"/>
      </w:r>
    </w:p>
    <w:p w14:paraId="6A959034">
      <w:pPr>
        <w:pStyle w:val="23"/>
        <w:tabs>
          <w:tab w:val="right" w:leader="dot" w:pos="9354"/>
        </w:tabs>
        <w:rPr>
          <w:lang w:val="en-US"/>
        </w:rPr>
      </w:pPr>
      <w:r>
        <w:fldChar w:fldCharType="begin"/>
      </w:r>
      <w:r>
        <w:instrText xml:space="preserve"> HYPERLINK \l "_Toc22061" </w:instrText>
      </w:r>
      <w:r>
        <w:fldChar w:fldCharType="separate"/>
      </w:r>
      <w:r>
        <w:rPr>
          <w:lang w:val="en-US"/>
        </w:rPr>
        <w:t>第</w:t>
      </w:r>
      <w:r>
        <w:rPr>
          <w:rFonts w:hint="eastAsia" w:ascii="宋体" w:hAnsi="宋体"/>
          <w:kern w:val="44"/>
          <w:szCs w:val="28"/>
          <w:lang w:val="en-US"/>
        </w:rPr>
        <w:t xml:space="preserve">二章 </w:t>
      </w:r>
      <w:r>
        <w:rPr>
          <w:rFonts w:hint="eastAsia" w:ascii="宋体" w:hAnsi="宋体"/>
          <w:szCs w:val="28"/>
          <w:lang w:val="en-US"/>
        </w:rPr>
        <w:t>发包人要求</w:t>
      </w:r>
      <w:r>
        <w:rPr>
          <w:lang w:val="en-US"/>
        </w:rPr>
        <w:tab/>
      </w:r>
      <w:r>
        <w:rPr>
          <w:lang w:val="en-US"/>
        </w:rPr>
        <w:fldChar w:fldCharType="begin"/>
      </w:r>
      <w:r>
        <w:rPr>
          <w:lang w:val="en-US"/>
        </w:rPr>
        <w:instrText xml:space="preserve"> PAGEREF _Toc22061 </w:instrText>
      </w:r>
      <w:r>
        <w:rPr>
          <w:lang w:val="en-US"/>
        </w:rPr>
        <w:fldChar w:fldCharType="separate"/>
      </w:r>
      <w:r>
        <w:rPr>
          <w:lang w:val="en-US"/>
        </w:rPr>
        <w:t>9</w:t>
      </w:r>
      <w:r>
        <w:rPr>
          <w:lang w:val="en-US"/>
        </w:rPr>
        <w:fldChar w:fldCharType="end"/>
      </w:r>
      <w:r>
        <w:rPr>
          <w:lang w:val="en-US"/>
        </w:rPr>
        <w:fldChar w:fldCharType="end"/>
      </w:r>
    </w:p>
    <w:p w14:paraId="06C9FF4C">
      <w:pPr>
        <w:pStyle w:val="23"/>
        <w:tabs>
          <w:tab w:val="right" w:leader="dot" w:pos="9354"/>
        </w:tabs>
        <w:rPr>
          <w:lang w:val="en-US"/>
        </w:rPr>
      </w:pPr>
      <w:r>
        <w:fldChar w:fldCharType="begin"/>
      </w:r>
      <w:r>
        <w:instrText xml:space="preserve"> HYPERLINK \l "_Toc11762" </w:instrText>
      </w:r>
      <w:r>
        <w:fldChar w:fldCharType="separate"/>
      </w:r>
      <w:r>
        <w:rPr>
          <w:rFonts w:ascii="宋体" w:hAnsi="宋体"/>
          <w:szCs w:val="28"/>
          <w:lang w:val="en-US"/>
        </w:rPr>
        <w:t>第</w:t>
      </w:r>
      <w:r>
        <w:rPr>
          <w:rFonts w:hint="eastAsia" w:ascii="宋体" w:hAnsi="宋体"/>
          <w:szCs w:val="28"/>
          <w:lang w:val="en-US"/>
        </w:rPr>
        <w:t>三</w:t>
      </w:r>
      <w:r>
        <w:rPr>
          <w:rFonts w:ascii="宋体" w:hAnsi="宋体"/>
          <w:szCs w:val="28"/>
          <w:lang w:val="en-US"/>
        </w:rPr>
        <w:t xml:space="preserve">章 </w:t>
      </w:r>
      <w:r>
        <w:rPr>
          <w:rFonts w:hint="eastAsia" w:ascii="宋体" w:hAnsi="宋体"/>
          <w:szCs w:val="28"/>
          <w:lang w:val="en-US"/>
        </w:rPr>
        <w:t>合同</w:t>
      </w:r>
      <w:r>
        <w:rPr>
          <w:lang w:val="en-US"/>
        </w:rPr>
        <w:tab/>
      </w:r>
      <w:r>
        <w:rPr>
          <w:lang w:val="en-US"/>
        </w:rPr>
        <w:fldChar w:fldCharType="begin"/>
      </w:r>
      <w:r>
        <w:rPr>
          <w:lang w:val="en-US"/>
        </w:rPr>
        <w:instrText xml:space="preserve"> PAGEREF _Toc11762 </w:instrText>
      </w:r>
      <w:r>
        <w:rPr>
          <w:lang w:val="en-US"/>
        </w:rPr>
        <w:fldChar w:fldCharType="separate"/>
      </w:r>
      <w:r>
        <w:rPr>
          <w:lang w:val="en-US"/>
        </w:rPr>
        <w:t>10</w:t>
      </w:r>
      <w:r>
        <w:rPr>
          <w:lang w:val="en-US"/>
        </w:rPr>
        <w:fldChar w:fldCharType="end"/>
      </w:r>
      <w:r>
        <w:rPr>
          <w:lang w:val="en-US"/>
        </w:rPr>
        <w:fldChar w:fldCharType="end"/>
      </w:r>
    </w:p>
    <w:p w14:paraId="0E53C960">
      <w:pPr>
        <w:pStyle w:val="23"/>
        <w:tabs>
          <w:tab w:val="right" w:leader="dot" w:pos="9354"/>
        </w:tabs>
        <w:rPr>
          <w:lang w:val="en-US"/>
        </w:rPr>
      </w:pPr>
      <w:r>
        <w:fldChar w:fldCharType="begin"/>
      </w:r>
      <w:r>
        <w:instrText xml:space="preserve"> HYPERLINK \l "_Toc1370" </w:instrText>
      </w:r>
      <w:r>
        <w:fldChar w:fldCharType="separate"/>
      </w:r>
      <w:r>
        <w:rPr>
          <w:rFonts w:ascii="宋体" w:hAnsi="宋体"/>
          <w:szCs w:val="28"/>
          <w:lang w:val="en-US"/>
        </w:rPr>
        <w:t>第</w:t>
      </w:r>
      <w:r>
        <w:rPr>
          <w:rFonts w:hint="eastAsia" w:ascii="宋体" w:hAnsi="宋体"/>
          <w:szCs w:val="28"/>
          <w:lang w:val="en-US"/>
        </w:rPr>
        <w:t>四</w:t>
      </w:r>
      <w:r>
        <w:rPr>
          <w:rFonts w:ascii="宋体" w:hAnsi="宋体"/>
          <w:szCs w:val="28"/>
          <w:lang w:val="en-US"/>
        </w:rPr>
        <w:t xml:space="preserve">章 </w:t>
      </w:r>
      <w:r>
        <w:rPr>
          <w:rFonts w:hint="eastAsia" w:ascii="宋体" w:hAnsi="宋体"/>
          <w:szCs w:val="28"/>
          <w:lang w:val="en-US"/>
        </w:rPr>
        <w:t>响应文件格式</w:t>
      </w:r>
      <w:r>
        <w:rPr>
          <w:lang w:val="en-US"/>
        </w:rPr>
        <w:tab/>
      </w:r>
      <w:r>
        <w:rPr>
          <w:lang w:val="en-US"/>
        </w:rPr>
        <w:fldChar w:fldCharType="begin"/>
      </w:r>
      <w:r>
        <w:rPr>
          <w:lang w:val="en-US"/>
        </w:rPr>
        <w:instrText xml:space="preserve"> PAGEREF _Toc1370 </w:instrText>
      </w:r>
      <w:r>
        <w:rPr>
          <w:lang w:val="en-US"/>
        </w:rPr>
        <w:fldChar w:fldCharType="separate"/>
      </w:r>
      <w:r>
        <w:rPr>
          <w:lang w:val="en-US"/>
        </w:rPr>
        <w:t>11</w:t>
      </w:r>
      <w:r>
        <w:rPr>
          <w:lang w:val="en-US"/>
        </w:rPr>
        <w:fldChar w:fldCharType="end"/>
      </w:r>
      <w:r>
        <w:rPr>
          <w:lang w:val="en-US"/>
        </w:rPr>
        <w:fldChar w:fldCharType="end"/>
      </w:r>
    </w:p>
    <w:p w14:paraId="3F611548">
      <w:pPr>
        <w:pStyle w:val="27"/>
        <w:tabs>
          <w:tab w:val="right" w:leader="dot" w:pos="9354"/>
        </w:tabs>
        <w:rPr>
          <w:lang w:val="en-US"/>
        </w:rPr>
      </w:pPr>
      <w:r>
        <w:fldChar w:fldCharType="begin"/>
      </w:r>
      <w:r>
        <w:instrText xml:space="preserve"> HYPERLINK \l "_Toc1770" </w:instrText>
      </w:r>
      <w:r>
        <w:fldChar w:fldCharType="separate"/>
      </w:r>
      <w:r>
        <w:rPr>
          <w:szCs w:val="28"/>
          <w:lang w:val="en-US"/>
        </w:rPr>
        <w:t>目</w:t>
      </w:r>
      <w:r>
        <w:rPr>
          <w:rFonts w:hint="eastAsia"/>
          <w:szCs w:val="28"/>
          <w:lang w:val="en-US"/>
        </w:rPr>
        <w:t xml:space="preserve"> </w:t>
      </w:r>
      <w:r>
        <w:rPr>
          <w:szCs w:val="28"/>
          <w:lang w:val="en-US"/>
        </w:rPr>
        <w:t xml:space="preserve"> 录</w:t>
      </w:r>
      <w:r>
        <w:rPr>
          <w:lang w:val="en-US"/>
        </w:rPr>
        <w:tab/>
      </w:r>
      <w:r>
        <w:rPr>
          <w:lang w:val="en-US"/>
        </w:rPr>
        <w:fldChar w:fldCharType="begin"/>
      </w:r>
      <w:r>
        <w:rPr>
          <w:lang w:val="en-US"/>
        </w:rPr>
        <w:instrText xml:space="preserve"> PAGEREF _Toc1770 </w:instrText>
      </w:r>
      <w:r>
        <w:rPr>
          <w:lang w:val="en-US"/>
        </w:rPr>
        <w:fldChar w:fldCharType="separate"/>
      </w:r>
      <w:r>
        <w:rPr>
          <w:lang w:val="en-US"/>
        </w:rPr>
        <w:t>13</w:t>
      </w:r>
      <w:r>
        <w:rPr>
          <w:lang w:val="en-US"/>
        </w:rPr>
        <w:fldChar w:fldCharType="end"/>
      </w:r>
      <w:r>
        <w:rPr>
          <w:lang w:val="en-US"/>
        </w:rPr>
        <w:fldChar w:fldCharType="end"/>
      </w:r>
    </w:p>
    <w:p w14:paraId="0A7A47D9">
      <w:pPr>
        <w:pStyle w:val="27"/>
        <w:tabs>
          <w:tab w:val="right" w:leader="dot" w:pos="9354"/>
        </w:tabs>
        <w:rPr>
          <w:lang w:val="en-US"/>
        </w:rPr>
      </w:pPr>
      <w:r>
        <w:fldChar w:fldCharType="begin"/>
      </w:r>
      <w:r>
        <w:instrText xml:space="preserve"> HYPERLINK \l "_Toc16148" </w:instrText>
      </w:r>
      <w:r>
        <w:fldChar w:fldCharType="separate"/>
      </w:r>
      <w:r>
        <w:rPr>
          <w:rFonts w:hint="eastAsia" w:ascii="宋体" w:hAnsi="宋体" w:cs="宋体"/>
          <w:szCs w:val="21"/>
          <w:lang w:val="en-US"/>
        </w:rPr>
        <w:t>一、法定代表人（单位负责人）身份证明</w:t>
      </w:r>
      <w:r>
        <w:rPr>
          <w:lang w:val="en-US"/>
        </w:rPr>
        <w:tab/>
      </w:r>
      <w:r>
        <w:rPr>
          <w:lang w:val="en-US"/>
        </w:rPr>
        <w:fldChar w:fldCharType="begin"/>
      </w:r>
      <w:r>
        <w:rPr>
          <w:lang w:val="en-US"/>
        </w:rPr>
        <w:instrText xml:space="preserve"> PAGEREF _Toc16148 </w:instrText>
      </w:r>
      <w:r>
        <w:rPr>
          <w:lang w:val="en-US"/>
        </w:rPr>
        <w:fldChar w:fldCharType="separate"/>
      </w:r>
      <w:r>
        <w:rPr>
          <w:lang w:val="en-US"/>
        </w:rPr>
        <w:t>14</w:t>
      </w:r>
      <w:r>
        <w:rPr>
          <w:lang w:val="en-US"/>
        </w:rPr>
        <w:fldChar w:fldCharType="end"/>
      </w:r>
      <w:r>
        <w:rPr>
          <w:lang w:val="en-US"/>
        </w:rPr>
        <w:fldChar w:fldCharType="end"/>
      </w:r>
    </w:p>
    <w:p w14:paraId="1022F766">
      <w:pPr>
        <w:pStyle w:val="27"/>
        <w:tabs>
          <w:tab w:val="right" w:leader="dot" w:pos="9354"/>
        </w:tabs>
        <w:rPr>
          <w:lang w:val="en-US"/>
        </w:rPr>
      </w:pPr>
      <w:r>
        <w:fldChar w:fldCharType="begin"/>
      </w:r>
      <w:r>
        <w:instrText xml:space="preserve"> HYPERLINK \l "_Toc9078" </w:instrText>
      </w:r>
      <w:r>
        <w:fldChar w:fldCharType="separate"/>
      </w:r>
      <w:r>
        <w:rPr>
          <w:rFonts w:hint="eastAsia" w:ascii="宋体" w:hAnsi="宋体" w:cs="宋体"/>
          <w:szCs w:val="21"/>
          <w:lang w:val="en-US"/>
        </w:rPr>
        <w:t>二、授权委托书</w:t>
      </w:r>
      <w:r>
        <w:rPr>
          <w:lang w:val="en-US"/>
        </w:rPr>
        <w:tab/>
      </w:r>
      <w:r>
        <w:rPr>
          <w:lang w:val="en-US"/>
        </w:rPr>
        <w:fldChar w:fldCharType="begin"/>
      </w:r>
      <w:r>
        <w:rPr>
          <w:lang w:val="en-US"/>
        </w:rPr>
        <w:instrText xml:space="preserve"> PAGEREF _Toc9078 </w:instrText>
      </w:r>
      <w:r>
        <w:rPr>
          <w:lang w:val="en-US"/>
        </w:rPr>
        <w:fldChar w:fldCharType="separate"/>
      </w:r>
      <w:r>
        <w:rPr>
          <w:lang w:val="en-US"/>
        </w:rPr>
        <w:t>15</w:t>
      </w:r>
      <w:r>
        <w:rPr>
          <w:lang w:val="en-US"/>
        </w:rPr>
        <w:fldChar w:fldCharType="end"/>
      </w:r>
      <w:r>
        <w:rPr>
          <w:lang w:val="en-US"/>
        </w:rPr>
        <w:fldChar w:fldCharType="end"/>
      </w:r>
    </w:p>
    <w:p w14:paraId="2879B3F0">
      <w:pPr>
        <w:pStyle w:val="27"/>
        <w:tabs>
          <w:tab w:val="right" w:leader="dot" w:pos="9354"/>
        </w:tabs>
        <w:rPr>
          <w:lang w:val="en-US"/>
        </w:rPr>
      </w:pPr>
      <w:r>
        <w:fldChar w:fldCharType="begin"/>
      </w:r>
      <w:r>
        <w:instrText xml:space="preserve"> HYPERLINK \l "_Toc17755" </w:instrText>
      </w:r>
      <w:r>
        <w:fldChar w:fldCharType="separate"/>
      </w:r>
      <w:r>
        <w:rPr>
          <w:rFonts w:hint="eastAsia" w:ascii="宋体" w:hAnsi="宋体" w:cs="宋体"/>
          <w:szCs w:val="21"/>
          <w:lang w:val="en-US"/>
        </w:rPr>
        <w:t>三、联合体协议书（如有）</w:t>
      </w:r>
      <w:r>
        <w:rPr>
          <w:lang w:val="en-US"/>
        </w:rPr>
        <w:tab/>
      </w:r>
      <w:r>
        <w:rPr>
          <w:lang w:val="en-US"/>
        </w:rPr>
        <w:fldChar w:fldCharType="begin"/>
      </w:r>
      <w:r>
        <w:rPr>
          <w:lang w:val="en-US"/>
        </w:rPr>
        <w:instrText xml:space="preserve"> PAGEREF _Toc17755 </w:instrText>
      </w:r>
      <w:r>
        <w:rPr>
          <w:lang w:val="en-US"/>
        </w:rPr>
        <w:fldChar w:fldCharType="separate"/>
      </w:r>
      <w:r>
        <w:rPr>
          <w:lang w:val="en-US"/>
        </w:rPr>
        <w:t>17</w:t>
      </w:r>
      <w:r>
        <w:rPr>
          <w:lang w:val="en-US"/>
        </w:rPr>
        <w:fldChar w:fldCharType="end"/>
      </w:r>
      <w:r>
        <w:rPr>
          <w:lang w:val="en-US"/>
        </w:rPr>
        <w:fldChar w:fldCharType="end"/>
      </w:r>
    </w:p>
    <w:p w14:paraId="5FF8B449">
      <w:pPr>
        <w:pStyle w:val="27"/>
        <w:tabs>
          <w:tab w:val="right" w:leader="dot" w:pos="9354"/>
        </w:tabs>
        <w:rPr>
          <w:lang w:val="en-US"/>
        </w:rPr>
      </w:pPr>
      <w:r>
        <w:fldChar w:fldCharType="begin"/>
      </w:r>
      <w:r>
        <w:instrText xml:space="preserve"> HYPERLINK \l "_Toc20859" </w:instrText>
      </w:r>
      <w:r>
        <w:fldChar w:fldCharType="separate"/>
      </w:r>
      <w:r>
        <w:rPr>
          <w:rFonts w:hint="eastAsia" w:ascii="宋体" w:hAnsi="宋体" w:cs="宋体"/>
          <w:szCs w:val="21"/>
          <w:lang w:val="en-US"/>
        </w:rPr>
        <w:t>四、商务和技术偏差表</w:t>
      </w:r>
      <w:r>
        <w:rPr>
          <w:lang w:val="en-US"/>
        </w:rPr>
        <w:tab/>
      </w:r>
      <w:r>
        <w:rPr>
          <w:lang w:val="en-US"/>
        </w:rPr>
        <w:fldChar w:fldCharType="begin"/>
      </w:r>
      <w:r>
        <w:rPr>
          <w:lang w:val="en-US"/>
        </w:rPr>
        <w:instrText xml:space="preserve"> PAGEREF _Toc20859 </w:instrText>
      </w:r>
      <w:r>
        <w:rPr>
          <w:lang w:val="en-US"/>
        </w:rPr>
        <w:fldChar w:fldCharType="separate"/>
      </w:r>
      <w:r>
        <w:rPr>
          <w:lang w:val="en-US"/>
        </w:rPr>
        <w:t>18</w:t>
      </w:r>
      <w:r>
        <w:rPr>
          <w:lang w:val="en-US"/>
        </w:rPr>
        <w:fldChar w:fldCharType="end"/>
      </w:r>
      <w:r>
        <w:rPr>
          <w:lang w:val="en-US"/>
        </w:rPr>
        <w:fldChar w:fldCharType="end"/>
      </w:r>
    </w:p>
    <w:p w14:paraId="632933E7">
      <w:pPr>
        <w:pStyle w:val="27"/>
        <w:tabs>
          <w:tab w:val="right" w:leader="dot" w:pos="9354"/>
        </w:tabs>
        <w:rPr>
          <w:lang w:val="en-US"/>
        </w:rPr>
      </w:pPr>
      <w:r>
        <w:fldChar w:fldCharType="begin"/>
      </w:r>
      <w:r>
        <w:instrText xml:space="preserve"> HYPERLINK \l "_Toc31455" </w:instrText>
      </w:r>
      <w:r>
        <w:fldChar w:fldCharType="separate"/>
      </w:r>
      <w:r>
        <w:rPr>
          <w:rFonts w:hint="eastAsia" w:ascii="宋体" w:hAnsi="宋体" w:cs="宋体"/>
          <w:szCs w:val="21"/>
          <w:lang w:val="en-US"/>
        </w:rPr>
        <w:t>五、资格审查资料</w:t>
      </w:r>
      <w:r>
        <w:rPr>
          <w:lang w:val="en-US"/>
        </w:rPr>
        <w:tab/>
      </w:r>
      <w:r>
        <w:rPr>
          <w:lang w:val="en-US"/>
        </w:rPr>
        <w:fldChar w:fldCharType="begin"/>
      </w:r>
      <w:r>
        <w:rPr>
          <w:lang w:val="en-US"/>
        </w:rPr>
        <w:instrText xml:space="preserve"> PAGEREF _Toc31455 </w:instrText>
      </w:r>
      <w:r>
        <w:rPr>
          <w:lang w:val="en-US"/>
        </w:rPr>
        <w:fldChar w:fldCharType="separate"/>
      </w:r>
      <w:r>
        <w:rPr>
          <w:lang w:val="en-US"/>
        </w:rPr>
        <w:t>19</w:t>
      </w:r>
      <w:r>
        <w:rPr>
          <w:lang w:val="en-US"/>
        </w:rPr>
        <w:fldChar w:fldCharType="end"/>
      </w:r>
      <w:r>
        <w:rPr>
          <w:lang w:val="en-US"/>
        </w:rPr>
        <w:fldChar w:fldCharType="end"/>
      </w:r>
    </w:p>
    <w:p w14:paraId="3EB90786">
      <w:pPr>
        <w:pStyle w:val="27"/>
        <w:tabs>
          <w:tab w:val="right" w:leader="dot" w:pos="9354"/>
        </w:tabs>
        <w:rPr>
          <w:lang w:val="en-US"/>
        </w:rPr>
      </w:pPr>
      <w:r>
        <w:fldChar w:fldCharType="begin"/>
      </w:r>
      <w:r>
        <w:instrText xml:space="preserve"> HYPERLINK \l "_Toc27609" </w:instrText>
      </w:r>
      <w:r>
        <w:fldChar w:fldCharType="separate"/>
      </w:r>
      <w:r>
        <w:rPr>
          <w:rFonts w:hint="eastAsia" w:ascii="宋体" w:hAnsi="宋体" w:cs="宋体"/>
          <w:szCs w:val="21"/>
          <w:lang w:val="en-US"/>
        </w:rPr>
        <w:t>六、近年完成的类似项目情况表</w:t>
      </w:r>
      <w:r>
        <w:rPr>
          <w:lang w:val="en-US"/>
        </w:rPr>
        <w:tab/>
      </w:r>
      <w:r>
        <w:rPr>
          <w:lang w:val="en-US"/>
        </w:rPr>
        <w:fldChar w:fldCharType="begin"/>
      </w:r>
      <w:r>
        <w:rPr>
          <w:lang w:val="en-US"/>
        </w:rPr>
        <w:instrText xml:space="preserve"> PAGEREF _Toc27609 </w:instrText>
      </w:r>
      <w:r>
        <w:rPr>
          <w:lang w:val="en-US"/>
        </w:rPr>
        <w:fldChar w:fldCharType="separate"/>
      </w:r>
      <w:r>
        <w:rPr>
          <w:lang w:val="en-US"/>
        </w:rPr>
        <w:t>21</w:t>
      </w:r>
      <w:r>
        <w:rPr>
          <w:lang w:val="en-US"/>
        </w:rPr>
        <w:fldChar w:fldCharType="end"/>
      </w:r>
      <w:r>
        <w:rPr>
          <w:lang w:val="en-US"/>
        </w:rPr>
        <w:fldChar w:fldCharType="end"/>
      </w:r>
    </w:p>
    <w:p w14:paraId="5B627B04">
      <w:pPr>
        <w:pStyle w:val="27"/>
        <w:tabs>
          <w:tab w:val="right" w:leader="dot" w:pos="9354"/>
        </w:tabs>
        <w:rPr>
          <w:lang w:val="en-US"/>
        </w:rPr>
      </w:pPr>
      <w:r>
        <w:fldChar w:fldCharType="begin"/>
      </w:r>
      <w:r>
        <w:instrText xml:space="preserve"> HYPERLINK \l "_Toc3621" </w:instrText>
      </w:r>
      <w:r>
        <w:fldChar w:fldCharType="separate"/>
      </w:r>
      <w:r>
        <w:rPr>
          <w:rFonts w:hint="eastAsia" w:ascii="宋体" w:hAnsi="宋体" w:cs="宋体"/>
          <w:szCs w:val="21"/>
          <w:lang w:val="en-US"/>
        </w:rPr>
        <w:t>七、施工组织设计</w:t>
      </w:r>
      <w:r>
        <w:rPr>
          <w:lang w:val="en-US"/>
        </w:rPr>
        <w:tab/>
      </w:r>
      <w:r>
        <w:rPr>
          <w:lang w:val="en-US"/>
        </w:rPr>
        <w:fldChar w:fldCharType="begin"/>
      </w:r>
      <w:r>
        <w:rPr>
          <w:lang w:val="en-US"/>
        </w:rPr>
        <w:instrText xml:space="preserve"> PAGEREF _Toc3621 </w:instrText>
      </w:r>
      <w:r>
        <w:rPr>
          <w:lang w:val="en-US"/>
        </w:rPr>
        <w:fldChar w:fldCharType="separate"/>
      </w:r>
      <w:r>
        <w:rPr>
          <w:lang w:val="en-US"/>
        </w:rPr>
        <w:t>23</w:t>
      </w:r>
      <w:r>
        <w:rPr>
          <w:lang w:val="en-US"/>
        </w:rPr>
        <w:fldChar w:fldCharType="end"/>
      </w:r>
      <w:r>
        <w:rPr>
          <w:lang w:val="en-US"/>
        </w:rPr>
        <w:fldChar w:fldCharType="end"/>
      </w:r>
    </w:p>
    <w:p w14:paraId="6C163266">
      <w:pPr>
        <w:pStyle w:val="27"/>
        <w:tabs>
          <w:tab w:val="right" w:leader="dot" w:pos="9354"/>
        </w:tabs>
        <w:rPr>
          <w:lang w:val="en-US"/>
        </w:rPr>
      </w:pPr>
      <w:r>
        <w:fldChar w:fldCharType="begin"/>
      </w:r>
      <w:r>
        <w:instrText xml:space="preserve"> HYPERLINK \l "_Toc20870" </w:instrText>
      </w:r>
      <w:r>
        <w:fldChar w:fldCharType="separate"/>
      </w:r>
      <w:r>
        <w:rPr>
          <w:rFonts w:hint="eastAsia" w:ascii="宋体" w:hAnsi="宋体" w:cs="宋体"/>
          <w:szCs w:val="21"/>
          <w:lang w:val="en-US"/>
        </w:rPr>
        <w:t>八、拟分包项目情况表（如有）</w:t>
      </w:r>
      <w:r>
        <w:rPr>
          <w:lang w:val="en-US"/>
        </w:rPr>
        <w:tab/>
      </w:r>
      <w:r>
        <w:rPr>
          <w:lang w:val="en-US"/>
        </w:rPr>
        <w:fldChar w:fldCharType="begin"/>
      </w:r>
      <w:r>
        <w:rPr>
          <w:lang w:val="en-US"/>
        </w:rPr>
        <w:instrText xml:space="preserve"> PAGEREF _Toc20870 </w:instrText>
      </w:r>
      <w:r>
        <w:rPr>
          <w:lang w:val="en-US"/>
        </w:rPr>
        <w:fldChar w:fldCharType="separate"/>
      </w:r>
      <w:r>
        <w:rPr>
          <w:lang w:val="en-US"/>
        </w:rPr>
        <w:t>28</w:t>
      </w:r>
      <w:r>
        <w:rPr>
          <w:lang w:val="en-US"/>
        </w:rPr>
        <w:fldChar w:fldCharType="end"/>
      </w:r>
      <w:r>
        <w:rPr>
          <w:lang w:val="en-US"/>
        </w:rPr>
        <w:fldChar w:fldCharType="end"/>
      </w:r>
    </w:p>
    <w:p w14:paraId="2A986D1D">
      <w:pPr>
        <w:pStyle w:val="27"/>
        <w:tabs>
          <w:tab w:val="right" w:leader="dot" w:pos="9354"/>
        </w:tabs>
        <w:rPr>
          <w:lang w:val="en-US"/>
        </w:rPr>
      </w:pPr>
      <w:r>
        <w:fldChar w:fldCharType="begin"/>
      </w:r>
      <w:r>
        <w:instrText xml:space="preserve"> HYPERLINK \l "_Toc10954" </w:instrText>
      </w:r>
      <w:r>
        <w:fldChar w:fldCharType="separate"/>
      </w:r>
      <w:r>
        <w:rPr>
          <w:rFonts w:hint="eastAsia" w:ascii="宋体" w:hAnsi="宋体" w:cs="宋体"/>
          <w:szCs w:val="28"/>
          <w:lang w:val="en-US"/>
        </w:rPr>
        <w:t>目  录</w:t>
      </w:r>
      <w:r>
        <w:rPr>
          <w:lang w:val="en-US"/>
        </w:rPr>
        <w:tab/>
      </w:r>
      <w:r>
        <w:rPr>
          <w:lang w:val="en-US"/>
        </w:rPr>
        <w:fldChar w:fldCharType="begin"/>
      </w:r>
      <w:r>
        <w:rPr>
          <w:lang w:val="en-US"/>
        </w:rPr>
        <w:instrText xml:space="preserve"> PAGEREF _Toc10954 </w:instrText>
      </w:r>
      <w:r>
        <w:rPr>
          <w:lang w:val="en-US"/>
        </w:rPr>
        <w:fldChar w:fldCharType="separate"/>
      </w:r>
      <w:r>
        <w:rPr>
          <w:lang w:val="en-US"/>
        </w:rPr>
        <w:t>30</w:t>
      </w:r>
      <w:r>
        <w:rPr>
          <w:lang w:val="en-US"/>
        </w:rPr>
        <w:fldChar w:fldCharType="end"/>
      </w:r>
      <w:r>
        <w:rPr>
          <w:lang w:val="en-US"/>
        </w:rPr>
        <w:fldChar w:fldCharType="end"/>
      </w:r>
    </w:p>
    <w:p w14:paraId="349EC754">
      <w:pPr>
        <w:pStyle w:val="27"/>
        <w:tabs>
          <w:tab w:val="right" w:leader="dot" w:pos="9354"/>
        </w:tabs>
        <w:rPr>
          <w:lang w:val="en-US"/>
        </w:rPr>
      </w:pPr>
      <w:r>
        <w:fldChar w:fldCharType="begin"/>
      </w:r>
      <w:r>
        <w:instrText xml:space="preserve"> HYPERLINK \l "_Toc3638" </w:instrText>
      </w:r>
      <w:r>
        <w:fldChar w:fldCharType="separate"/>
      </w:r>
      <w:r>
        <w:rPr>
          <w:rFonts w:hint="eastAsia" w:ascii="宋体" w:hAnsi="宋体" w:cs="宋体"/>
          <w:szCs w:val="21"/>
          <w:lang w:val="en-US"/>
        </w:rPr>
        <w:t>一、响应函</w:t>
      </w:r>
      <w:r>
        <w:rPr>
          <w:lang w:val="en-US"/>
        </w:rPr>
        <w:tab/>
      </w:r>
      <w:r>
        <w:rPr>
          <w:lang w:val="en-US"/>
        </w:rPr>
        <w:fldChar w:fldCharType="begin"/>
      </w:r>
      <w:r>
        <w:rPr>
          <w:lang w:val="en-US"/>
        </w:rPr>
        <w:instrText xml:space="preserve"> PAGEREF _Toc3638 </w:instrText>
      </w:r>
      <w:r>
        <w:rPr>
          <w:lang w:val="en-US"/>
        </w:rPr>
        <w:fldChar w:fldCharType="separate"/>
      </w:r>
      <w:r>
        <w:rPr>
          <w:lang w:val="en-US"/>
        </w:rPr>
        <w:t>31</w:t>
      </w:r>
      <w:r>
        <w:rPr>
          <w:lang w:val="en-US"/>
        </w:rPr>
        <w:fldChar w:fldCharType="end"/>
      </w:r>
      <w:r>
        <w:rPr>
          <w:lang w:val="en-US"/>
        </w:rPr>
        <w:fldChar w:fldCharType="end"/>
      </w:r>
    </w:p>
    <w:p w14:paraId="4A51BA88">
      <w:pPr>
        <w:pStyle w:val="27"/>
        <w:tabs>
          <w:tab w:val="right" w:leader="dot" w:pos="9354"/>
        </w:tabs>
        <w:rPr>
          <w:lang w:val="en-US"/>
        </w:rPr>
      </w:pPr>
      <w:r>
        <w:fldChar w:fldCharType="begin"/>
      </w:r>
      <w:r>
        <w:instrText xml:space="preserve"> HYPERLINK \l "_Toc18934" </w:instrText>
      </w:r>
      <w:r>
        <w:fldChar w:fldCharType="separate"/>
      </w:r>
      <w:r>
        <w:rPr>
          <w:rFonts w:hint="eastAsia" w:ascii="宋体" w:hAnsi="宋体" w:cs="宋体"/>
          <w:szCs w:val="21"/>
          <w:lang w:val="en-US"/>
        </w:rPr>
        <w:t>二、报价格式</w:t>
      </w:r>
      <w:r>
        <w:rPr>
          <w:lang w:val="en-US"/>
        </w:rPr>
        <w:tab/>
      </w:r>
      <w:r>
        <w:rPr>
          <w:lang w:val="en-US"/>
        </w:rPr>
        <w:fldChar w:fldCharType="begin"/>
      </w:r>
      <w:r>
        <w:rPr>
          <w:lang w:val="en-US"/>
        </w:rPr>
        <w:instrText xml:space="preserve"> PAGEREF _Toc18934 </w:instrText>
      </w:r>
      <w:r>
        <w:rPr>
          <w:lang w:val="en-US"/>
        </w:rPr>
        <w:fldChar w:fldCharType="separate"/>
      </w:r>
      <w:r>
        <w:rPr>
          <w:lang w:val="en-US"/>
        </w:rPr>
        <w:t>32</w:t>
      </w:r>
      <w:r>
        <w:rPr>
          <w:lang w:val="en-US"/>
        </w:rPr>
        <w:fldChar w:fldCharType="end"/>
      </w:r>
      <w:r>
        <w:rPr>
          <w:lang w:val="en-US"/>
        </w:rPr>
        <w:fldChar w:fldCharType="end"/>
      </w:r>
    </w:p>
    <w:p w14:paraId="3C6DC527">
      <w:pPr>
        <w:pStyle w:val="159"/>
        <w:spacing w:line="360" w:lineRule="auto"/>
        <w:ind w:firstLine="440" w:firstLineChars="200"/>
        <w:rPr>
          <w:kern w:val="2"/>
          <w:sz w:val="21"/>
          <w:szCs w:val="22"/>
          <w:lang w:val="en-US" w:eastAsia="zh-CN"/>
        </w:rPr>
      </w:pPr>
      <w:r>
        <w:rPr>
          <w:rFonts w:hint="eastAsia" w:ascii="仿宋_GB2312" w:hAnsi="宋体" w:eastAsia="仿宋_GB2312" w:cs="宋体"/>
          <w:kern w:val="2"/>
          <w:szCs w:val="36"/>
          <w:lang w:val="en-US" w:eastAsia="zh-CN"/>
        </w:rPr>
        <w:fldChar w:fldCharType="end"/>
      </w:r>
    </w:p>
    <w:p w14:paraId="5A314986">
      <w:pPr>
        <w:pStyle w:val="159"/>
        <w:spacing w:line="360" w:lineRule="auto"/>
        <w:ind w:firstLine="420" w:firstLineChars="200"/>
        <w:rPr>
          <w:kern w:val="2"/>
          <w:sz w:val="21"/>
          <w:szCs w:val="22"/>
          <w:lang w:val="en-US" w:eastAsia="zh-CN"/>
        </w:rPr>
      </w:pPr>
    </w:p>
    <w:p w14:paraId="2FDE8A26">
      <w:pPr>
        <w:pStyle w:val="159"/>
        <w:spacing w:line="360" w:lineRule="auto"/>
        <w:ind w:firstLine="420" w:firstLineChars="200"/>
        <w:rPr>
          <w:kern w:val="2"/>
          <w:sz w:val="21"/>
          <w:szCs w:val="22"/>
          <w:lang w:val="en-US" w:eastAsia="zh-CN"/>
        </w:rPr>
      </w:pPr>
    </w:p>
    <w:p w14:paraId="07669FF0">
      <w:pPr>
        <w:pStyle w:val="159"/>
        <w:spacing w:line="360" w:lineRule="auto"/>
        <w:rPr>
          <w:kern w:val="2"/>
          <w:sz w:val="21"/>
          <w:szCs w:val="22"/>
          <w:lang w:val="en-US" w:eastAsia="zh-CN"/>
        </w:rPr>
      </w:pPr>
    </w:p>
    <w:p w14:paraId="07125C49">
      <w:pPr>
        <w:pStyle w:val="2"/>
        <w:adjustRightInd w:val="0"/>
        <w:snapToGrid w:val="0"/>
        <w:spacing w:before="0" w:after="0" w:line="240" w:lineRule="auto"/>
        <w:jc w:val="center"/>
        <w:rPr>
          <w:lang w:val="en-US"/>
        </w:rPr>
      </w:pPr>
    </w:p>
    <w:p w14:paraId="666B026E">
      <w:pPr>
        <w:adjustRightInd w:val="0"/>
        <w:snapToGrid w:val="0"/>
        <w:spacing w:line="360" w:lineRule="auto"/>
        <w:jc w:val="center"/>
        <w:rPr>
          <w:lang w:val="en-US"/>
        </w:rPr>
      </w:pPr>
    </w:p>
    <w:p w14:paraId="324932B8">
      <w:pPr>
        <w:adjustRightInd w:val="0"/>
        <w:snapToGrid w:val="0"/>
        <w:spacing w:line="360" w:lineRule="auto"/>
        <w:jc w:val="center"/>
        <w:rPr>
          <w:lang w:val="en-US"/>
        </w:rPr>
      </w:pPr>
    </w:p>
    <w:p w14:paraId="3D2B80E1">
      <w:pPr>
        <w:adjustRightInd w:val="0"/>
        <w:snapToGrid w:val="0"/>
        <w:spacing w:line="360" w:lineRule="auto"/>
        <w:jc w:val="center"/>
        <w:rPr>
          <w:lang w:val="en-US"/>
        </w:rPr>
      </w:pPr>
    </w:p>
    <w:p w14:paraId="48FC0EE1">
      <w:pPr>
        <w:adjustRightInd w:val="0"/>
        <w:snapToGrid w:val="0"/>
        <w:spacing w:line="360" w:lineRule="auto"/>
        <w:jc w:val="center"/>
        <w:rPr>
          <w:lang w:val="en-US"/>
        </w:rPr>
      </w:pPr>
    </w:p>
    <w:p w14:paraId="08D3B119">
      <w:pPr>
        <w:adjustRightInd w:val="0"/>
        <w:snapToGrid w:val="0"/>
        <w:spacing w:line="360" w:lineRule="auto"/>
        <w:jc w:val="center"/>
        <w:rPr>
          <w:lang w:val="en-US"/>
        </w:rPr>
      </w:pPr>
    </w:p>
    <w:p w14:paraId="3C3DBA03">
      <w:pPr>
        <w:adjustRightInd w:val="0"/>
        <w:snapToGrid w:val="0"/>
        <w:spacing w:line="360" w:lineRule="auto"/>
        <w:jc w:val="center"/>
        <w:rPr>
          <w:lang w:val="en-US"/>
        </w:rPr>
      </w:pPr>
    </w:p>
    <w:p w14:paraId="2715EC31">
      <w:pPr>
        <w:adjustRightInd w:val="0"/>
        <w:snapToGrid w:val="0"/>
        <w:spacing w:line="360" w:lineRule="auto"/>
        <w:jc w:val="center"/>
        <w:rPr>
          <w:lang w:val="en-US"/>
        </w:rPr>
      </w:pPr>
    </w:p>
    <w:p w14:paraId="0F12EB3F">
      <w:pPr>
        <w:adjustRightInd w:val="0"/>
        <w:snapToGrid w:val="0"/>
        <w:spacing w:line="360" w:lineRule="auto"/>
        <w:jc w:val="center"/>
        <w:rPr>
          <w:lang w:val="en-US"/>
        </w:rPr>
      </w:pPr>
    </w:p>
    <w:p w14:paraId="63D78263">
      <w:pPr>
        <w:adjustRightInd w:val="0"/>
        <w:snapToGrid w:val="0"/>
        <w:spacing w:line="360" w:lineRule="auto"/>
        <w:jc w:val="center"/>
        <w:rPr>
          <w:lang w:val="en-US"/>
        </w:rPr>
      </w:pPr>
    </w:p>
    <w:p w14:paraId="5DB1FA23">
      <w:pPr>
        <w:adjustRightInd w:val="0"/>
        <w:snapToGrid w:val="0"/>
        <w:spacing w:line="360" w:lineRule="auto"/>
        <w:jc w:val="center"/>
        <w:rPr>
          <w:lang w:val="en-US"/>
        </w:rPr>
      </w:pPr>
    </w:p>
    <w:p w14:paraId="0FD5F951">
      <w:pPr>
        <w:adjustRightInd w:val="0"/>
        <w:snapToGrid w:val="0"/>
        <w:spacing w:line="360" w:lineRule="auto"/>
        <w:jc w:val="center"/>
        <w:rPr>
          <w:lang w:val="en-US"/>
        </w:rPr>
      </w:pPr>
    </w:p>
    <w:p w14:paraId="1ECA61C8">
      <w:pPr>
        <w:adjustRightInd w:val="0"/>
        <w:snapToGrid w:val="0"/>
        <w:spacing w:line="360" w:lineRule="auto"/>
        <w:jc w:val="center"/>
        <w:rPr>
          <w:lang w:val="en-US"/>
        </w:rPr>
      </w:pPr>
    </w:p>
    <w:p w14:paraId="551608D3">
      <w:pPr>
        <w:adjustRightInd w:val="0"/>
        <w:snapToGrid w:val="0"/>
        <w:spacing w:line="360" w:lineRule="auto"/>
        <w:jc w:val="center"/>
        <w:rPr>
          <w:lang w:val="en-US"/>
        </w:rPr>
      </w:pPr>
    </w:p>
    <w:p w14:paraId="495D7851">
      <w:pPr>
        <w:adjustRightInd w:val="0"/>
        <w:snapToGrid w:val="0"/>
        <w:spacing w:line="360" w:lineRule="auto"/>
        <w:jc w:val="center"/>
        <w:rPr>
          <w:lang w:val="en-US"/>
        </w:rPr>
      </w:pPr>
    </w:p>
    <w:p w14:paraId="21DDAA52">
      <w:pPr>
        <w:adjustRightInd w:val="0"/>
        <w:snapToGrid w:val="0"/>
        <w:spacing w:line="360" w:lineRule="auto"/>
        <w:jc w:val="center"/>
        <w:rPr>
          <w:lang w:val="en-US"/>
        </w:rPr>
      </w:pPr>
    </w:p>
    <w:p w14:paraId="4FDBDF09">
      <w:pPr>
        <w:adjustRightInd w:val="0"/>
        <w:snapToGrid w:val="0"/>
        <w:spacing w:line="360" w:lineRule="auto"/>
        <w:jc w:val="center"/>
        <w:rPr>
          <w:lang w:val="en-US"/>
        </w:rPr>
      </w:pPr>
    </w:p>
    <w:p w14:paraId="41082E8B">
      <w:pPr>
        <w:pStyle w:val="2"/>
        <w:adjustRightInd w:val="0"/>
        <w:snapToGrid w:val="0"/>
        <w:spacing w:before="0" w:after="0" w:line="240" w:lineRule="auto"/>
        <w:jc w:val="center"/>
        <w:rPr>
          <w:sz w:val="28"/>
          <w:szCs w:val="28"/>
        </w:rPr>
      </w:pPr>
      <w:r>
        <w:rPr>
          <w:rFonts w:hint="eastAsia"/>
          <w:sz w:val="28"/>
          <w:szCs w:val="28"/>
          <w:lang w:val="en-US"/>
        </w:rPr>
        <w:t xml:space="preserve">第一章  </w:t>
      </w:r>
      <w:r>
        <w:rPr>
          <w:rFonts w:hint="eastAsia"/>
          <w:sz w:val="28"/>
          <w:szCs w:val="28"/>
        </w:rPr>
        <w:t>响应人</w:t>
      </w:r>
      <w:r>
        <w:rPr>
          <w:sz w:val="28"/>
          <w:szCs w:val="28"/>
        </w:rPr>
        <w:t>须知</w:t>
      </w:r>
      <w:bookmarkEnd w:id="0"/>
      <w:bookmarkEnd w:id="1"/>
      <w:bookmarkEnd w:id="2"/>
      <w:bookmarkEnd w:id="3"/>
      <w:bookmarkEnd w:id="4"/>
      <w:bookmarkEnd w:id="5"/>
      <w:bookmarkEnd w:id="6"/>
      <w:bookmarkEnd w:id="7"/>
      <w:bookmarkEnd w:id="8"/>
    </w:p>
    <w:p w14:paraId="71EE4EE7">
      <w:pPr>
        <w:jc w:val="center"/>
        <w:rPr>
          <w:b/>
          <w:bCs/>
        </w:rPr>
      </w:pPr>
      <w:r>
        <w:rPr>
          <w:b/>
          <w:bCs/>
        </w:rPr>
        <w:t>Instructions pour les soumissionnaires</w:t>
      </w:r>
    </w:p>
    <w:p w14:paraId="5E55EDE6"/>
    <w:p w14:paraId="219485AB">
      <w:bookmarkStart w:id="10" w:name="_Toc6561309"/>
      <w:bookmarkStart w:id="11" w:name="_Toc9980"/>
      <w:r>
        <w:rPr>
          <w:rFonts w:hint="eastAsia"/>
          <w:bCs/>
          <w:szCs w:val="21"/>
        </w:rPr>
        <w:t>响应人须知前附表</w:t>
      </w:r>
      <w:bookmarkEnd w:id="10"/>
      <w:bookmarkEnd w:id="11"/>
      <w:r>
        <w:rPr>
          <w:rFonts w:hint="eastAsia"/>
          <w:bCs/>
          <w:szCs w:val="21"/>
        </w:rPr>
        <w:t>/</w:t>
      </w:r>
      <w:r>
        <w:t>Annexe préliminaire des Instructions pour les soumissionnaires</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681"/>
        <w:gridCol w:w="1278"/>
        <w:gridCol w:w="4625"/>
        <w:gridCol w:w="933"/>
      </w:tblGrid>
      <w:tr w14:paraId="01BBF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59D8C74A">
            <w:pPr>
              <w:adjustRightInd w:val="0"/>
              <w:snapToGrid w:val="0"/>
              <w:jc w:val="center"/>
              <w:rPr>
                <w:b/>
              </w:rPr>
            </w:pPr>
            <w:r>
              <w:rPr>
                <w:rFonts w:hint="eastAsia"/>
                <w:b/>
              </w:rPr>
              <w:t>序</w:t>
            </w:r>
            <w:r>
              <w:rPr>
                <w:b/>
              </w:rPr>
              <w:t>号</w:t>
            </w:r>
          </w:p>
          <w:p w14:paraId="6C623760">
            <w:pPr>
              <w:adjustRightInd w:val="0"/>
              <w:snapToGrid w:val="0"/>
              <w:jc w:val="center"/>
              <w:rPr>
                <w:b/>
              </w:rPr>
            </w:pPr>
            <w:r>
              <w:rPr>
                <w:rFonts w:hint="eastAsia"/>
                <w:b/>
              </w:rPr>
              <w:t>Nº</w:t>
            </w:r>
          </w:p>
        </w:tc>
        <w:tc>
          <w:tcPr>
            <w:tcW w:w="1681" w:type="dxa"/>
            <w:vAlign w:val="center"/>
          </w:tcPr>
          <w:p w14:paraId="0EF34162">
            <w:pPr>
              <w:adjustRightInd w:val="0"/>
              <w:snapToGrid w:val="0"/>
              <w:jc w:val="center"/>
              <w:rPr>
                <w:b/>
              </w:rPr>
            </w:pPr>
            <w:r>
              <w:rPr>
                <w:b/>
              </w:rPr>
              <w:t>条款名称</w:t>
            </w:r>
          </w:p>
          <w:p w14:paraId="25200879">
            <w:pPr>
              <w:adjustRightInd w:val="0"/>
              <w:snapToGrid w:val="0"/>
              <w:jc w:val="center"/>
              <w:rPr>
                <w:b/>
              </w:rPr>
            </w:pPr>
            <w:r>
              <w:rPr>
                <w:rFonts w:hint="eastAsia"/>
                <w:b/>
              </w:rPr>
              <w:t>Nom de l</w:t>
            </w:r>
            <w:r>
              <w:rPr>
                <w:b/>
              </w:rPr>
              <w:t>’</w:t>
            </w:r>
            <w:r>
              <w:rPr>
                <w:rFonts w:hint="eastAsia"/>
                <w:b/>
              </w:rPr>
              <w:t>article</w:t>
            </w:r>
          </w:p>
        </w:tc>
        <w:tc>
          <w:tcPr>
            <w:tcW w:w="5903" w:type="dxa"/>
            <w:gridSpan w:val="2"/>
            <w:vAlign w:val="center"/>
          </w:tcPr>
          <w:p w14:paraId="58F1C274">
            <w:pPr>
              <w:adjustRightInd w:val="0"/>
              <w:snapToGrid w:val="0"/>
              <w:jc w:val="center"/>
              <w:rPr>
                <w:b/>
              </w:rPr>
            </w:pPr>
            <w:r>
              <w:rPr>
                <w:b/>
              </w:rPr>
              <w:t>编  列  内  容</w:t>
            </w:r>
            <w:r>
              <w:rPr>
                <w:rFonts w:hint="eastAsia"/>
                <w:b/>
              </w:rPr>
              <w:t>/Contenu</w:t>
            </w:r>
            <w:r>
              <w:rPr>
                <w:rFonts w:hint="eastAsia"/>
                <w:b/>
              </w:rPr>
              <w:tab/>
            </w:r>
            <w:r>
              <w:rPr>
                <w:rFonts w:hint="eastAsia"/>
                <w:b/>
              </w:rPr>
              <w:t xml:space="preserve"> </w:t>
            </w:r>
          </w:p>
        </w:tc>
        <w:tc>
          <w:tcPr>
            <w:tcW w:w="933" w:type="dxa"/>
            <w:vAlign w:val="center"/>
          </w:tcPr>
          <w:p w14:paraId="4DBDB455">
            <w:pPr>
              <w:adjustRightInd w:val="0"/>
              <w:snapToGrid w:val="0"/>
              <w:jc w:val="center"/>
              <w:rPr>
                <w:b/>
              </w:rPr>
            </w:pPr>
            <w:r>
              <w:rPr>
                <w:b/>
              </w:rPr>
              <w:t>条款号</w:t>
            </w:r>
          </w:p>
        </w:tc>
      </w:tr>
      <w:tr w14:paraId="680F8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225AA45B">
            <w:pPr>
              <w:numPr>
                <w:ilvl w:val="0"/>
                <w:numId w:val="1"/>
              </w:numPr>
              <w:adjustRightInd w:val="0"/>
              <w:snapToGrid w:val="0"/>
              <w:jc w:val="center"/>
            </w:pPr>
          </w:p>
        </w:tc>
        <w:tc>
          <w:tcPr>
            <w:tcW w:w="1681" w:type="dxa"/>
            <w:vAlign w:val="center"/>
          </w:tcPr>
          <w:p w14:paraId="0A5FFD0C">
            <w:pPr>
              <w:adjustRightInd w:val="0"/>
              <w:snapToGrid w:val="0"/>
              <w:jc w:val="center"/>
            </w:pPr>
            <w:r>
              <w:rPr>
                <w:rFonts w:hint="eastAsia"/>
              </w:rPr>
              <w:t>采购人</w:t>
            </w:r>
          </w:p>
          <w:p w14:paraId="1F7B7281">
            <w:pPr>
              <w:adjustRightInd w:val="0"/>
              <w:snapToGrid w:val="0"/>
              <w:jc w:val="center"/>
            </w:pPr>
            <w:r>
              <w:t>Maître d’ouvrage</w:t>
            </w:r>
          </w:p>
        </w:tc>
        <w:tc>
          <w:tcPr>
            <w:tcW w:w="5903" w:type="dxa"/>
            <w:gridSpan w:val="2"/>
            <w:vAlign w:val="center"/>
          </w:tcPr>
          <w:p w14:paraId="5DE47ABB">
            <w:pPr>
              <w:adjustRightInd w:val="0"/>
              <w:snapToGrid w:val="0"/>
            </w:pPr>
            <w:r>
              <w:rPr>
                <w:rFonts w:hint="eastAsia"/>
              </w:rPr>
              <w:t>国家电投集团铝电投资有限公司</w:t>
            </w:r>
          </w:p>
          <w:p w14:paraId="214536CC">
            <w:pPr>
              <w:adjustRightInd w:val="0"/>
              <w:snapToGrid w:val="0"/>
              <w:rPr>
                <w:lang w:val="en-US"/>
              </w:rPr>
            </w:pPr>
            <w:r>
              <w:rPr>
                <w:lang w:val="en-US"/>
              </w:rPr>
              <w:t>SPIC Aluminum &amp; Power Investment Co., Ltd.</w:t>
            </w:r>
          </w:p>
        </w:tc>
        <w:tc>
          <w:tcPr>
            <w:tcW w:w="933" w:type="dxa"/>
            <w:vAlign w:val="center"/>
          </w:tcPr>
          <w:p w14:paraId="7753E1EF">
            <w:pPr>
              <w:adjustRightInd w:val="0"/>
              <w:snapToGrid w:val="0"/>
              <w:jc w:val="center"/>
            </w:pPr>
            <w:r>
              <w:rPr>
                <w:rFonts w:hint="eastAsia"/>
              </w:rPr>
              <w:t>1.1.1</w:t>
            </w:r>
          </w:p>
        </w:tc>
      </w:tr>
      <w:tr w14:paraId="73009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3694E20E">
            <w:pPr>
              <w:numPr>
                <w:ilvl w:val="0"/>
                <w:numId w:val="1"/>
              </w:numPr>
              <w:adjustRightInd w:val="0"/>
              <w:snapToGrid w:val="0"/>
              <w:jc w:val="center"/>
            </w:pPr>
          </w:p>
        </w:tc>
        <w:tc>
          <w:tcPr>
            <w:tcW w:w="1681" w:type="dxa"/>
            <w:vAlign w:val="center"/>
          </w:tcPr>
          <w:p w14:paraId="08B0F913">
            <w:pPr>
              <w:adjustRightInd w:val="0"/>
              <w:snapToGrid w:val="0"/>
              <w:jc w:val="center"/>
            </w:pPr>
            <w:r>
              <w:rPr>
                <w:rFonts w:hint="eastAsia"/>
              </w:rPr>
              <w:t>项目单位</w:t>
            </w:r>
          </w:p>
          <w:p w14:paraId="084FF40B">
            <w:pPr>
              <w:adjustRightInd w:val="0"/>
              <w:snapToGrid w:val="0"/>
              <w:jc w:val="center"/>
            </w:pPr>
            <w:r>
              <w:t>Société de projet</w:t>
            </w:r>
          </w:p>
        </w:tc>
        <w:tc>
          <w:tcPr>
            <w:tcW w:w="5903" w:type="dxa"/>
            <w:gridSpan w:val="2"/>
            <w:vAlign w:val="center"/>
          </w:tcPr>
          <w:p w14:paraId="7E520EED">
            <w:pPr>
              <w:adjustRightInd w:val="0"/>
              <w:snapToGrid w:val="0"/>
            </w:pPr>
            <w:r>
              <w:rPr>
                <w:rFonts w:hint="eastAsia"/>
              </w:rPr>
              <w:t xml:space="preserve">几内亚高丽亚矿山股份有限公司 </w:t>
            </w:r>
          </w:p>
          <w:p w14:paraId="2D139E7F">
            <w:pPr>
              <w:adjustRightInd w:val="0"/>
              <w:snapToGrid w:val="0"/>
              <w:rPr>
                <w:lang w:val="en-US"/>
              </w:rPr>
            </w:pPr>
            <w:r>
              <w:rPr>
                <w:sz w:val="24"/>
                <w:szCs w:val="24"/>
                <w:lang w:val="en-US"/>
              </w:rPr>
              <w:t>Guinea Colia Mining S.A.</w:t>
            </w:r>
          </w:p>
        </w:tc>
        <w:tc>
          <w:tcPr>
            <w:tcW w:w="933" w:type="dxa"/>
            <w:vAlign w:val="center"/>
          </w:tcPr>
          <w:p w14:paraId="64B4467A">
            <w:pPr>
              <w:adjustRightInd w:val="0"/>
              <w:snapToGrid w:val="0"/>
              <w:jc w:val="center"/>
              <w:rPr>
                <w:szCs w:val="21"/>
              </w:rPr>
            </w:pPr>
            <w:r>
              <w:rPr>
                <w:rFonts w:hint="eastAsia"/>
              </w:rPr>
              <w:t>1.1.2</w:t>
            </w:r>
          </w:p>
        </w:tc>
      </w:tr>
      <w:tr w14:paraId="17226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788A5C59">
            <w:pPr>
              <w:numPr>
                <w:ilvl w:val="0"/>
                <w:numId w:val="1"/>
              </w:numPr>
              <w:adjustRightInd w:val="0"/>
              <w:snapToGrid w:val="0"/>
              <w:jc w:val="center"/>
            </w:pPr>
          </w:p>
        </w:tc>
        <w:tc>
          <w:tcPr>
            <w:tcW w:w="1681" w:type="dxa"/>
            <w:vAlign w:val="center"/>
          </w:tcPr>
          <w:p w14:paraId="6F05AF80">
            <w:pPr>
              <w:adjustRightInd w:val="0"/>
              <w:snapToGrid w:val="0"/>
              <w:jc w:val="center"/>
            </w:pPr>
            <w:r>
              <w:t>项目名称</w:t>
            </w:r>
          </w:p>
          <w:p w14:paraId="482AB45D">
            <w:pPr>
              <w:adjustRightInd w:val="0"/>
              <w:snapToGrid w:val="0"/>
              <w:jc w:val="center"/>
            </w:pPr>
            <w:r>
              <w:rPr>
                <w:rFonts w:hint="eastAsia"/>
              </w:rPr>
              <w:t>Nom du projet</w:t>
            </w:r>
          </w:p>
        </w:tc>
        <w:tc>
          <w:tcPr>
            <w:tcW w:w="5903" w:type="dxa"/>
            <w:gridSpan w:val="2"/>
            <w:vAlign w:val="center"/>
          </w:tcPr>
          <w:p w14:paraId="29563F29">
            <w:pPr>
              <w:adjustRightInd w:val="0"/>
              <w:snapToGrid w:val="0"/>
              <w:jc w:val="left"/>
            </w:pPr>
            <w:r>
              <w:rPr>
                <w:rFonts w:hint="eastAsia"/>
              </w:rPr>
              <w:t>几内亚高丽亚矿山股份有限公司</w:t>
            </w:r>
            <w:r>
              <w:rPr>
                <w:rFonts w:hint="eastAsia"/>
                <w:lang w:val="en-US"/>
              </w:rPr>
              <w:t>蒂美伟-</w:t>
            </w:r>
            <w:r>
              <w:rPr>
                <w:rFonts w:hint="eastAsia"/>
              </w:rPr>
              <w:t>孔苏达米社区道路</w:t>
            </w:r>
            <w:r>
              <w:rPr>
                <w:rFonts w:hint="eastAsia"/>
                <w:lang w:val="en-US"/>
              </w:rPr>
              <w:t>修</w:t>
            </w:r>
            <w:r>
              <w:rPr>
                <w:rFonts w:hint="eastAsia"/>
              </w:rPr>
              <w:t>缮项目</w:t>
            </w:r>
          </w:p>
          <w:p w14:paraId="6CC1C688">
            <w:pPr>
              <w:adjustRightInd w:val="0"/>
              <w:snapToGrid w:val="0"/>
            </w:pPr>
            <w:r>
              <w:rPr>
                <w:sz w:val="24"/>
                <w:szCs w:val="24"/>
                <w:lang w:val="en-US"/>
              </w:rPr>
              <w:t>Projet de Réparation des Routes Communautaires（Thimmewi - Konsatamy）– Guinea Colia Mining S.A.</w:t>
            </w:r>
          </w:p>
        </w:tc>
        <w:tc>
          <w:tcPr>
            <w:tcW w:w="933" w:type="dxa"/>
            <w:vAlign w:val="center"/>
          </w:tcPr>
          <w:p w14:paraId="60EA49EA">
            <w:pPr>
              <w:adjustRightInd w:val="0"/>
              <w:snapToGrid w:val="0"/>
              <w:jc w:val="center"/>
              <w:rPr>
                <w:szCs w:val="21"/>
              </w:rPr>
            </w:pPr>
            <w:r>
              <w:rPr>
                <w:rFonts w:hint="eastAsia"/>
              </w:rPr>
              <w:t>1.1.3</w:t>
            </w:r>
          </w:p>
        </w:tc>
      </w:tr>
      <w:tr w14:paraId="182A23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1F12AA8A">
            <w:pPr>
              <w:numPr>
                <w:ilvl w:val="0"/>
                <w:numId w:val="1"/>
              </w:numPr>
              <w:adjustRightInd w:val="0"/>
              <w:snapToGrid w:val="0"/>
              <w:jc w:val="center"/>
            </w:pPr>
          </w:p>
        </w:tc>
        <w:tc>
          <w:tcPr>
            <w:tcW w:w="1681" w:type="dxa"/>
            <w:vAlign w:val="center"/>
          </w:tcPr>
          <w:p w14:paraId="2A254421">
            <w:pPr>
              <w:adjustRightInd w:val="0"/>
              <w:snapToGrid w:val="0"/>
              <w:jc w:val="center"/>
              <w:rPr>
                <w:szCs w:val="21"/>
              </w:rPr>
            </w:pPr>
            <w:r>
              <w:rPr>
                <w:rFonts w:hint="eastAsia"/>
                <w:szCs w:val="21"/>
              </w:rPr>
              <w:t>项目</w:t>
            </w:r>
            <w:r>
              <w:rPr>
                <w:szCs w:val="21"/>
              </w:rPr>
              <w:t>地点</w:t>
            </w:r>
          </w:p>
          <w:p w14:paraId="72B37137">
            <w:pPr>
              <w:adjustRightInd w:val="0"/>
              <w:snapToGrid w:val="0"/>
              <w:jc w:val="center"/>
              <w:rPr>
                <w:szCs w:val="21"/>
              </w:rPr>
            </w:pPr>
            <w:r>
              <w:rPr>
                <w:rFonts w:hint="eastAsia"/>
              </w:rPr>
              <w:t>L</w:t>
            </w:r>
            <w:r>
              <w:t>ieu de projet</w:t>
            </w:r>
          </w:p>
        </w:tc>
        <w:tc>
          <w:tcPr>
            <w:tcW w:w="5903" w:type="dxa"/>
            <w:gridSpan w:val="2"/>
            <w:vAlign w:val="center"/>
          </w:tcPr>
          <w:p w14:paraId="690B32E7">
            <w:pPr>
              <w:pStyle w:val="159"/>
              <w:adjustRightInd w:val="0"/>
              <w:snapToGrid w:val="0"/>
              <w:rPr>
                <w:rFonts w:ascii="Times New Roman" w:hAnsi="Times New Roman"/>
                <w:szCs w:val="21"/>
                <w:lang w:eastAsia="zh-CN"/>
              </w:rPr>
            </w:pPr>
            <w:r>
              <w:rPr>
                <w:rFonts w:hint="eastAsia" w:ascii="Times New Roman" w:hAnsi="Times New Roman"/>
                <w:kern w:val="2"/>
                <w:sz w:val="21"/>
                <w:szCs w:val="21"/>
                <w:lang w:eastAsia="zh-CN"/>
              </w:rPr>
              <w:t>特里梅莱省 Dans la p</w:t>
            </w:r>
            <w:r>
              <w:rPr>
                <w:rFonts w:ascii="Times New Roman" w:hAnsi="Times New Roman"/>
                <w:kern w:val="2"/>
                <w:sz w:val="21"/>
                <w:szCs w:val="21"/>
                <w:lang w:eastAsia="zh-CN"/>
              </w:rPr>
              <w:t>réfecture de Télimélé</w:t>
            </w:r>
          </w:p>
        </w:tc>
        <w:tc>
          <w:tcPr>
            <w:tcW w:w="933" w:type="dxa"/>
            <w:vAlign w:val="center"/>
          </w:tcPr>
          <w:p w14:paraId="6DACC5B8">
            <w:pPr>
              <w:adjustRightInd w:val="0"/>
              <w:snapToGrid w:val="0"/>
              <w:jc w:val="center"/>
            </w:pPr>
            <w:r>
              <w:rPr>
                <w:rFonts w:hint="eastAsia"/>
              </w:rPr>
              <w:t>/</w:t>
            </w:r>
          </w:p>
        </w:tc>
      </w:tr>
      <w:tr w14:paraId="0B2A1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239053DD">
            <w:pPr>
              <w:numPr>
                <w:ilvl w:val="0"/>
                <w:numId w:val="1"/>
              </w:numPr>
              <w:adjustRightInd w:val="0"/>
              <w:snapToGrid w:val="0"/>
              <w:jc w:val="center"/>
            </w:pPr>
          </w:p>
        </w:tc>
        <w:tc>
          <w:tcPr>
            <w:tcW w:w="1681" w:type="dxa"/>
            <w:vAlign w:val="center"/>
          </w:tcPr>
          <w:p w14:paraId="72EE1575">
            <w:pPr>
              <w:adjustRightInd w:val="0"/>
              <w:snapToGrid w:val="0"/>
              <w:jc w:val="center"/>
            </w:pPr>
            <w:r>
              <w:rPr>
                <w:rFonts w:hint="eastAsia"/>
              </w:rPr>
              <w:t>采购范围</w:t>
            </w:r>
            <w:r>
              <w:t>Champ d’appel d’offres</w:t>
            </w:r>
          </w:p>
        </w:tc>
        <w:tc>
          <w:tcPr>
            <w:tcW w:w="5903" w:type="dxa"/>
            <w:gridSpan w:val="2"/>
            <w:vAlign w:val="center"/>
          </w:tcPr>
          <w:p w14:paraId="32BA10FB">
            <w:pPr>
              <w:tabs>
                <w:tab w:val="left" w:pos="5670"/>
              </w:tabs>
              <w:adjustRightInd w:val="0"/>
              <w:snapToGrid w:val="0"/>
              <w:rPr>
                <w:szCs w:val="21"/>
              </w:rPr>
            </w:pPr>
            <w:r>
              <w:rPr>
                <w:szCs w:val="21"/>
              </w:rPr>
              <w:t>本项目主要对从</w:t>
            </w:r>
            <w:r>
              <w:rPr>
                <w:rFonts w:hint="eastAsia"/>
                <w:szCs w:val="21"/>
              </w:rPr>
              <w:t>Thimmewi - Konsatamy（</w:t>
            </w:r>
            <w:r>
              <w:rPr>
                <w:rFonts w:hint="eastAsia"/>
                <w:szCs w:val="21"/>
                <w:lang w:val="en-US"/>
              </w:rPr>
              <w:t>蒂美伟-</w:t>
            </w:r>
            <w:r>
              <w:rPr>
                <w:szCs w:val="21"/>
              </w:rPr>
              <w:t>孔苏达米</w:t>
            </w:r>
            <w:r>
              <w:rPr>
                <w:rFonts w:hint="eastAsia"/>
                <w:szCs w:val="21"/>
              </w:rPr>
              <w:t>）</w:t>
            </w:r>
            <w:r>
              <w:rPr>
                <w:szCs w:val="21"/>
              </w:rPr>
              <w:t>现有道路</w:t>
            </w:r>
            <w:r>
              <w:rPr>
                <w:rFonts w:hint="eastAsia"/>
                <w:szCs w:val="21"/>
              </w:rPr>
              <w:t>参照发包人要求</w:t>
            </w:r>
            <w:r>
              <w:rPr>
                <w:szCs w:val="21"/>
              </w:rPr>
              <w:t>进行修复与整治，施工路段全长约</w:t>
            </w:r>
            <w:r>
              <w:rPr>
                <w:rFonts w:hint="eastAsia"/>
                <w:szCs w:val="21"/>
              </w:rPr>
              <w:t>12.5</w:t>
            </w:r>
            <w:r>
              <w:rPr>
                <w:szCs w:val="21"/>
              </w:rPr>
              <w:t>公里；</w:t>
            </w:r>
            <w:r>
              <w:rPr>
                <w:rFonts w:hint="eastAsia"/>
                <w:szCs w:val="21"/>
                <w:lang w:val="en-US"/>
              </w:rPr>
              <w:t>并</w:t>
            </w:r>
            <w:r>
              <w:rPr>
                <w:szCs w:val="21"/>
              </w:rPr>
              <w:t>对位于孔苏达米的足球场实施系统性整体修复。</w:t>
            </w:r>
            <w:r>
              <w:rPr>
                <w:rFonts w:hint="eastAsia"/>
                <w:szCs w:val="21"/>
              </w:rPr>
              <w:t>详</w:t>
            </w:r>
            <w:r>
              <w:rPr>
                <w:szCs w:val="21"/>
              </w:rPr>
              <w:t>见第</w:t>
            </w:r>
            <w:r>
              <w:rPr>
                <w:rFonts w:hint="eastAsia"/>
                <w:szCs w:val="21"/>
              </w:rPr>
              <w:t>二</w:t>
            </w:r>
            <w:r>
              <w:rPr>
                <w:szCs w:val="21"/>
              </w:rPr>
              <w:t>章</w:t>
            </w:r>
            <w:r>
              <w:rPr>
                <w:rFonts w:hint="eastAsia"/>
                <w:szCs w:val="21"/>
              </w:rPr>
              <w:t>发包人要求。</w:t>
            </w:r>
          </w:p>
          <w:p w14:paraId="272A412E">
            <w:pPr>
              <w:tabs>
                <w:tab w:val="left" w:pos="5670"/>
              </w:tabs>
              <w:adjustRightInd w:val="0"/>
              <w:snapToGrid w:val="0"/>
            </w:pPr>
            <w:r>
              <w:t>Le présent contrat se compose des deux composantes principales suivantes :</w:t>
            </w:r>
          </w:p>
          <w:p w14:paraId="1B134CF1">
            <w:pPr>
              <w:tabs>
                <w:tab w:val="left" w:pos="5670"/>
              </w:tabs>
              <w:adjustRightInd w:val="0"/>
              <w:snapToGrid w:val="0"/>
            </w:pPr>
            <w:r>
              <w:t xml:space="preserve">a) Travaux de réhabilitation routière : Il s’agit de la réhabilitation de la route existante reliant Thimmewi - Konsatamy Centre conformément aux exigences du Mandant, pour une longueur de chantier d’environ </w:t>
            </w:r>
            <w:r>
              <w:rPr>
                <w:rFonts w:hint="eastAsia"/>
              </w:rPr>
              <w:t>12.5</w:t>
            </w:r>
            <w:r>
              <w:t xml:space="preserve"> kilomètres.</w:t>
            </w:r>
          </w:p>
          <w:p w14:paraId="4E7B7B1D">
            <w:pPr>
              <w:tabs>
                <w:tab w:val="left" w:pos="5670"/>
              </w:tabs>
              <w:adjustRightInd w:val="0"/>
              <w:snapToGrid w:val="0"/>
            </w:pPr>
            <w:r>
              <w:t xml:space="preserve">b) Travaux de réhabilitation du terrain de football : Il s’agit de la réhabilitation complète et systématique du terrain de football situé à Konsatamy. </w:t>
            </w:r>
            <w:r>
              <w:rPr>
                <w:szCs w:val="21"/>
              </w:rPr>
              <w:t>Pour plus de détails, se reporter au Chapitre II « Exigences du Mandant ».</w:t>
            </w:r>
          </w:p>
        </w:tc>
        <w:tc>
          <w:tcPr>
            <w:tcW w:w="933" w:type="dxa"/>
            <w:vAlign w:val="center"/>
          </w:tcPr>
          <w:p w14:paraId="722EDEE6">
            <w:pPr>
              <w:adjustRightInd w:val="0"/>
              <w:snapToGrid w:val="0"/>
              <w:jc w:val="center"/>
              <w:rPr>
                <w:b/>
              </w:rPr>
            </w:pPr>
            <w:r>
              <w:rPr>
                <w:rFonts w:hint="eastAsia"/>
              </w:rPr>
              <w:t>1.3</w:t>
            </w:r>
          </w:p>
        </w:tc>
      </w:tr>
      <w:tr w14:paraId="1D2AA2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6893BAEE">
            <w:pPr>
              <w:numPr>
                <w:ilvl w:val="0"/>
                <w:numId w:val="1"/>
              </w:numPr>
              <w:adjustRightInd w:val="0"/>
              <w:snapToGrid w:val="0"/>
              <w:jc w:val="center"/>
            </w:pPr>
          </w:p>
        </w:tc>
        <w:tc>
          <w:tcPr>
            <w:tcW w:w="1681" w:type="dxa"/>
            <w:vAlign w:val="center"/>
          </w:tcPr>
          <w:p w14:paraId="06772BA9">
            <w:pPr>
              <w:adjustRightInd w:val="0"/>
              <w:snapToGrid w:val="0"/>
              <w:jc w:val="center"/>
              <w:rPr>
                <w:szCs w:val="21"/>
              </w:rPr>
            </w:pPr>
            <w:r>
              <w:rPr>
                <w:szCs w:val="21"/>
              </w:rPr>
              <w:t>计划工期</w:t>
            </w:r>
          </w:p>
          <w:p w14:paraId="24D294CA">
            <w:pPr>
              <w:adjustRightInd w:val="0"/>
              <w:snapToGrid w:val="0"/>
              <w:jc w:val="center"/>
              <w:rPr>
                <w:szCs w:val="21"/>
              </w:rPr>
            </w:pPr>
            <w:r>
              <w:rPr>
                <w:szCs w:val="21"/>
              </w:rPr>
              <w:t>Durée prévue</w:t>
            </w:r>
          </w:p>
        </w:tc>
        <w:tc>
          <w:tcPr>
            <w:tcW w:w="5903" w:type="dxa"/>
            <w:gridSpan w:val="2"/>
            <w:vAlign w:val="center"/>
          </w:tcPr>
          <w:p w14:paraId="3DA2CB2C">
            <w:pPr>
              <w:adjustRightInd w:val="0"/>
              <w:snapToGrid w:val="0"/>
              <w:rPr>
                <w:szCs w:val="21"/>
                <w:lang w:val="en-US"/>
              </w:rPr>
            </w:pPr>
            <w:r>
              <w:rPr>
                <w:szCs w:val="21"/>
              </w:rPr>
              <w:t>计划工期：</w:t>
            </w:r>
            <w:r>
              <w:rPr>
                <w:rFonts w:hint="eastAsia"/>
                <w:szCs w:val="21"/>
                <w:lang w:val="en-US"/>
              </w:rPr>
              <w:t>合同签订之后接到发包人通知之日起</w:t>
            </w:r>
            <w:r>
              <w:rPr>
                <w:rFonts w:hint="eastAsia"/>
                <w:szCs w:val="21"/>
              </w:rPr>
              <w:t>6个月</w:t>
            </w:r>
          </w:p>
          <w:p w14:paraId="29591CE5">
            <w:pPr>
              <w:adjustRightInd w:val="0"/>
              <w:snapToGrid w:val="0"/>
            </w:pPr>
            <w:r>
              <w:rPr>
                <w:rFonts w:hint="eastAsia"/>
              </w:rPr>
              <w:t>Dans un délai de 6 mois à compter de la réception de la notification de l'entrepreneur suivant la signature du contrat.</w:t>
            </w:r>
          </w:p>
        </w:tc>
        <w:tc>
          <w:tcPr>
            <w:tcW w:w="933" w:type="dxa"/>
            <w:vAlign w:val="center"/>
          </w:tcPr>
          <w:p w14:paraId="5AB642B9">
            <w:pPr>
              <w:adjustRightInd w:val="0"/>
              <w:snapToGrid w:val="0"/>
              <w:jc w:val="center"/>
              <w:rPr>
                <w:szCs w:val="21"/>
              </w:rPr>
            </w:pPr>
            <w:r>
              <w:rPr>
                <w:rFonts w:hint="eastAsia"/>
              </w:rPr>
              <w:t>1.4</w:t>
            </w:r>
          </w:p>
        </w:tc>
      </w:tr>
      <w:tr w14:paraId="4396F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07ADB1CA">
            <w:pPr>
              <w:numPr>
                <w:ilvl w:val="0"/>
                <w:numId w:val="1"/>
              </w:numPr>
              <w:adjustRightInd w:val="0"/>
              <w:snapToGrid w:val="0"/>
              <w:jc w:val="center"/>
            </w:pPr>
          </w:p>
        </w:tc>
        <w:tc>
          <w:tcPr>
            <w:tcW w:w="1681" w:type="dxa"/>
            <w:vAlign w:val="center"/>
          </w:tcPr>
          <w:p w14:paraId="2D8A47CF">
            <w:pPr>
              <w:adjustRightInd w:val="0"/>
              <w:snapToGrid w:val="0"/>
              <w:jc w:val="center"/>
            </w:pPr>
            <w:r>
              <w:rPr>
                <w:rFonts w:hint="eastAsia"/>
              </w:rPr>
              <w:t>质量标准</w:t>
            </w:r>
          </w:p>
          <w:p w14:paraId="2CF1973C">
            <w:pPr>
              <w:adjustRightInd w:val="0"/>
              <w:snapToGrid w:val="0"/>
              <w:jc w:val="center"/>
            </w:pPr>
            <w:r>
              <w:t>Standard de qualité</w:t>
            </w:r>
          </w:p>
        </w:tc>
        <w:tc>
          <w:tcPr>
            <w:tcW w:w="5903" w:type="dxa"/>
            <w:gridSpan w:val="2"/>
            <w:vAlign w:val="center"/>
          </w:tcPr>
          <w:p w14:paraId="4B4393C4">
            <w:pPr>
              <w:tabs>
                <w:tab w:val="left" w:pos="5670"/>
              </w:tabs>
              <w:adjustRightInd w:val="0"/>
              <w:snapToGrid w:val="0"/>
              <w:rPr>
                <w:szCs w:val="21"/>
              </w:rPr>
            </w:pPr>
            <w:r>
              <w:rPr>
                <w:szCs w:val="21"/>
              </w:rPr>
              <w:t>本项目旨在通过系统修缮以满足社区正常出行与活动需求，具体工作包括：对道路路面面层及沿线排水沟进行修整与修缮，以及对足球</w:t>
            </w:r>
            <w:r>
              <w:rPr>
                <w:rFonts w:hint="eastAsia"/>
                <w:szCs w:val="21"/>
              </w:rPr>
              <w:t>场地及附属设施</w:t>
            </w:r>
            <w:r>
              <w:rPr>
                <w:szCs w:val="21"/>
              </w:rPr>
              <w:t>进行整体</w:t>
            </w:r>
            <w:r>
              <w:rPr>
                <w:rFonts w:hint="eastAsia"/>
                <w:szCs w:val="21"/>
              </w:rPr>
              <w:t>修复</w:t>
            </w:r>
            <w:r>
              <w:rPr>
                <w:szCs w:val="21"/>
              </w:rPr>
              <w:t>。</w:t>
            </w:r>
            <w:r>
              <w:rPr>
                <w:rFonts w:hint="eastAsia"/>
                <w:szCs w:val="21"/>
              </w:rPr>
              <w:t>详</w:t>
            </w:r>
            <w:r>
              <w:rPr>
                <w:szCs w:val="21"/>
              </w:rPr>
              <w:t>见第</w:t>
            </w:r>
            <w:r>
              <w:rPr>
                <w:rFonts w:hint="eastAsia"/>
                <w:szCs w:val="21"/>
              </w:rPr>
              <w:t>二</w:t>
            </w:r>
            <w:r>
              <w:rPr>
                <w:szCs w:val="21"/>
              </w:rPr>
              <w:t>章</w:t>
            </w:r>
            <w:r>
              <w:rPr>
                <w:rFonts w:hint="eastAsia"/>
                <w:szCs w:val="21"/>
              </w:rPr>
              <w:t>委托人要求。</w:t>
            </w:r>
          </w:p>
          <w:p w14:paraId="7A889E2A">
            <w:pPr>
              <w:adjustRightInd w:val="0"/>
              <w:snapToGrid w:val="0"/>
            </w:pPr>
            <w:r>
              <w:rPr>
                <w:szCs w:val="21"/>
              </w:rPr>
              <w:t xml:space="preserve">Le présent projet vise à répondre aux besoins de déplacement et d’activités de la communauté par une réhabilitation systématique. Les travaux comprennent : la réhabilitation de la </w:t>
            </w:r>
            <w:r>
              <w:rPr>
                <w:rFonts w:hint="eastAsia"/>
                <w:szCs w:val="21"/>
              </w:rPr>
              <w:t>route</w:t>
            </w:r>
            <w:r>
              <w:rPr>
                <w:szCs w:val="21"/>
              </w:rPr>
              <w:t xml:space="preserve"> et des caniveaux bordiers des routes, ainsi que la réhabilitation complète des aires de jeu et des équipements annexes du terrain de football. Pour plus de détails, se reporter au Chapitre II « Exigences du Mandant ».</w:t>
            </w:r>
          </w:p>
        </w:tc>
        <w:tc>
          <w:tcPr>
            <w:tcW w:w="933" w:type="dxa"/>
            <w:vAlign w:val="center"/>
          </w:tcPr>
          <w:p w14:paraId="6628BAE6">
            <w:pPr>
              <w:adjustRightInd w:val="0"/>
              <w:snapToGrid w:val="0"/>
              <w:jc w:val="center"/>
              <w:rPr>
                <w:szCs w:val="21"/>
              </w:rPr>
            </w:pPr>
            <w:r>
              <w:rPr>
                <w:rFonts w:hint="eastAsia"/>
              </w:rPr>
              <w:t>1.5</w:t>
            </w:r>
          </w:p>
        </w:tc>
      </w:tr>
      <w:tr w14:paraId="3462D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01" w:type="dxa"/>
            <w:vAlign w:val="center"/>
          </w:tcPr>
          <w:p w14:paraId="1280FE9F">
            <w:pPr>
              <w:numPr>
                <w:ilvl w:val="0"/>
                <w:numId w:val="1"/>
              </w:numPr>
              <w:adjustRightInd w:val="0"/>
              <w:snapToGrid w:val="0"/>
              <w:jc w:val="center"/>
            </w:pPr>
          </w:p>
        </w:tc>
        <w:tc>
          <w:tcPr>
            <w:tcW w:w="1681" w:type="dxa"/>
            <w:vAlign w:val="center"/>
          </w:tcPr>
          <w:p w14:paraId="79B4C657">
            <w:pPr>
              <w:adjustRightInd w:val="0"/>
              <w:snapToGrid w:val="0"/>
              <w:jc w:val="center"/>
            </w:pPr>
            <w:r>
              <w:rPr>
                <w:rFonts w:hint="eastAsia"/>
              </w:rPr>
              <w:t>报价方式</w:t>
            </w:r>
          </w:p>
          <w:p w14:paraId="2729FABB">
            <w:pPr>
              <w:adjustRightInd w:val="0"/>
              <w:snapToGrid w:val="0"/>
              <w:jc w:val="center"/>
            </w:pPr>
            <w:r>
              <w:t>Méthode de soumission</w:t>
            </w:r>
          </w:p>
        </w:tc>
        <w:tc>
          <w:tcPr>
            <w:tcW w:w="5903" w:type="dxa"/>
            <w:gridSpan w:val="2"/>
            <w:vAlign w:val="center"/>
          </w:tcPr>
          <w:p w14:paraId="1084ACFB">
            <w:pPr>
              <w:adjustRightInd w:val="0"/>
              <w:snapToGrid w:val="0"/>
              <w:rPr>
                <w:szCs w:val="21"/>
              </w:rPr>
            </w:pPr>
            <w:r>
              <w:rPr>
                <w:rFonts w:hint="eastAsia"/>
                <w:szCs w:val="21"/>
              </w:rPr>
              <w:t>固定</w:t>
            </w:r>
            <w:r>
              <w:rPr>
                <w:rFonts w:hint="eastAsia" w:cs="宋体"/>
                <w:kern w:val="0"/>
                <w:szCs w:val="21"/>
              </w:rPr>
              <w:t>总价</w:t>
            </w:r>
            <w:r>
              <w:rPr>
                <w:rFonts w:hint="eastAsia"/>
                <w:szCs w:val="21"/>
              </w:rPr>
              <w:t xml:space="preserve"> prix forfaitaire global fixe</w:t>
            </w:r>
          </w:p>
        </w:tc>
        <w:tc>
          <w:tcPr>
            <w:tcW w:w="933" w:type="dxa"/>
            <w:vAlign w:val="center"/>
          </w:tcPr>
          <w:p w14:paraId="4CECD2E1">
            <w:pPr>
              <w:adjustRightInd w:val="0"/>
              <w:snapToGrid w:val="0"/>
              <w:jc w:val="center"/>
            </w:pPr>
            <w:r>
              <w:rPr>
                <w:rFonts w:hint="eastAsia"/>
              </w:rPr>
              <w:t>1.6</w:t>
            </w:r>
          </w:p>
        </w:tc>
      </w:tr>
      <w:tr w14:paraId="60E8E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01" w:type="dxa"/>
            <w:vAlign w:val="center"/>
          </w:tcPr>
          <w:p w14:paraId="4EC5577D">
            <w:pPr>
              <w:numPr>
                <w:ilvl w:val="0"/>
                <w:numId w:val="1"/>
              </w:numPr>
              <w:adjustRightInd w:val="0"/>
              <w:snapToGrid w:val="0"/>
              <w:jc w:val="center"/>
            </w:pPr>
          </w:p>
        </w:tc>
        <w:tc>
          <w:tcPr>
            <w:tcW w:w="1681" w:type="dxa"/>
            <w:vAlign w:val="center"/>
          </w:tcPr>
          <w:p w14:paraId="03BA43BC">
            <w:pPr>
              <w:adjustRightInd w:val="0"/>
              <w:snapToGrid w:val="0"/>
              <w:jc w:val="center"/>
            </w:pPr>
            <w:r>
              <w:rPr>
                <w:rFonts w:hint="eastAsia"/>
              </w:rPr>
              <w:t>付款方式</w:t>
            </w:r>
          </w:p>
          <w:p w14:paraId="1BC5374D">
            <w:pPr>
              <w:adjustRightInd w:val="0"/>
              <w:snapToGrid w:val="0"/>
              <w:jc w:val="center"/>
            </w:pPr>
            <w:r>
              <w:rPr>
                <w:rFonts w:hint="eastAsia"/>
              </w:rPr>
              <w:t>Mode de paiement</w:t>
            </w:r>
          </w:p>
        </w:tc>
        <w:tc>
          <w:tcPr>
            <w:tcW w:w="5903" w:type="dxa"/>
            <w:gridSpan w:val="2"/>
            <w:vAlign w:val="center"/>
          </w:tcPr>
          <w:p w14:paraId="77E73AB1">
            <w:pPr>
              <w:tabs>
                <w:tab w:val="left" w:pos="5670"/>
              </w:tabs>
              <w:adjustRightInd w:val="0"/>
              <w:snapToGrid w:val="0"/>
              <w:rPr>
                <w:szCs w:val="21"/>
              </w:rPr>
            </w:pPr>
            <w:r>
              <w:rPr>
                <w:rFonts w:hint="eastAsia"/>
                <w:szCs w:val="21"/>
              </w:rPr>
              <w:t>付款与质保条款</w:t>
            </w:r>
          </w:p>
          <w:p w14:paraId="7CC3A191">
            <w:pPr>
              <w:tabs>
                <w:tab w:val="left" w:pos="5670"/>
              </w:tabs>
              <w:adjustRightInd w:val="0"/>
              <w:snapToGrid w:val="0"/>
              <w:rPr>
                <w:szCs w:val="21"/>
              </w:rPr>
            </w:pPr>
            <w:r>
              <w:rPr>
                <w:rFonts w:hint="eastAsia"/>
                <w:szCs w:val="21"/>
                <w:lang w:val="en-US"/>
              </w:rPr>
              <w:t>1</w:t>
            </w:r>
            <w:r>
              <w:rPr>
                <w:rFonts w:hint="eastAsia"/>
                <w:szCs w:val="21"/>
              </w:rPr>
              <w:t>. 进度款支付</w:t>
            </w:r>
          </w:p>
          <w:p w14:paraId="781A2EE2">
            <w:pPr>
              <w:tabs>
                <w:tab w:val="left" w:pos="5670"/>
              </w:tabs>
              <w:adjustRightInd w:val="0"/>
              <w:snapToGrid w:val="0"/>
              <w:rPr>
                <w:szCs w:val="21"/>
                <w:lang w:val="en-US"/>
              </w:rPr>
            </w:pPr>
            <w:r>
              <w:rPr>
                <w:rFonts w:hint="eastAsia"/>
                <w:szCs w:val="21"/>
              </w:rPr>
              <w:t>采购人每月按双方书面确认的已完成合格工程量进度支付进度款。响应人须在每月25日前提交付款申请，采购人应在收到完整申请后30天内完成支付。</w:t>
            </w:r>
          </w:p>
          <w:p w14:paraId="1F859402">
            <w:pPr>
              <w:tabs>
                <w:tab w:val="left" w:pos="5670"/>
              </w:tabs>
              <w:adjustRightInd w:val="0"/>
              <w:snapToGrid w:val="0"/>
              <w:rPr>
                <w:szCs w:val="21"/>
              </w:rPr>
            </w:pPr>
            <w:r>
              <w:rPr>
                <w:rFonts w:hint="eastAsia"/>
                <w:szCs w:val="21"/>
                <w:lang w:val="en-US"/>
              </w:rPr>
              <w:t>2</w:t>
            </w:r>
            <w:r>
              <w:rPr>
                <w:rFonts w:hint="eastAsia"/>
                <w:szCs w:val="21"/>
              </w:rPr>
              <w:t>. 质保金</w:t>
            </w:r>
          </w:p>
          <w:p w14:paraId="628BC699">
            <w:pPr>
              <w:tabs>
                <w:tab w:val="left" w:pos="5670"/>
              </w:tabs>
              <w:adjustRightInd w:val="0"/>
              <w:snapToGrid w:val="0"/>
              <w:rPr>
                <w:szCs w:val="21"/>
              </w:rPr>
            </w:pPr>
            <w:r>
              <w:rPr>
                <w:rFonts w:hint="eastAsia"/>
                <w:szCs w:val="21"/>
              </w:rPr>
              <w:t>合同结算总价的 3% 将作为质量保证金。在相应工程质保期满且无未解决的质量问题后 10个工作日内，由采购人一次性付清。</w:t>
            </w:r>
          </w:p>
          <w:p w14:paraId="274ECC6D">
            <w:pPr>
              <w:tabs>
                <w:tab w:val="left" w:pos="5670"/>
              </w:tabs>
              <w:adjustRightInd w:val="0"/>
              <w:snapToGrid w:val="0"/>
              <w:rPr>
                <w:szCs w:val="21"/>
              </w:rPr>
            </w:pPr>
            <w:r>
              <w:rPr>
                <w:rFonts w:hint="eastAsia"/>
                <w:szCs w:val="21"/>
                <w:lang w:val="en-US"/>
              </w:rPr>
              <w:t>3</w:t>
            </w:r>
            <w:r>
              <w:rPr>
                <w:rFonts w:hint="eastAsia"/>
                <w:szCs w:val="21"/>
              </w:rPr>
              <w:t>. 质保期：1年</w:t>
            </w:r>
            <w:r>
              <w:rPr>
                <w:rStyle w:val="44"/>
                <w:rFonts w:hint="eastAsia"/>
                <w:sz w:val="21"/>
                <w:szCs w:val="21"/>
              </w:rPr>
              <w:t>。</w:t>
            </w:r>
            <w:r>
              <w:rPr>
                <w:rFonts w:hint="eastAsia"/>
                <w:szCs w:val="21"/>
              </w:rPr>
              <w:t>质保期均自项目取得专区政府颁发的最终验收证书之日起计算。</w:t>
            </w:r>
          </w:p>
          <w:p w14:paraId="15053A35">
            <w:pPr>
              <w:tabs>
                <w:tab w:val="left" w:pos="5670"/>
              </w:tabs>
              <w:adjustRightInd w:val="0"/>
              <w:snapToGrid w:val="0"/>
              <w:rPr>
                <w:szCs w:val="21"/>
              </w:rPr>
            </w:pPr>
            <w:r>
              <w:rPr>
                <w:szCs w:val="21"/>
              </w:rPr>
              <w:t>Modalités de Paiement et Garantie</w:t>
            </w:r>
          </w:p>
          <w:p w14:paraId="0496B71C">
            <w:pPr>
              <w:tabs>
                <w:tab w:val="left" w:pos="5670"/>
              </w:tabs>
              <w:adjustRightInd w:val="0"/>
              <w:snapToGrid w:val="0"/>
              <w:rPr>
                <w:szCs w:val="21"/>
              </w:rPr>
            </w:pPr>
            <w:r>
              <w:rPr>
                <w:rFonts w:hint="eastAsia"/>
                <w:szCs w:val="21"/>
                <w:lang w:val="en-US"/>
              </w:rPr>
              <w:t>1</w:t>
            </w:r>
            <w:r>
              <w:rPr>
                <w:szCs w:val="21"/>
              </w:rPr>
              <w:t>. Paiements d’Acompte</w:t>
            </w:r>
            <w:r>
              <w:rPr>
                <w:szCs w:val="21"/>
              </w:rPr>
              <w:br w:type="textWrapping"/>
            </w:r>
            <w:r>
              <w:rPr>
                <w:szCs w:val="21"/>
              </w:rPr>
              <w:t>L’Acheteur effectuera des paiements mensuels basés sur la quantité de travaux exécutés et conformes, dûment certifiée par les deux parties. Le Soumissionnaire doit soumettre sa demande de paiement avant le 25 de chaque mois. Le paiement sera effectué par l’Acheteur dans un délai de trente (30) jours après réception d’une demande complète et valide.</w:t>
            </w:r>
          </w:p>
          <w:p w14:paraId="24FB54F6">
            <w:pPr>
              <w:tabs>
                <w:tab w:val="left" w:pos="5670"/>
              </w:tabs>
              <w:adjustRightInd w:val="0"/>
              <w:snapToGrid w:val="0"/>
              <w:rPr>
                <w:szCs w:val="21"/>
              </w:rPr>
            </w:pPr>
            <w:r>
              <w:rPr>
                <w:rFonts w:hint="eastAsia"/>
                <w:szCs w:val="21"/>
                <w:lang w:val="en-US"/>
              </w:rPr>
              <w:t>2</w:t>
            </w:r>
            <w:r>
              <w:rPr>
                <w:szCs w:val="21"/>
              </w:rPr>
              <w:t>. Rétention de Garantie</w:t>
            </w:r>
            <w:r>
              <w:rPr>
                <w:szCs w:val="21"/>
              </w:rPr>
              <w:br w:type="textWrapping"/>
            </w:r>
            <w:r>
              <w:rPr>
                <w:szCs w:val="21"/>
              </w:rPr>
              <w:t>Trois pour cent (3%) du montant total de la facturation finale sera retenu à titre de garantie de bon fonctionnement. Cette somme sera libérée intégralement par l’Acheteur dans un délai de dix (10) jours ouvrables après l’expiration de la période de garantie concernée, et à condition qu’aucun défaut de qualité imputable au Soumissionnaire ne reste à corriger.</w:t>
            </w:r>
          </w:p>
          <w:p w14:paraId="58F72626">
            <w:pPr>
              <w:tabs>
                <w:tab w:val="left" w:pos="5670"/>
              </w:tabs>
              <w:adjustRightInd w:val="0"/>
              <w:snapToGrid w:val="0"/>
              <w:rPr>
                <w:szCs w:val="21"/>
              </w:rPr>
            </w:pPr>
            <w:r>
              <w:rPr>
                <w:rFonts w:hint="eastAsia"/>
                <w:szCs w:val="21"/>
                <w:lang w:val="en-US"/>
              </w:rPr>
              <w:t>3</w:t>
            </w:r>
            <w:r>
              <w:rPr>
                <w:szCs w:val="21"/>
              </w:rPr>
              <w:t>. Durée de la Garantie</w:t>
            </w:r>
            <w:r>
              <w:rPr>
                <w:rFonts w:hint="eastAsia"/>
                <w:szCs w:val="21"/>
              </w:rPr>
              <w:t>：</w:t>
            </w:r>
            <w:r>
              <w:rPr>
                <w:szCs w:val="21"/>
              </w:rPr>
              <w:t>Un (1) an</w:t>
            </w:r>
            <w:r>
              <w:rPr>
                <w:rFonts w:hint="eastAsia"/>
                <w:szCs w:val="21"/>
              </w:rPr>
              <w:t>.</w:t>
            </w:r>
            <w:r>
              <w:rPr>
                <w:rFonts w:hint="eastAsia"/>
                <w:szCs w:val="21"/>
                <w:lang w:val="en-US"/>
              </w:rPr>
              <w:t>.</w:t>
            </w:r>
            <w:r>
              <w:rPr>
                <w:szCs w:val="21"/>
              </w:rPr>
              <w:t>La période de garantie prend cours à compter de la date de délivrance du Procès-Verbal de Réception Définitive par la Préfecture concernée.</w:t>
            </w:r>
          </w:p>
        </w:tc>
        <w:tc>
          <w:tcPr>
            <w:tcW w:w="933" w:type="dxa"/>
            <w:vAlign w:val="center"/>
          </w:tcPr>
          <w:p w14:paraId="1C7F7645">
            <w:pPr>
              <w:adjustRightInd w:val="0"/>
              <w:snapToGrid w:val="0"/>
              <w:jc w:val="center"/>
              <w:rPr>
                <w:rFonts w:cs="宋体"/>
                <w:bCs/>
                <w:szCs w:val="24"/>
              </w:rPr>
            </w:pPr>
            <w:r>
              <w:rPr>
                <w:rFonts w:hint="eastAsia"/>
              </w:rPr>
              <w:t>1.7</w:t>
            </w:r>
          </w:p>
        </w:tc>
      </w:tr>
      <w:tr w14:paraId="2C36E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632DC2A8">
            <w:pPr>
              <w:numPr>
                <w:ilvl w:val="0"/>
                <w:numId w:val="1"/>
              </w:numPr>
              <w:adjustRightInd w:val="0"/>
              <w:snapToGrid w:val="0"/>
              <w:jc w:val="center"/>
            </w:pPr>
          </w:p>
        </w:tc>
        <w:tc>
          <w:tcPr>
            <w:tcW w:w="1681" w:type="dxa"/>
            <w:vAlign w:val="center"/>
          </w:tcPr>
          <w:p w14:paraId="6D919147">
            <w:pPr>
              <w:adjustRightInd w:val="0"/>
              <w:snapToGrid w:val="0"/>
              <w:jc w:val="center"/>
            </w:pPr>
            <w:r>
              <w:rPr>
                <w:rFonts w:hint="eastAsia"/>
              </w:rPr>
              <w:t>评审办法</w:t>
            </w:r>
          </w:p>
          <w:p w14:paraId="047F405D">
            <w:pPr>
              <w:adjustRightInd w:val="0"/>
              <w:snapToGrid w:val="0"/>
              <w:jc w:val="center"/>
            </w:pPr>
            <w:r>
              <w:rPr>
                <w:rFonts w:hint="eastAsia"/>
              </w:rPr>
              <w:t>Méthode d</w:t>
            </w:r>
            <w:r>
              <w:t>’</w:t>
            </w:r>
            <w:r>
              <w:rPr>
                <w:rFonts w:hint="eastAsia"/>
              </w:rPr>
              <w:t>évaluation</w:t>
            </w:r>
          </w:p>
        </w:tc>
        <w:tc>
          <w:tcPr>
            <w:tcW w:w="5903" w:type="dxa"/>
            <w:gridSpan w:val="2"/>
            <w:vAlign w:val="center"/>
          </w:tcPr>
          <w:p w14:paraId="20D4F519">
            <w:pPr>
              <w:adjustRightInd w:val="0"/>
              <w:snapToGrid w:val="0"/>
            </w:pPr>
            <w:r>
              <w:rPr>
                <w:rFonts w:hint="eastAsia"/>
              </w:rPr>
              <w:t>经评审的最低价法/</w:t>
            </w:r>
            <w:r>
              <w:t>Méthode du prix le plus bas évalué</w:t>
            </w:r>
          </w:p>
        </w:tc>
        <w:tc>
          <w:tcPr>
            <w:tcW w:w="933" w:type="dxa"/>
            <w:vAlign w:val="center"/>
          </w:tcPr>
          <w:p w14:paraId="24CB743C">
            <w:pPr>
              <w:adjustRightInd w:val="0"/>
              <w:snapToGrid w:val="0"/>
              <w:jc w:val="center"/>
            </w:pPr>
            <w:r>
              <w:rPr>
                <w:rFonts w:hint="eastAsia"/>
              </w:rPr>
              <w:t>3.4</w:t>
            </w:r>
          </w:p>
        </w:tc>
      </w:tr>
      <w:tr w14:paraId="5B1141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901" w:type="dxa"/>
            <w:vMerge w:val="restart"/>
            <w:vAlign w:val="center"/>
          </w:tcPr>
          <w:p w14:paraId="510D942B">
            <w:pPr>
              <w:numPr>
                <w:ilvl w:val="0"/>
                <w:numId w:val="1"/>
              </w:numPr>
              <w:adjustRightInd w:val="0"/>
              <w:snapToGrid w:val="0"/>
              <w:jc w:val="center"/>
            </w:pPr>
          </w:p>
        </w:tc>
        <w:tc>
          <w:tcPr>
            <w:tcW w:w="1681" w:type="dxa"/>
            <w:vMerge w:val="restart"/>
            <w:vAlign w:val="center"/>
          </w:tcPr>
          <w:p w14:paraId="10FA0739">
            <w:pPr>
              <w:adjustRightInd w:val="0"/>
              <w:snapToGrid w:val="0"/>
              <w:jc w:val="center"/>
            </w:pPr>
            <w:r>
              <w:rPr>
                <w:rFonts w:hint="eastAsia"/>
              </w:rPr>
              <w:t>响应人</w:t>
            </w:r>
            <w:r>
              <w:t>资质条件、能力和信誉</w:t>
            </w:r>
          </w:p>
          <w:p w14:paraId="62F3C1C3">
            <w:pPr>
              <w:adjustRightInd w:val="0"/>
              <w:snapToGrid w:val="0"/>
              <w:jc w:val="center"/>
            </w:pPr>
            <w:r>
              <w:rPr>
                <w:rFonts w:hint="eastAsia"/>
              </w:rPr>
              <w:t>Conditions de qualification, capacité et réputation du soumissionnaire</w:t>
            </w:r>
          </w:p>
        </w:tc>
        <w:tc>
          <w:tcPr>
            <w:tcW w:w="1278" w:type="dxa"/>
            <w:vAlign w:val="center"/>
          </w:tcPr>
          <w:p w14:paraId="3C5D4E8D">
            <w:pPr>
              <w:adjustRightInd w:val="0"/>
              <w:snapToGrid w:val="0"/>
              <w:jc w:val="center"/>
            </w:pPr>
            <w:r>
              <w:t>资质</w:t>
            </w:r>
            <w:r>
              <w:rPr>
                <w:rFonts w:hint="eastAsia"/>
              </w:rPr>
              <w:t>要求</w:t>
            </w:r>
          </w:p>
          <w:p w14:paraId="629B4299">
            <w:pPr>
              <w:adjustRightInd w:val="0"/>
              <w:snapToGrid w:val="0"/>
              <w:jc w:val="center"/>
            </w:pPr>
            <w:r>
              <w:rPr>
                <w:rFonts w:hint="eastAsia"/>
              </w:rPr>
              <w:t>Exigences de qualification</w:t>
            </w:r>
            <w:r>
              <w:rPr>
                <w:rFonts w:hint="eastAsia"/>
              </w:rPr>
              <w:tab/>
            </w:r>
          </w:p>
        </w:tc>
        <w:tc>
          <w:tcPr>
            <w:tcW w:w="4625" w:type="dxa"/>
            <w:vAlign w:val="center"/>
          </w:tcPr>
          <w:p w14:paraId="7956DD71">
            <w:pPr>
              <w:adjustRightInd w:val="0"/>
              <w:snapToGrid w:val="0"/>
              <w:rPr>
                <w:lang w:val="en-US"/>
              </w:rPr>
            </w:pPr>
            <w:r>
              <w:rPr>
                <w:rFonts w:hint="eastAsia"/>
                <w:lang w:val="en-US"/>
              </w:rPr>
              <w:t>1.具有独立订立合同的资格；</w:t>
            </w:r>
          </w:p>
          <w:p w14:paraId="147A2D8B">
            <w:pPr>
              <w:adjustRightInd w:val="0"/>
              <w:snapToGrid w:val="0"/>
              <w:rPr>
                <w:lang w:val="en-US"/>
              </w:rPr>
            </w:pPr>
            <w:r>
              <w:rPr>
                <w:rFonts w:hint="eastAsia"/>
                <w:lang w:val="en-US"/>
              </w:rPr>
              <w:t>Avoir la qualification pour conclure des contrats de manière indépendante ;</w:t>
            </w:r>
          </w:p>
          <w:p w14:paraId="2E31D9C8">
            <w:pPr>
              <w:adjustRightInd w:val="0"/>
              <w:snapToGrid w:val="0"/>
              <w:rPr>
                <w:lang w:val="en-US"/>
              </w:rPr>
            </w:pPr>
            <w:r>
              <w:rPr>
                <w:rFonts w:hint="eastAsia"/>
                <w:lang w:val="en-US"/>
              </w:rPr>
              <w:t>2.在中国注册的公司，投标人应具有国家行政主管部门颁发的市政公用工程或公路工程施工总承包三级及以上资质；几内亚注册的企业营业执照需包含道路或公共工程或市政设施等工作范围（提供营业执照复印件）。</w:t>
            </w:r>
          </w:p>
          <w:p w14:paraId="497C8E8B">
            <w:pPr>
              <w:adjustRightInd w:val="0"/>
              <w:snapToGrid w:val="0"/>
              <w:rPr>
                <w:lang w:val="en-US"/>
              </w:rPr>
            </w:pPr>
            <w:r>
              <w:rPr>
                <w:rFonts w:hint="eastAsia"/>
                <w:lang w:val="en-US"/>
              </w:rPr>
              <w:t>Pour les entreprises enregistrées en Chine, les soumissionnaires doivent posséder une qualification de niveau 3 ou supérieur en ingénierie générale des travaux de génie civil municipal ou routier, délivrée par les autorités administratives nationales compétentes. Pour les entreprises enregistrées en Guinée, leur licence commerciale doit inclure les activités liées aux travaux routiers, aux travaux publics ou aux infrastructures municipales (joindre une copie de la licence commerciale).</w:t>
            </w:r>
          </w:p>
          <w:p w14:paraId="4A754FE0">
            <w:pPr>
              <w:adjustRightInd w:val="0"/>
              <w:snapToGrid w:val="0"/>
              <w:rPr>
                <w:rFonts w:ascii="宋体" w:hAnsi="宋体"/>
                <w:szCs w:val="21"/>
              </w:rPr>
            </w:pPr>
            <w:r>
              <w:rPr>
                <w:rFonts w:hint="eastAsia"/>
                <w:lang w:val="en-US"/>
              </w:rPr>
              <w:t>3.</w:t>
            </w:r>
            <w:r>
              <w:rPr>
                <w:rFonts w:hint="eastAsia" w:ascii="宋体" w:hAnsi="宋体"/>
                <w:szCs w:val="21"/>
              </w:rPr>
              <w:t>投标人若为中国注册的公司，应承诺在中标后2个月内，需</w:t>
            </w:r>
            <w:r>
              <w:rPr>
                <w:rFonts w:hint="eastAsia" w:ascii="宋体" w:hAnsi="宋体"/>
                <w:szCs w:val="21"/>
                <w:lang w:val="en-US"/>
              </w:rPr>
              <w:t>在</w:t>
            </w:r>
            <w:r>
              <w:rPr>
                <w:rFonts w:hint="eastAsia" w:ascii="宋体" w:hAnsi="宋体"/>
                <w:szCs w:val="21"/>
              </w:rPr>
              <w:t>几内亚注册成立</w:t>
            </w:r>
            <w:r>
              <w:rPr>
                <w:rFonts w:hint="eastAsia" w:ascii="宋体" w:hAnsi="宋体"/>
                <w:szCs w:val="21"/>
                <w:lang w:val="en-US"/>
              </w:rPr>
              <w:t>具有增值税税号的</w:t>
            </w:r>
            <w:r>
              <w:rPr>
                <w:rFonts w:hint="eastAsia" w:ascii="宋体" w:hAnsi="宋体"/>
                <w:szCs w:val="21"/>
              </w:rPr>
              <w:t>合法分支机构，项目单位可在中标人授权下，与该分支机构签合同。</w:t>
            </w:r>
          </w:p>
          <w:p w14:paraId="11861500">
            <w:pPr>
              <w:adjustRightInd w:val="0"/>
              <w:snapToGrid w:val="0"/>
              <w:rPr>
                <w:szCs w:val="22"/>
              </w:rPr>
            </w:pPr>
            <w:r>
              <w:rPr>
                <w:rFonts w:hint="eastAsia"/>
                <w:shd w:val="clear" w:color="auto" w:fill="FFFFFF"/>
              </w:rPr>
              <w:t>Si le soumissionnaire est une société inscrite en Chine, il doit s'engager à créer, dans un délai de deux mois après l'attribution du marché, une succursale légale en Guinée disposant d'un numéro de TVA. L'entité contractante pourra signer le contrat avec cette succursale, sous réserve de l'autorisation du soumissionnaire retenu.</w:t>
            </w:r>
          </w:p>
        </w:tc>
        <w:tc>
          <w:tcPr>
            <w:tcW w:w="933" w:type="dxa"/>
            <w:vMerge w:val="restart"/>
            <w:vAlign w:val="center"/>
          </w:tcPr>
          <w:p w14:paraId="5FE0658F">
            <w:pPr>
              <w:adjustRightInd w:val="0"/>
              <w:snapToGrid w:val="0"/>
              <w:jc w:val="center"/>
            </w:pPr>
          </w:p>
          <w:p w14:paraId="3EA50082">
            <w:pPr>
              <w:adjustRightInd w:val="0"/>
              <w:snapToGrid w:val="0"/>
              <w:jc w:val="center"/>
              <w:rPr>
                <w:b/>
              </w:rPr>
            </w:pPr>
            <w:r>
              <w:t>1.</w:t>
            </w:r>
            <w:r>
              <w:rPr>
                <w:rFonts w:hint="eastAsia"/>
              </w:rPr>
              <w:t>8</w:t>
            </w:r>
          </w:p>
        </w:tc>
      </w:tr>
      <w:tr w14:paraId="68010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01" w:type="dxa"/>
            <w:vMerge w:val="continue"/>
            <w:vAlign w:val="center"/>
          </w:tcPr>
          <w:p w14:paraId="4013A037">
            <w:pPr>
              <w:adjustRightInd w:val="0"/>
              <w:snapToGrid w:val="0"/>
              <w:jc w:val="center"/>
            </w:pPr>
          </w:p>
        </w:tc>
        <w:tc>
          <w:tcPr>
            <w:tcW w:w="1681" w:type="dxa"/>
            <w:vMerge w:val="continue"/>
            <w:vAlign w:val="center"/>
          </w:tcPr>
          <w:p w14:paraId="4BF62C6E">
            <w:pPr>
              <w:adjustRightInd w:val="0"/>
              <w:snapToGrid w:val="0"/>
              <w:jc w:val="left"/>
            </w:pPr>
          </w:p>
        </w:tc>
        <w:tc>
          <w:tcPr>
            <w:tcW w:w="1278" w:type="dxa"/>
            <w:vAlign w:val="center"/>
          </w:tcPr>
          <w:p w14:paraId="3E13589E">
            <w:pPr>
              <w:adjustRightInd w:val="0"/>
              <w:snapToGrid w:val="0"/>
              <w:jc w:val="center"/>
            </w:pPr>
            <w:r>
              <w:t>业绩要求</w:t>
            </w:r>
          </w:p>
          <w:p w14:paraId="073B8B61">
            <w:pPr>
              <w:adjustRightInd w:val="0"/>
              <w:snapToGrid w:val="0"/>
              <w:jc w:val="center"/>
            </w:pPr>
            <w:r>
              <w:rPr>
                <w:rFonts w:hint="eastAsia"/>
              </w:rPr>
              <w:t>Exigences de performance</w:t>
            </w:r>
          </w:p>
        </w:tc>
        <w:tc>
          <w:tcPr>
            <w:tcW w:w="4625" w:type="dxa"/>
            <w:vAlign w:val="center"/>
          </w:tcPr>
          <w:p w14:paraId="125EC3E2">
            <w:r>
              <w:rPr>
                <w:rFonts w:hint="eastAsia"/>
              </w:rPr>
              <w:t>响应人具有</w:t>
            </w:r>
            <w:r>
              <w:rPr>
                <w:rFonts w:hint="eastAsia"/>
                <w:u w:val="single"/>
              </w:rPr>
              <w:t>2</w:t>
            </w:r>
            <w:r>
              <w:rPr>
                <w:u w:val="single"/>
              </w:rPr>
              <w:t>0</w:t>
            </w:r>
            <w:r>
              <w:rPr>
                <w:rFonts w:hint="eastAsia"/>
                <w:u w:val="single"/>
              </w:rPr>
              <w:t>23</w:t>
            </w:r>
            <w:r>
              <w:rPr>
                <w:rFonts w:hint="eastAsia"/>
              </w:rPr>
              <w:t>年</w:t>
            </w:r>
            <w:r>
              <w:rPr>
                <w:rFonts w:hint="eastAsia"/>
                <w:u w:val="single"/>
                <w:lang w:val="en-US"/>
              </w:rPr>
              <w:t>2</w:t>
            </w:r>
            <w:r>
              <w:rPr>
                <w:rFonts w:hint="eastAsia"/>
              </w:rPr>
              <w:t>月至</w:t>
            </w:r>
            <w:r>
              <w:rPr>
                <w:u w:val="single"/>
              </w:rPr>
              <w:t>202</w:t>
            </w:r>
            <w:r>
              <w:rPr>
                <w:rFonts w:hint="eastAsia"/>
                <w:u w:val="single"/>
              </w:rPr>
              <w:t>6</w:t>
            </w:r>
            <w:r>
              <w:rPr>
                <w:rFonts w:hint="eastAsia"/>
              </w:rPr>
              <w:t>年</w:t>
            </w:r>
            <w:r>
              <w:rPr>
                <w:rFonts w:hint="eastAsia"/>
                <w:u w:val="single"/>
                <w:lang w:val="en-US"/>
              </w:rPr>
              <w:t>2</w:t>
            </w:r>
            <w:r>
              <w:rPr>
                <w:rFonts w:hint="eastAsia"/>
              </w:rPr>
              <w:t>月</w:t>
            </w:r>
            <w:r>
              <w:rPr>
                <w:rFonts w:hint="eastAsia"/>
                <w:lang w:val="en-US"/>
              </w:rPr>
              <w:t>至少1个</w:t>
            </w:r>
            <w:r>
              <w:rPr>
                <w:rFonts w:hint="eastAsia"/>
              </w:rPr>
              <w:t>已完工</w:t>
            </w:r>
            <w:r>
              <w:rPr>
                <w:rFonts w:hint="eastAsia"/>
                <w:lang w:val="en-US"/>
              </w:rPr>
              <w:t>或</w:t>
            </w:r>
            <w:r>
              <w:rPr>
                <w:rFonts w:hint="eastAsia"/>
              </w:rPr>
              <w:t>正在实施的道路施工类项目业绩，（提供符合本采购要求的业绩合同扫描件，包括合同封面、合同范围页、签字页等）。</w:t>
            </w:r>
          </w:p>
          <w:p w14:paraId="588D7F0E">
            <w:pPr>
              <w:adjustRightInd w:val="0"/>
              <w:snapToGrid w:val="0"/>
            </w:pPr>
            <w:r>
              <w:rPr>
                <w:rFonts w:hint="eastAsia"/>
              </w:rPr>
              <w:t>Le soumissionnaire doit justifier d'au moins une expérience de projet de construction routière, achevé ou en cours d'exécution, entre février 2023 et février 2026.</w:t>
            </w:r>
            <w:r>
              <w:t xml:space="preserve"> (Fournir une copie scannée du contrat de performance qui répond aux exigences de ce marché, y compris la couverture du contrat, la page du champ d’application du contrat, la page de signature, etc.)</w:t>
            </w:r>
          </w:p>
        </w:tc>
        <w:tc>
          <w:tcPr>
            <w:tcW w:w="933" w:type="dxa"/>
            <w:vMerge w:val="continue"/>
            <w:vAlign w:val="center"/>
          </w:tcPr>
          <w:p w14:paraId="475020A4">
            <w:pPr>
              <w:adjustRightInd w:val="0"/>
              <w:snapToGrid w:val="0"/>
              <w:jc w:val="center"/>
              <w:rPr>
                <w:b/>
              </w:rPr>
            </w:pPr>
          </w:p>
        </w:tc>
      </w:tr>
      <w:tr w14:paraId="3CF3F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5" w:hRule="atLeast"/>
          <w:jc w:val="center"/>
        </w:trPr>
        <w:tc>
          <w:tcPr>
            <w:tcW w:w="901" w:type="dxa"/>
            <w:vMerge w:val="continue"/>
            <w:vAlign w:val="center"/>
          </w:tcPr>
          <w:p w14:paraId="0A0DE353">
            <w:pPr>
              <w:adjustRightInd w:val="0"/>
              <w:snapToGrid w:val="0"/>
              <w:jc w:val="center"/>
            </w:pPr>
          </w:p>
        </w:tc>
        <w:tc>
          <w:tcPr>
            <w:tcW w:w="1681" w:type="dxa"/>
            <w:vMerge w:val="continue"/>
            <w:vAlign w:val="center"/>
          </w:tcPr>
          <w:p w14:paraId="51D69E39">
            <w:pPr>
              <w:adjustRightInd w:val="0"/>
              <w:snapToGrid w:val="0"/>
              <w:jc w:val="left"/>
            </w:pPr>
          </w:p>
        </w:tc>
        <w:tc>
          <w:tcPr>
            <w:tcW w:w="1278" w:type="dxa"/>
            <w:vAlign w:val="center"/>
          </w:tcPr>
          <w:p w14:paraId="3180DDF4">
            <w:pPr>
              <w:adjustRightInd w:val="0"/>
              <w:snapToGrid w:val="0"/>
              <w:jc w:val="center"/>
            </w:pPr>
            <w:r>
              <w:rPr>
                <w:rFonts w:hint="eastAsia"/>
              </w:rPr>
              <w:t>项目经理</w:t>
            </w:r>
          </w:p>
          <w:p w14:paraId="37CFAD09">
            <w:pPr>
              <w:adjustRightInd w:val="0"/>
              <w:snapToGrid w:val="0"/>
              <w:jc w:val="center"/>
            </w:pPr>
            <w:r>
              <w:rPr>
                <w:rFonts w:hint="eastAsia"/>
              </w:rPr>
              <w:t>Chef de projet</w:t>
            </w:r>
          </w:p>
        </w:tc>
        <w:tc>
          <w:tcPr>
            <w:tcW w:w="4625" w:type="dxa"/>
            <w:vAlign w:val="center"/>
          </w:tcPr>
          <w:p w14:paraId="352E127A">
            <w:pPr>
              <w:rPr>
                <w:lang w:val="en-US"/>
              </w:rPr>
            </w:pPr>
            <w:r>
              <w:t>具有</w:t>
            </w:r>
            <w:r>
              <w:rPr>
                <w:rFonts w:hint="eastAsia"/>
              </w:rPr>
              <w:t>1</w:t>
            </w:r>
            <w:r>
              <w:t>个及以上已竣工</w:t>
            </w:r>
            <w:r>
              <w:rPr>
                <w:rFonts w:hint="eastAsia"/>
                <w:u w:val="single"/>
              </w:rPr>
              <w:t>道路类</w:t>
            </w:r>
            <w:r>
              <w:t>工程施工项目经理业绩，提供业绩证明材料（工程合同或竣工验收证明或质量验收单或用户证明等复印件）</w:t>
            </w:r>
            <w:r>
              <w:rPr>
                <w:rFonts w:hint="eastAsia"/>
              </w:rPr>
              <w:t>。</w:t>
            </w:r>
            <w:r>
              <w:rPr>
                <w:rFonts w:hint="eastAsia" w:ascii="宋体" w:hAnsi="宋体"/>
                <w:szCs w:val="21"/>
              </w:rPr>
              <w:t>投标人若为中国注册的公司，</w:t>
            </w:r>
            <w:r>
              <w:rPr>
                <w:rFonts w:hint="eastAsia" w:ascii="宋体" w:hAnsi="宋体"/>
                <w:szCs w:val="21"/>
                <w:lang w:val="en-US"/>
              </w:rPr>
              <w:t>本</w:t>
            </w:r>
            <w:r>
              <w:rPr>
                <w:rFonts w:hint="eastAsia"/>
              </w:rPr>
              <w:t>项目负责人</w:t>
            </w:r>
            <w:r>
              <w:rPr>
                <w:rFonts w:hint="eastAsia"/>
                <w:lang w:val="en-US"/>
              </w:rPr>
              <w:t>应同时</w:t>
            </w:r>
            <w:r>
              <w:rPr>
                <w:rFonts w:hint="eastAsia" w:ascii="宋体" w:hAnsi="宋体"/>
                <w:szCs w:val="21"/>
                <w:lang w:val="en-US"/>
              </w:rPr>
              <w:t>具有一级建造师（公路工程专业）执业资格</w:t>
            </w:r>
          </w:p>
          <w:p w14:paraId="4387B4DA">
            <w:pPr>
              <w:adjustRightInd w:val="0"/>
              <w:snapToGrid w:val="0"/>
              <w:rPr>
                <w:szCs w:val="21"/>
              </w:rPr>
            </w:pPr>
            <w:r>
              <w:rPr>
                <w:rFonts w:hint="eastAsia"/>
              </w:rPr>
              <w:t>Le candidat doit justifier d'au moins une expérience en tant que chef de projet (ou conducteur de travaux) pour des projets de construction routière achevés, en fournissant les justificatifs correspondants.</w:t>
            </w:r>
            <w:r>
              <w:t>(contrat de projet ou certificat d’acceptation de l’achèvement ou formulaire d’acceptation de la qualité ou certificat d’utilisateur et autres copies).</w:t>
            </w:r>
            <w:r>
              <w:rPr>
                <w:rFonts w:hint="eastAsia"/>
              </w:rPr>
              <w:t>Lorsque le soumissionnaire est une société enregistrée en Chine, le responsable du projet doit être titulaire du certificat de constructeur de niveau 1 (spécialité : travaux routiers).</w:t>
            </w:r>
          </w:p>
        </w:tc>
        <w:tc>
          <w:tcPr>
            <w:tcW w:w="933" w:type="dxa"/>
            <w:vMerge w:val="continue"/>
            <w:vAlign w:val="center"/>
          </w:tcPr>
          <w:p w14:paraId="4831E390">
            <w:pPr>
              <w:adjustRightInd w:val="0"/>
              <w:snapToGrid w:val="0"/>
              <w:jc w:val="center"/>
              <w:rPr>
                <w:b/>
              </w:rPr>
            </w:pPr>
          </w:p>
        </w:tc>
      </w:tr>
      <w:tr w14:paraId="139490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901" w:type="dxa"/>
            <w:vMerge w:val="continue"/>
            <w:vAlign w:val="center"/>
          </w:tcPr>
          <w:p w14:paraId="76B2F7EB">
            <w:pPr>
              <w:adjustRightInd w:val="0"/>
              <w:snapToGrid w:val="0"/>
              <w:jc w:val="center"/>
            </w:pPr>
          </w:p>
        </w:tc>
        <w:tc>
          <w:tcPr>
            <w:tcW w:w="1681" w:type="dxa"/>
            <w:vMerge w:val="continue"/>
            <w:vAlign w:val="center"/>
          </w:tcPr>
          <w:p w14:paraId="4ADDF1F9">
            <w:pPr>
              <w:adjustRightInd w:val="0"/>
              <w:snapToGrid w:val="0"/>
              <w:jc w:val="left"/>
            </w:pPr>
          </w:p>
        </w:tc>
        <w:tc>
          <w:tcPr>
            <w:tcW w:w="1278" w:type="dxa"/>
            <w:vAlign w:val="center"/>
          </w:tcPr>
          <w:p w14:paraId="3F98C42F">
            <w:pPr>
              <w:adjustRightInd w:val="0"/>
              <w:snapToGrid w:val="0"/>
              <w:jc w:val="center"/>
            </w:pPr>
            <w:r>
              <w:t>信誉要求</w:t>
            </w:r>
          </w:p>
          <w:p w14:paraId="62AB1A09">
            <w:pPr>
              <w:pStyle w:val="21"/>
            </w:pPr>
            <w:r>
              <w:rPr>
                <w:sz w:val="21"/>
                <w:szCs w:val="22"/>
              </w:rPr>
              <w:t>Exigences en matière de réputation</w:t>
            </w:r>
          </w:p>
          <w:p w14:paraId="5912B8BD">
            <w:pPr>
              <w:adjustRightInd w:val="0"/>
              <w:snapToGrid w:val="0"/>
              <w:jc w:val="center"/>
            </w:pPr>
          </w:p>
        </w:tc>
        <w:tc>
          <w:tcPr>
            <w:tcW w:w="4625" w:type="dxa"/>
            <w:vAlign w:val="center"/>
          </w:tcPr>
          <w:p w14:paraId="3E4612F6">
            <w:pPr>
              <w:adjustRightInd w:val="0"/>
              <w:snapToGrid w:val="0"/>
              <w:rPr>
                <w:szCs w:val="21"/>
              </w:rPr>
            </w:pPr>
            <w:r>
              <w:rPr>
                <w:rFonts w:hint="eastAsia"/>
                <w:szCs w:val="21"/>
              </w:rPr>
              <w:t>1.近36个月内不存在骗取中标、严重违约及因自身的责任而使任何合同被解除的情形。</w:t>
            </w:r>
          </w:p>
          <w:p w14:paraId="21523B37">
            <w:pPr>
              <w:adjustRightInd w:val="0"/>
              <w:snapToGrid w:val="0"/>
              <w:rPr>
                <w:szCs w:val="21"/>
              </w:rPr>
            </w:pPr>
            <w:r>
              <w:rPr>
                <w:rFonts w:hint="eastAsia"/>
                <w:szCs w:val="21"/>
              </w:rPr>
              <w:t>2.未列入铝电公司供应商不良行为处置名录内。</w:t>
            </w:r>
          </w:p>
          <w:p w14:paraId="6AB66A45">
            <w:pPr>
              <w:adjustRightInd w:val="0"/>
              <w:snapToGrid w:val="0"/>
              <w:rPr>
                <w:szCs w:val="21"/>
              </w:rPr>
            </w:pPr>
            <w:r>
              <w:rPr>
                <w:szCs w:val="21"/>
              </w:rPr>
              <w:t>1.Il n’y a pas eu, au cours des 36 derniers mois, de cas de fraude pour remporter l’appel d’offres, de rupture grave de contrat ou d’annulation de contrat de sa propre responsabilité.</w:t>
            </w:r>
          </w:p>
          <w:p w14:paraId="7317C93B">
            <w:pPr>
              <w:adjustRightInd w:val="0"/>
              <w:snapToGrid w:val="0"/>
            </w:pPr>
            <w:r>
              <w:rPr>
                <w:szCs w:val="21"/>
              </w:rPr>
              <w:t>2.Non inclus dans la liste de l’élimination des mauvais comportements par les sociétés en aluminium et en électricité</w:t>
            </w:r>
          </w:p>
        </w:tc>
        <w:tc>
          <w:tcPr>
            <w:tcW w:w="933" w:type="dxa"/>
            <w:vMerge w:val="continue"/>
            <w:vAlign w:val="center"/>
          </w:tcPr>
          <w:p w14:paraId="728FD969">
            <w:pPr>
              <w:adjustRightInd w:val="0"/>
              <w:snapToGrid w:val="0"/>
              <w:jc w:val="center"/>
            </w:pPr>
          </w:p>
        </w:tc>
      </w:tr>
      <w:tr w14:paraId="23D603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01" w:type="dxa"/>
            <w:vMerge w:val="continue"/>
            <w:vAlign w:val="center"/>
          </w:tcPr>
          <w:p w14:paraId="457656A1">
            <w:pPr>
              <w:adjustRightInd w:val="0"/>
              <w:snapToGrid w:val="0"/>
              <w:jc w:val="center"/>
            </w:pPr>
          </w:p>
        </w:tc>
        <w:tc>
          <w:tcPr>
            <w:tcW w:w="1681" w:type="dxa"/>
            <w:vMerge w:val="continue"/>
            <w:vAlign w:val="center"/>
          </w:tcPr>
          <w:p w14:paraId="67E649EF">
            <w:pPr>
              <w:adjustRightInd w:val="0"/>
              <w:snapToGrid w:val="0"/>
              <w:jc w:val="left"/>
            </w:pPr>
          </w:p>
        </w:tc>
        <w:tc>
          <w:tcPr>
            <w:tcW w:w="1278" w:type="dxa"/>
            <w:vAlign w:val="center"/>
          </w:tcPr>
          <w:p w14:paraId="08AF41CD">
            <w:pPr>
              <w:adjustRightInd w:val="0"/>
              <w:snapToGrid w:val="0"/>
              <w:jc w:val="center"/>
            </w:pPr>
            <w:r>
              <w:t>其他要求</w:t>
            </w:r>
          </w:p>
          <w:p w14:paraId="467BFF22">
            <w:pPr>
              <w:adjustRightInd w:val="0"/>
              <w:snapToGrid w:val="0"/>
              <w:jc w:val="center"/>
            </w:pPr>
            <w:r>
              <w:rPr>
                <w:rFonts w:hint="eastAsia"/>
              </w:rPr>
              <w:t>Autres exigences</w:t>
            </w:r>
          </w:p>
        </w:tc>
        <w:tc>
          <w:tcPr>
            <w:tcW w:w="4625" w:type="dxa"/>
            <w:vAlign w:val="center"/>
          </w:tcPr>
          <w:p w14:paraId="1DF794E5">
            <w:pPr>
              <w:adjustRightInd w:val="0"/>
              <w:snapToGrid w:val="0"/>
              <w:jc w:val="left"/>
              <w:rPr>
                <w:szCs w:val="21"/>
              </w:rPr>
            </w:pPr>
            <w:r>
              <w:rPr>
                <w:szCs w:val="21"/>
              </w:rPr>
              <w:t>1.</w:t>
            </w:r>
            <w:r>
              <w:rPr>
                <w:rFonts w:hint="eastAsia"/>
                <w:szCs w:val="21"/>
              </w:rPr>
              <w:t>经营状况良好，没有处于被责令停业，财产被接管、冻结，破产状态；</w:t>
            </w:r>
          </w:p>
          <w:p w14:paraId="3E17CAFE">
            <w:pPr>
              <w:adjustRightInd w:val="0"/>
              <w:snapToGrid w:val="0"/>
              <w:jc w:val="left"/>
              <w:rPr>
                <w:szCs w:val="21"/>
              </w:rPr>
            </w:pPr>
            <w:r>
              <w:rPr>
                <w:szCs w:val="21"/>
              </w:rPr>
              <w:t>2.</w:t>
            </w:r>
            <w:r>
              <w:rPr>
                <w:rFonts w:hint="eastAsia"/>
                <w:szCs w:val="21"/>
              </w:rPr>
              <w:t>近</w:t>
            </w:r>
            <w:r>
              <w:rPr>
                <w:szCs w:val="21"/>
              </w:rPr>
              <w:t>36</w:t>
            </w:r>
            <w:r>
              <w:rPr>
                <w:rFonts w:hint="eastAsia"/>
                <w:szCs w:val="21"/>
              </w:rPr>
              <w:t>个月内不存在较大及以上生产安全（含交通安全）责任事故，近</w:t>
            </w:r>
            <w:r>
              <w:rPr>
                <w:szCs w:val="21"/>
              </w:rPr>
              <w:t>18</w:t>
            </w:r>
            <w:r>
              <w:rPr>
                <w:rFonts w:hint="eastAsia"/>
                <w:szCs w:val="21"/>
              </w:rPr>
              <w:t>个月在国家电投集团系统内未发生人身死亡事故；</w:t>
            </w:r>
          </w:p>
          <w:p w14:paraId="31D335C9">
            <w:pPr>
              <w:adjustRightInd w:val="0"/>
              <w:snapToGrid w:val="0"/>
              <w:rPr>
                <w:szCs w:val="21"/>
              </w:rPr>
            </w:pPr>
            <w:r>
              <w:rPr>
                <w:szCs w:val="21"/>
              </w:rPr>
              <w:t>1.Bonne situation de l’entreprise. Ne pas être en état de cessation d’activité, de reprise de biens, de gel ou de faillite.</w:t>
            </w:r>
          </w:p>
          <w:p w14:paraId="0EC32CC0">
            <w:pPr>
              <w:adjustRightInd w:val="0"/>
              <w:snapToGrid w:val="0"/>
            </w:pPr>
            <w:r>
              <w:rPr>
                <w:szCs w:val="21"/>
              </w:rPr>
              <w:t>2.Aucun accident majeur ou supérieur à la responsabilité en matière de sécurité de la production au cours des 36 derniers mois, et aucun accident mortel personnel dans le système de l’entreprise du groupe au cours des 18 derniers mois.</w:t>
            </w:r>
          </w:p>
        </w:tc>
        <w:tc>
          <w:tcPr>
            <w:tcW w:w="933" w:type="dxa"/>
            <w:vMerge w:val="continue"/>
            <w:vAlign w:val="center"/>
          </w:tcPr>
          <w:p w14:paraId="70987539">
            <w:pPr>
              <w:adjustRightInd w:val="0"/>
              <w:snapToGrid w:val="0"/>
              <w:jc w:val="center"/>
            </w:pPr>
          </w:p>
        </w:tc>
      </w:tr>
      <w:tr w14:paraId="1B7AE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01" w:type="dxa"/>
            <w:vAlign w:val="center"/>
          </w:tcPr>
          <w:p w14:paraId="645A6990">
            <w:pPr>
              <w:numPr>
                <w:ilvl w:val="0"/>
                <w:numId w:val="1"/>
              </w:numPr>
              <w:adjustRightInd w:val="0"/>
              <w:snapToGrid w:val="0"/>
              <w:jc w:val="center"/>
            </w:pPr>
          </w:p>
        </w:tc>
        <w:tc>
          <w:tcPr>
            <w:tcW w:w="1681" w:type="dxa"/>
            <w:vAlign w:val="center"/>
          </w:tcPr>
          <w:p w14:paraId="7B909579">
            <w:pPr>
              <w:adjustRightInd w:val="0"/>
              <w:snapToGrid w:val="0"/>
              <w:jc w:val="center"/>
              <w:rPr>
                <w:szCs w:val="21"/>
              </w:rPr>
            </w:pPr>
            <w:r>
              <w:rPr>
                <w:szCs w:val="21"/>
              </w:rPr>
              <w:t>是否接受联合体</w:t>
            </w:r>
            <w:r>
              <w:rPr>
                <w:rFonts w:hint="eastAsia"/>
                <w:szCs w:val="21"/>
              </w:rPr>
              <w:t>报价</w:t>
            </w:r>
          </w:p>
          <w:p w14:paraId="74C32CD4">
            <w:pPr>
              <w:adjustRightInd w:val="0"/>
              <w:snapToGrid w:val="0"/>
              <w:jc w:val="center"/>
            </w:pPr>
            <w:r>
              <w:rPr>
                <w:szCs w:val="21"/>
              </w:rPr>
              <w:t>Acceptation ou non de l’offre du consortium</w:t>
            </w:r>
          </w:p>
        </w:tc>
        <w:tc>
          <w:tcPr>
            <w:tcW w:w="5903" w:type="dxa"/>
            <w:gridSpan w:val="2"/>
            <w:vAlign w:val="center"/>
          </w:tcPr>
          <w:p w14:paraId="7E9BB42D">
            <w:pPr>
              <w:pStyle w:val="11"/>
              <w:topLinePunct/>
              <w:adjustRightInd w:val="0"/>
              <w:snapToGrid w:val="0"/>
              <w:spacing w:after="0"/>
              <w:rPr>
                <w:sz w:val="21"/>
                <w:szCs w:val="21"/>
              </w:rPr>
            </w:pPr>
            <w:r>
              <w:rPr>
                <w:sz w:val="21"/>
                <w:szCs w:val="21"/>
              </w:rPr>
              <w:sym w:font="Wingdings 2" w:char="0052"/>
            </w:r>
            <w:r>
              <w:rPr>
                <w:sz w:val="21"/>
                <w:szCs w:val="21"/>
              </w:rPr>
              <w:t>不接受</w:t>
            </w:r>
            <w:r>
              <w:rPr>
                <w:rFonts w:hint="eastAsia"/>
                <w:sz w:val="21"/>
                <w:szCs w:val="21"/>
              </w:rPr>
              <w:t xml:space="preserve"> N</w:t>
            </w:r>
            <w:r>
              <w:rPr>
                <w:sz w:val="21"/>
                <w:szCs w:val="21"/>
              </w:rPr>
              <w:t xml:space="preserve">on acceptée </w:t>
            </w:r>
          </w:p>
          <w:p w14:paraId="365C2998">
            <w:pPr>
              <w:adjustRightInd w:val="0"/>
              <w:snapToGrid w:val="0"/>
              <w:rPr>
                <w:szCs w:val="21"/>
              </w:rPr>
            </w:pPr>
            <w:r>
              <w:rPr>
                <w:szCs w:val="21"/>
              </w:rPr>
              <w:t>□接受，应满足下列要求：</w:t>
            </w:r>
          </w:p>
          <w:p w14:paraId="08B480D1">
            <w:pPr>
              <w:adjustRightInd w:val="0"/>
              <w:snapToGrid w:val="0"/>
            </w:pPr>
            <w:r>
              <w:rPr>
                <w:szCs w:val="21"/>
              </w:rPr>
              <w:t>Accepté, les exigences suivantes doivent être respectées :</w:t>
            </w:r>
          </w:p>
        </w:tc>
        <w:tc>
          <w:tcPr>
            <w:tcW w:w="933" w:type="dxa"/>
            <w:vAlign w:val="center"/>
          </w:tcPr>
          <w:p w14:paraId="0FBE882D">
            <w:pPr>
              <w:adjustRightInd w:val="0"/>
              <w:snapToGrid w:val="0"/>
              <w:jc w:val="center"/>
            </w:pPr>
            <w:r>
              <w:rPr>
                <w:rFonts w:hint="eastAsia"/>
              </w:rPr>
              <w:t>1.9</w:t>
            </w:r>
          </w:p>
        </w:tc>
      </w:tr>
      <w:tr w14:paraId="74A7C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01" w:type="dxa"/>
            <w:vAlign w:val="center"/>
          </w:tcPr>
          <w:p w14:paraId="55EEA3B3">
            <w:pPr>
              <w:numPr>
                <w:ilvl w:val="0"/>
                <w:numId w:val="1"/>
              </w:numPr>
              <w:adjustRightInd w:val="0"/>
              <w:snapToGrid w:val="0"/>
              <w:jc w:val="center"/>
            </w:pPr>
          </w:p>
        </w:tc>
        <w:tc>
          <w:tcPr>
            <w:tcW w:w="1681" w:type="dxa"/>
            <w:vAlign w:val="center"/>
          </w:tcPr>
          <w:p w14:paraId="3F0AE61D">
            <w:pPr>
              <w:adjustRightInd w:val="0"/>
              <w:snapToGrid w:val="0"/>
              <w:jc w:val="center"/>
              <w:rPr>
                <w:szCs w:val="21"/>
              </w:rPr>
            </w:pPr>
            <w:r>
              <w:rPr>
                <w:szCs w:val="21"/>
              </w:rPr>
              <w:t>踏勘现场</w:t>
            </w:r>
            <w:r>
              <w:rPr>
                <w:rFonts w:hint="eastAsia"/>
                <w:szCs w:val="21"/>
              </w:rPr>
              <w:t>Enquête sur place</w:t>
            </w:r>
            <w:r>
              <w:rPr>
                <w:rFonts w:hint="eastAsia"/>
                <w:szCs w:val="21"/>
              </w:rPr>
              <w:tab/>
            </w:r>
          </w:p>
        </w:tc>
        <w:tc>
          <w:tcPr>
            <w:tcW w:w="5903" w:type="dxa"/>
            <w:gridSpan w:val="2"/>
            <w:vAlign w:val="center"/>
          </w:tcPr>
          <w:p w14:paraId="202AC971">
            <w:pPr>
              <w:pStyle w:val="11"/>
              <w:topLinePunct/>
              <w:spacing w:after="0"/>
              <w:rPr>
                <w:sz w:val="21"/>
                <w:szCs w:val="21"/>
              </w:rPr>
            </w:pPr>
            <w:r>
              <w:rPr>
                <w:sz w:val="21"/>
                <w:szCs w:val="21"/>
              </w:rPr>
              <w:sym w:font="Wingdings 2" w:char="0052"/>
            </w:r>
            <w:r>
              <w:rPr>
                <w:rFonts w:hint="eastAsia"/>
                <w:sz w:val="21"/>
                <w:szCs w:val="21"/>
              </w:rPr>
              <w:t>不组织</w:t>
            </w:r>
            <w:r>
              <w:rPr>
                <w:sz w:val="21"/>
                <w:szCs w:val="21"/>
              </w:rPr>
              <w:t>Non organisée</w:t>
            </w:r>
          </w:p>
          <w:p w14:paraId="247EC4E7">
            <w:pPr>
              <w:pStyle w:val="11"/>
              <w:topLinePunct/>
              <w:spacing w:after="0"/>
              <w:rPr>
                <w:sz w:val="21"/>
                <w:szCs w:val="21"/>
              </w:rPr>
            </w:pPr>
            <w:r>
              <w:rPr>
                <w:rFonts w:hint="eastAsia"/>
                <w:sz w:val="21"/>
                <w:szCs w:val="21"/>
              </w:rPr>
              <w:t>□组织，踏勘时间</w:t>
            </w:r>
            <w:r>
              <w:rPr>
                <w:sz w:val="21"/>
                <w:szCs w:val="21"/>
              </w:rPr>
              <w:t>Organisé,Moment de l’Enquête sur place：</w:t>
            </w:r>
          </w:p>
          <w:p w14:paraId="2E548505">
            <w:pPr>
              <w:ind w:firstLine="840" w:firstLineChars="400"/>
              <w:rPr>
                <w:szCs w:val="21"/>
              </w:rPr>
            </w:pPr>
            <w:r>
              <w:rPr>
                <w:rFonts w:hint="eastAsia"/>
                <w:szCs w:val="21"/>
              </w:rPr>
              <w:t>踏勘集中地点</w:t>
            </w:r>
            <w:r>
              <w:rPr>
                <w:szCs w:val="21"/>
              </w:rPr>
              <w:t>Lieu centralisé de l’Enquête</w:t>
            </w:r>
            <w:r>
              <w:rPr>
                <w:rFonts w:hint="eastAsia"/>
                <w:szCs w:val="21"/>
              </w:rPr>
              <w:t>：</w:t>
            </w:r>
          </w:p>
        </w:tc>
        <w:tc>
          <w:tcPr>
            <w:tcW w:w="933" w:type="dxa"/>
            <w:vAlign w:val="center"/>
          </w:tcPr>
          <w:p w14:paraId="7B7FE602">
            <w:pPr>
              <w:adjustRightInd w:val="0"/>
              <w:snapToGrid w:val="0"/>
              <w:jc w:val="center"/>
            </w:pPr>
            <w:r>
              <w:rPr>
                <w:rFonts w:hint="eastAsia"/>
              </w:rPr>
              <w:t>1.10</w:t>
            </w:r>
          </w:p>
        </w:tc>
      </w:tr>
      <w:tr w14:paraId="55C9B3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63CC2D8F">
            <w:pPr>
              <w:numPr>
                <w:ilvl w:val="0"/>
                <w:numId w:val="1"/>
              </w:numPr>
              <w:adjustRightInd w:val="0"/>
              <w:snapToGrid w:val="0"/>
              <w:jc w:val="center"/>
            </w:pPr>
          </w:p>
        </w:tc>
        <w:tc>
          <w:tcPr>
            <w:tcW w:w="1681" w:type="dxa"/>
            <w:vAlign w:val="center"/>
          </w:tcPr>
          <w:p w14:paraId="2AFCA463">
            <w:pPr>
              <w:adjustRightInd w:val="0"/>
              <w:snapToGrid w:val="0"/>
              <w:jc w:val="center"/>
            </w:pPr>
            <w:r>
              <w:rPr>
                <w:rFonts w:hint="eastAsia"/>
              </w:rPr>
              <w:t>响应人</w:t>
            </w:r>
            <w:r>
              <w:t>提出问题的截止时间</w:t>
            </w:r>
          </w:p>
          <w:p w14:paraId="393B30D9">
            <w:pPr>
              <w:adjustRightInd w:val="0"/>
              <w:snapToGrid w:val="0"/>
              <w:jc w:val="center"/>
            </w:pPr>
            <w:r>
              <w:rPr>
                <w:rFonts w:hint="eastAsia"/>
              </w:rPr>
              <w:t>Date limite de soumission des questions par les soumissionnaires</w:t>
            </w:r>
          </w:p>
        </w:tc>
        <w:tc>
          <w:tcPr>
            <w:tcW w:w="5903" w:type="dxa"/>
            <w:gridSpan w:val="2"/>
            <w:vAlign w:val="center"/>
          </w:tcPr>
          <w:p w14:paraId="2ECDC83B">
            <w:pPr>
              <w:adjustRightInd w:val="0"/>
              <w:snapToGrid w:val="0"/>
              <w:jc w:val="left"/>
              <w:rPr>
                <w:szCs w:val="21"/>
              </w:rPr>
            </w:pPr>
            <w:r>
              <w:rPr>
                <w:rFonts w:hint="eastAsia"/>
                <w:szCs w:val="21"/>
              </w:rPr>
              <w:t>报价截止日期</w:t>
            </w:r>
            <w:r>
              <w:rPr>
                <w:szCs w:val="21"/>
              </w:rPr>
              <w:t>24</w:t>
            </w:r>
            <w:r>
              <w:rPr>
                <w:rFonts w:hint="eastAsia"/>
                <w:szCs w:val="21"/>
              </w:rPr>
              <w:t>小时以前，将需澄清问题电子版（可编辑）发至国家电投电子商务平台zbcg@spicld.com</w:t>
            </w:r>
          </w:p>
          <w:p w14:paraId="27873948">
            <w:pPr>
              <w:adjustRightInd w:val="0"/>
              <w:snapToGrid w:val="0"/>
              <w:jc w:val="left"/>
            </w:pPr>
            <w:r>
              <w:rPr>
                <w:rFonts w:hint="eastAsia"/>
                <w:szCs w:val="21"/>
              </w:rPr>
              <w:t>Les versions électroniques (modifiables) des demandes de clarification doivent être envoyées 24 heures avant la date limite de soumission des devis à l'adresse zbcg@spicld.com.</w:t>
            </w:r>
          </w:p>
        </w:tc>
        <w:tc>
          <w:tcPr>
            <w:tcW w:w="933" w:type="dxa"/>
            <w:vAlign w:val="center"/>
          </w:tcPr>
          <w:p w14:paraId="09AD3B54">
            <w:pPr>
              <w:adjustRightInd w:val="0"/>
              <w:snapToGrid w:val="0"/>
              <w:jc w:val="center"/>
            </w:pPr>
            <w:r>
              <w:rPr>
                <w:rFonts w:hint="eastAsia"/>
              </w:rPr>
              <w:t>/</w:t>
            </w:r>
          </w:p>
        </w:tc>
      </w:tr>
      <w:tr w14:paraId="5DDFAD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901" w:type="dxa"/>
            <w:vAlign w:val="center"/>
          </w:tcPr>
          <w:p w14:paraId="35F8E363">
            <w:pPr>
              <w:numPr>
                <w:ilvl w:val="0"/>
                <w:numId w:val="1"/>
              </w:numPr>
              <w:adjustRightInd w:val="0"/>
              <w:snapToGrid w:val="0"/>
              <w:jc w:val="center"/>
            </w:pPr>
          </w:p>
        </w:tc>
        <w:tc>
          <w:tcPr>
            <w:tcW w:w="1681" w:type="dxa"/>
            <w:vAlign w:val="center"/>
          </w:tcPr>
          <w:p w14:paraId="28382049">
            <w:pPr>
              <w:adjustRightInd w:val="0"/>
              <w:snapToGrid w:val="0"/>
              <w:jc w:val="center"/>
            </w:pPr>
            <w:r>
              <w:rPr>
                <w:rFonts w:hint="eastAsia"/>
              </w:rPr>
              <w:t>采购人</w:t>
            </w:r>
            <w:r>
              <w:t>书面澄清</w:t>
            </w:r>
            <w:r>
              <w:rPr>
                <w:rFonts w:hint="eastAsia"/>
              </w:rPr>
              <w:t>Clarification écrite de l</w:t>
            </w:r>
            <w:r>
              <w:t>’</w:t>
            </w:r>
            <w:r>
              <w:rPr>
                <w:rFonts w:hint="eastAsia"/>
              </w:rPr>
              <w:t>acheteur</w:t>
            </w:r>
          </w:p>
        </w:tc>
        <w:tc>
          <w:tcPr>
            <w:tcW w:w="5903" w:type="dxa"/>
            <w:gridSpan w:val="2"/>
            <w:vAlign w:val="center"/>
          </w:tcPr>
          <w:p w14:paraId="0C3B69C3">
            <w:pPr>
              <w:adjustRightInd w:val="0"/>
              <w:snapToGrid w:val="0"/>
            </w:pPr>
            <w:r>
              <w:rPr>
                <w:rFonts w:hint="eastAsia"/>
              </w:rPr>
              <w:t>采购人对要求澄清问题的合理部分予以答复，并将电子版澄清答复文件上传至国家电投电子商务平台</w:t>
            </w:r>
            <w:r>
              <w:rPr>
                <w:rFonts w:hint="eastAsia"/>
                <w:szCs w:val="21"/>
              </w:rPr>
              <w:t>zbcg@spicld.com</w:t>
            </w:r>
            <w:r>
              <w:rPr>
                <w:rFonts w:hint="eastAsia"/>
              </w:rPr>
              <w:t>。采购人书面要求响应人澄清的问题，响应人应在收到澄清文件按规定时间回复。</w:t>
            </w:r>
          </w:p>
          <w:p w14:paraId="5E551E20">
            <w:pPr>
              <w:adjustRightInd w:val="0"/>
              <w:snapToGrid w:val="0"/>
            </w:pPr>
            <w:r>
              <w:rPr>
                <w:rFonts w:hint="eastAsia"/>
              </w:rPr>
              <w:t>L'entité adjudicatrice répond aux demandes de clarification raisonnables. zbcg@spicld.com. Lorsque l'entité adjudicatrice adresse une demande écrite de clarification au soumissionnaire, celui-ci doit fournir une réponse dans le délai imparti à compter de la réception du document de clarification.</w:t>
            </w:r>
          </w:p>
        </w:tc>
        <w:tc>
          <w:tcPr>
            <w:tcW w:w="933" w:type="dxa"/>
            <w:vAlign w:val="center"/>
          </w:tcPr>
          <w:p w14:paraId="0271ABFD">
            <w:pPr>
              <w:adjustRightInd w:val="0"/>
              <w:snapToGrid w:val="0"/>
              <w:jc w:val="center"/>
            </w:pPr>
            <w:r>
              <w:rPr>
                <w:rFonts w:hint="eastAsia"/>
              </w:rPr>
              <w:t>/</w:t>
            </w:r>
          </w:p>
        </w:tc>
      </w:tr>
      <w:tr w14:paraId="153FC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691A6CDB">
            <w:pPr>
              <w:numPr>
                <w:ilvl w:val="0"/>
                <w:numId w:val="1"/>
              </w:numPr>
              <w:adjustRightInd w:val="0"/>
              <w:snapToGrid w:val="0"/>
              <w:jc w:val="center"/>
            </w:pPr>
          </w:p>
        </w:tc>
        <w:tc>
          <w:tcPr>
            <w:tcW w:w="1681" w:type="dxa"/>
            <w:vAlign w:val="center"/>
          </w:tcPr>
          <w:p w14:paraId="35CEFBEE">
            <w:pPr>
              <w:adjustRightInd w:val="0"/>
              <w:snapToGrid w:val="0"/>
              <w:jc w:val="center"/>
              <w:rPr>
                <w:szCs w:val="21"/>
              </w:rPr>
            </w:pPr>
            <w:r>
              <w:rPr>
                <w:szCs w:val="21"/>
              </w:rPr>
              <w:t>实质性要求和条件</w:t>
            </w:r>
          </w:p>
          <w:p w14:paraId="60A3A24A">
            <w:pPr>
              <w:adjustRightInd w:val="0"/>
              <w:snapToGrid w:val="0"/>
              <w:jc w:val="center"/>
            </w:pPr>
            <w:r>
              <w:rPr>
                <w:rFonts w:hint="eastAsia"/>
              </w:rPr>
              <w:t>Exigences et conditions de base</w:t>
            </w:r>
          </w:p>
        </w:tc>
        <w:tc>
          <w:tcPr>
            <w:tcW w:w="5903" w:type="dxa"/>
            <w:gridSpan w:val="2"/>
            <w:vAlign w:val="center"/>
          </w:tcPr>
          <w:p w14:paraId="0095E001">
            <w:pPr>
              <w:adjustRightInd w:val="0"/>
              <w:snapToGrid w:val="0"/>
              <w:rPr>
                <w:szCs w:val="21"/>
              </w:rPr>
            </w:pPr>
            <w:r>
              <w:rPr>
                <w:rFonts w:hint="eastAsia"/>
                <w:szCs w:val="21"/>
              </w:rPr>
              <w:t>无</w:t>
            </w:r>
            <w:r>
              <w:rPr>
                <w:szCs w:val="21"/>
              </w:rPr>
              <w:t xml:space="preserve"> Aucune</w:t>
            </w:r>
          </w:p>
        </w:tc>
        <w:tc>
          <w:tcPr>
            <w:tcW w:w="933" w:type="dxa"/>
            <w:vAlign w:val="center"/>
          </w:tcPr>
          <w:p w14:paraId="10BF4827">
            <w:pPr>
              <w:adjustRightInd w:val="0"/>
              <w:snapToGrid w:val="0"/>
              <w:jc w:val="center"/>
              <w:rPr>
                <w:szCs w:val="21"/>
              </w:rPr>
            </w:pPr>
            <w:r>
              <w:rPr>
                <w:rFonts w:hint="eastAsia"/>
              </w:rPr>
              <w:t>/</w:t>
            </w:r>
          </w:p>
        </w:tc>
      </w:tr>
      <w:tr w14:paraId="66C74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4A9EBE4D">
            <w:pPr>
              <w:numPr>
                <w:ilvl w:val="0"/>
                <w:numId w:val="1"/>
              </w:numPr>
              <w:adjustRightInd w:val="0"/>
              <w:snapToGrid w:val="0"/>
              <w:jc w:val="center"/>
            </w:pPr>
          </w:p>
        </w:tc>
        <w:tc>
          <w:tcPr>
            <w:tcW w:w="1681" w:type="dxa"/>
            <w:vAlign w:val="center"/>
          </w:tcPr>
          <w:p w14:paraId="46F767AD">
            <w:pPr>
              <w:adjustRightInd w:val="0"/>
              <w:snapToGrid w:val="0"/>
              <w:jc w:val="center"/>
              <w:rPr>
                <w:szCs w:val="21"/>
              </w:rPr>
            </w:pPr>
            <w:r>
              <w:rPr>
                <w:rFonts w:hint="eastAsia"/>
                <w:szCs w:val="21"/>
              </w:rPr>
              <w:t>响应</w:t>
            </w:r>
            <w:r>
              <w:rPr>
                <w:szCs w:val="21"/>
              </w:rPr>
              <w:t>人拟分包的工作</w:t>
            </w:r>
          </w:p>
          <w:p w14:paraId="1C5135F6">
            <w:pPr>
              <w:adjustRightInd w:val="0"/>
              <w:snapToGrid w:val="0"/>
              <w:jc w:val="center"/>
              <w:rPr>
                <w:szCs w:val="21"/>
              </w:rPr>
            </w:pPr>
            <w:r>
              <w:t>Travaux à sous-traiter par le soumissionnaire</w:t>
            </w:r>
          </w:p>
        </w:tc>
        <w:tc>
          <w:tcPr>
            <w:tcW w:w="5903" w:type="dxa"/>
            <w:gridSpan w:val="2"/>
            <w:vAlign w:val="center"/>
          </w:tcPr>
          <w:p w14:paraId="728FD73C">
            <w:pPr>
              <w:pStyle w:val="11"/>
              <w:topLinePunct/>
              <w:adjustRightInd w:val="0"/>
              <w:snapToGrid w:val="0"/>
              <w:spacing w:after="0"/>
              <w:rPr>
                <w:sz w:val="21"/>
                <w:szCs w:val="21"/>
              </w:rPr>
            </w:pPr>
            <w:r>
              <w:rPr>
                <w:sz w:val="21"/>
                <w:szCs w:val="21"/>
              </w:rPr>
              <w:sym w:font="Wingdings 2" w:char="0052"/>
            </w:r>
            <w:r>
              <w:rPr>
                <w:sz w:val="21"/>
                <w:szCs w:val="21"/>
              </w:rPr>
              <w:t>不允许</w:t>
            </w:r>
            <w:r>
              <w:rPr>
                <w:rFonts w:hint="eastAsia"/>
                <w:bCs/>
                <w:sz w:val="21"/>
                <w:szCs w:val="21"/>
              </w:rPr>
              <w:t>Non autori</w:t>
            </w:r>
            <w:r>
              <w:rPr>
                <w:bCs/>
                <w:sz w:val="21"/>
                <w:szCs w:val="21"/>
              </w:rPr>
              <w:t>sé</w:t>
            </w:r>
          </w:p>
          <w:p w14:paraId="134113D5">
            <w:pPr>
              <w:pStyle w:val="11"/>
              <w:topLinePunct/>
              <w:adjustRightInd w:val="0"/>
              <w:snapToGrid w:val="0"/>
              <w:spacing w:after="0"/>
              <w:rPr>
                <w:sz w:val="21"/>
                <w:szCs w:val="21"/>
              </w:rPr>
            </w:pPr>
            <w:r>
              <w:rPr>
                <w:sz w:val="21"/>
                <w:szCs w:val="21"/>
              </w:rPr>
              <w:t>□允许，分包内容要求：</w:t>
            </w:r>
            <w:r>
              <w:rPr>
                <w:bCs/>
                <w:sz w:val="21"/>
                <w:szCs w:val="21"/>
              </w:rPr>
              <w:t>Autorisé, exigences</w:t>
            </w:r>
            <w:r>
              <w:rPr>
                <w:rFonts w:hint="eastAsia"/>
                <w:bCs/>
                <w:sz w:val="21"/>
                <w:szCs w:val="21"/>
              </w:rPr>
              <w:t xml:space="preserve"> en matière de contenu de la sous-traitance :</w:t>
            </w:r>
          </w:p>
          <w:p w14:paraId="42A28FBF">
            <w:pPr>
              <w:adjustRightInd w:val="0"/>
              <w:snapToGrid w:val="0"/>
              <w:rPr>
                <w:bCs/>
                <w:szCs w:val="21"/>
              </w:rPr>
            </w:pPr>
            <w:r>
              <w:rPr>
                <w:szCs w:val="21"/>
              </w:rPr>
              <w:t>分包金额要求：</w:t>
            </w:r>
            <w:r>
              <w:rPr>
                <w:rFonts w:hint="eastAsia"/>
                <w:bCs/>
                <w:szCs w:val="21"/>
              </w:rPr>
              <w:t>Exigences relatives au montant du contrat de sous-traitance :</w:t>
            </w:r>
          </w:p>
          <w:p w14:paraId="71716328">
            <w:pPr>
              <w:adjustRightInd w:val="0"/>
              <w:snapToGrid w:val="0"/>
              <w:rPr>
                <w:szCs w:val="21"/>
              </w:rPr>
            </w:pPr>
            <w:r>
              <w:rPr>
                <w:szCs w:val="21"/>
              </w:rPr>
              <w:t>对分包人的资质要求：</w:t>
            </w:r>
            <w:r>
              <w:rPr>
                <w:rFonts w:hint="eastAsia"/>
                <w:bCs/>
                <w:szCs w:val="21"/>
              </w:rPr>
              <w:t>Exigences de qualification pour les sous-traitants :</w:t>
            </w:r>
          </w:p>
        </w:tc>
        <w:tc>
          <w:tcPr>
            <w:tcW w:w="933" w:type="dxa"/>
            <w:vAlign w:val="center"/>
          </w:tcPr>
          <w:p w14:paraId="25F5EE64">
            <w:pPr>
              <w:adjustRightInd w:val="0"/>
              <w:snapToGrid w:val="0"/>
              <w:jc w:val="center"/>
            </w:pPr>
            <w:r>
              <w:rPr>
                <w:rFonts w:hint="eastAsia"/>
              </w:rPr>
              <w:t>/</w:t>
            </w:r>
          </w:p>
        </w:tc>
      </w:tr>
      <w:tr w14:paraId="1706E7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06B0A013">
            <w:pPr>
              <w:numPr>
                <w:ilvl w:val="0"/>
                <w:numId w:val="1"/>
              </w:numPr>
              <w:adjustRightInd w:val="0"/>
              <w:snapToGrid w:val="0"/>
              <w:jc w:val="center"/>
            </w:pPr>
          </w:p>
        </w:tc>
        <w:tc>
          <w:tcPr>
            <w:tcW w:w="1681" w:type="dxa"/>
            <w:vAlign w:val="center"/>
          </w:tcPr>
          <w:p w14:paraId="40F99E4B">
            <w:pPr>
              <w:adjustRightInd w:val="0"/>
              <w:snapToGrid w:val="0"/>
              <w:jc w:val="center"/>
            </w:pPr>
            <w:r>
              <w:rPr>
                <w:rFonts w:hint="eastAsia"/>
              </w:rPr>
              <w:t>报价</w:t>
            </w:r>
            <w:r>
              <w:t>有效期Durée de validité de la soumission</w:t>
            </w:r>
          </w:p>
        </w:tc>
        <w:tc>
          <w:tcPr>
            <w:tcW w:w="5903" w:type="dxa"/>
            <w:gridSpan w:val="2"/>
            <w:vAlign w:val="center"/>
          </w:tcPr>
          <w:p w14:paraId="433A6F39">
            <w:pPr>
              <w:adjustRightInd w:val="0"/>
              <w:snapToGrid w:val="0"/>
            </w:pPr>
            <w:r>
              <w:t>自规定的</w:t>
            </w:r>
            <w:r>
              <w:rPr>
                <w:rFonts w:hint="eastAsia"/>
              </w:rPr>
              <w:t>报价</w:t>
            </w:r>
            <w:r>
              <w:t>截止日期后</w:t>
            </w:r>
            <w:r>
              <w:rPr>
                <w:rFonts w:hint="eastAsia"/>
              </w:rPr>
              <w:t>90</w:t>
            </w:r>
            <w:r>
              <w:t>天</w:t>
            </w:r>
          </w:p>
          <w:p w14:paraId="33C9BE97">
            <w:pPr>
              <w:adjustRightInd w:val="0"/>
              <w:snapToGrid w:val="0"/>
            </w:pPr>
            <w:r>
              <w:t>90 jours à compter de la date de clôture spécifiée de l’offre</w:t>
            </w:r>
          </w:p>
        </w:tc>
        <w:tc>
          <w:tcPr>
            <w:tcW w:w="933" w:type="dxa"/>
            <w:vAlign w:val="center"/>
          </w:tcPr>
          <w:p w14:paraId="5DA17B60">
            <w:pPr>
              <w:adjustRightInd w:val="0"/>
              <w:snapToGrid w:val="0"/>
              <w:jc w:val="center"/>
            </w:pPr>
            <w:r>
              <w:rPr>
                <w:rFonts w:hint="eastAsia"/>
              </w:rPr>
              <w:t>/</w:t>
            </w:r>
          </w:p>
        </w:tc>
      </w:tr>
      <w:tr w14:paraId="6BDA0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7EECA464">
            <w:pPr>
              <w:numPr>
                <w:ilvl w:val="0"/>
                <w:numId w:val="1"/>
              </w:numPr>
              <w:adjustRightInd w:val="0"/>
              <w:snapToGrid w:val="0"/>
              <w:jc w:val="center"/>
            </w:pPr>
          </w:p>
        </w:tc>
        <w:tc>
          <w:tcPr>
            <w:tcW w:w="1681" w:type="dxa"/>
            <w:vAlign w:val="center"/>
          </w:tcPr>
          <w:p w14:paraId="576B90AE">
            <w:pPr>
              <w:adjustRightInd w:val="0"/>
              <w:snapToGrid w:val="0"/>
              <w:jc w:val="center"/>
            </w:pPr>
            <w:r>
              <w:t>签字或盖章要求</w:t>
            </w:r>
            <w:r>
              <w:rPr>
                <w:rFonts w:hint="eastAsia"/>
              </w:rPr>
              <w:t>Exigences en matière de signature ou de sceau</w:t>
            </w:r>
          </w:p>
        </w:tc>
        <w:tc>
          <w:tcPr>
            <w:tcW w:w="5903" w:type="dxa"/>
            <w:gridSpan w:val="2"/>
            <w:vAlign w:val="center"/>
          </w:tcPr>
          <w:p w14:paraId="549A42E5">
            <w:pPr>
              <w:adjustRightInd w:val="0"/>
              <w:snapToGrid w:val="0"/>
            </w:pPr>
            <w:r>
              <w:rPr>
                <w:rFonts w:hint="eastAsia"/>
              </w:rPr>
              <w:t>按照本采购文件的相关要求和规定在封面、表格、证明材料、其他材料等相关位置加盖单位章、法定代表人或其委托代理人签字或盖章。</w:t>
            </w:r>
          </w:p>
          <w:p w14:paraId="3D05234F">
            <w:pPr>
              <w:adjustRightInd w:val="0"/>
              <w:snapToGrid w:val="0"/>
            </w:pPr>
            <w:r>
              <w:rPr>
                <w:szCs w:val="21"/>
              </w:rPr>
              <w:t>Conformément aux exigences et dispositions pertinentes du présent document de passation de marché, dans la couverture, les formulaires, les documents justificatifs, les autres documents et les autres emplacements pertinents, le cachet de l</w:t>
            </w:r>
            <w:r>
              <w:t>a société</w:t>
            </w:r>
            <w:r>
              <w:rPr>
                <w:szCs w:val="21"/>
              </w:rPr>
              <w:t>, la signature ou le cachet du représentant légal ou de son mandataire sont apposés.</w:t>
            </w:r>
          </w:p>
        </w:tc>
        <w:tc>
          <w:tcPr>
            <w:tcW w:w="933" w:type="dxa"/>
            <w:vAlign w:val="center"/>
          </w:tcPr>
          <w:p w14:paraId="0928588E">
            <w:pPr>
              <w:adjustRightInd w:val="0"/>
              <w:snapToGrid w:val="0"/>
              <w:jc w:val="center"/>
            </w:pPr>
            <w:r>
              <w:rPr>
                <w:rFonts w:hint="eastAsia"/>
              </w:rPr>
              <w:t>/</w:t>
            </w:r>
          </w:p>
        </w:tc>
      </w:tr>
      <w:tr w14:paraId="3C9D0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25F20018">
            <w:pPr>
              <w:numPr>
                <w:ilvl w:val="0"/>
                <w:numId w:val="1"/>
              </w:numPr>
              <w:adjustRightInd w:val="0"/>
              <w:snapToGrid w:val="0"/>
              <w:jc w:val="center"/>
            </w:pPr>
          </w:p>
        </w:tc>
        <w:tc>
          <w:tcPr>
            <w:tcW w:w="1681" w:type="dxa"/>
            <w:vAlign w:val="center"/>
          </w:tcPr>
          <w:p w14:paraId="4FFA68D1">
            <w:pPr>
              <w:adjustRightInd w:val="0"/>
              <w:snapToGrid w:val="0"/>
              <w:jc w:val="center"/>
            </w:pPr>
            <w:r>
              <w:t>最高限价</w:t>
            </w:r>
          </w:p>
          <w:p w14:paraId="5493FA6F">
            <w:pPr>
              <w:adjustRightInd w:val="0"/>
              <w:snapToGrid w:val="0"/>
              <w:jc w:val="center"/>
            </w:pPr>
            <w:r>
              <w:rPr>
                <w:rFonts w:hint="eastAsia"/>
              </w:rPr>
              <w:t>Prix maximum</w:t>
            </w:r>
          </w:p>
        </w:tc>
        <w:tc>
          <w:tcPr>
            <w:tcW w:w="5903" w:type="dxa"/>
            <w:gridSpan w:val="2"/>
            <w:vAlign w:val="center"/>
          </w:tcPr>
          <w:p w14:paraId="4BFB4C5D">
            <w:pPr>
              <w:adjustRightInd w:val="0"/>
              <w:snapToGrid w:val="0"/>
              <w:rPr>
                <w:bCs/>
                <w:szCs w:val="21"/>
              </w:rPr>
            </w:pPr>
            <w:r>
              <w:rPr>
                <w:szCs w:val="21"/>
              </w:rPr>
              <w:sym w:font="Wingdings 2" w:char="0052"/>
            </w:r>
            <w:r>
              <w:rPr>
                <w:rFonts w:hint="eastAsia"/>
                <w:szCs w:val="21"/>
              </w:rPr>
              <w:t>不设置</w:t>
            </w:r>
            <w:r>
              <w:rPr>
                <w:bCs/>
                <w:szCs w:val="21"/>
              </w:rPr>
              <w:t>Pas fixé</w:t>
            </w:r>
          </w:p>
          <w:p w14:paraId="02AD760A">
            <w:pPr>
              <w:adjustRightInd w:val="0"/>
              <w:snapToGrid w:val="0"/>
            </w:pPr>
            <w:r>
              <w:rPr>
                <w:rFonts w:hint="eastAsia"/>
                <w:szCs w:val="21"/>
              </w:rPr>
              <w:t>□设置，最高限价</w:t>
            </w:r>
            <w:r>
              <w:rPr>
                <w:bCs/>
                <w:szCs w:val="21"/>
              </w:rPr>
              <w:t xml:space="preserve">Fixé, prix maximu </w:t>
            </w:r>
            <w:r>
              <w:rPr>
                <w:szCs w:val="21"/>
              </w:rPr>
              <w:t>：</w:t>
            </w:r>
          </w:p>
        </w:tc>
        <w:tc>
          <w:tcPr>
            <w:tcW w:w="933" w:type="dxa"/>
            <w:vAlign w:val="center"/>
          </w:tcPr>
          <w:p w14:paraId="53960079">
            <w:pPr>
              <w:adjustRightInd w:val="0"/>
              <w:snapToGrid w:val="0"/>
              <w:jc w:val="center"/>
            </w:pPr>
            <w:r>
              <w:rPr>
                <w:rFonts w:hint="eastAsia"/>
              </w:rPr>
              <w:t>/</w:t>
            </w:r>
          </w:p>
        </w:tc>
      </w:tr>
      <w:tr w14:paraId="748B26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701DEB22">
            <w:pPr>
              <w:numPr>
                <w:ilvl w:val="0"/>
                <w:numId w:val="1"/>
              </w:numPr>
              <w:adjustRightInd w:val="0"/>
              <w:snapToGrid w:val="0"/>
              <w:jc w:val="center"/>
            </w:pPr>
          </w:p>
        </w:tc>
        <w:tc>
          <w:tcPr>
            <w:tcW w:w="1681" w:type="dxa"/>
            <w:vAlign w:val="center"/>
          </w:tcPr>
          <w:p w14:paraId="46D25C6E">
            <w:pPr>
              <w:adjustRightInd w:val="0"/>
              <w:snapToGrid w:val="0"/>
              <w:jc w:val="center"/>
            </w:pPr>
            <w:r>
              <w:rPr>
                <w:rFonts w:hint="eastAsia"/>
              </w:rPr>
              <w:t>报价</w:t>
            </w:r>
            <w:r>
              <w:t>截止时间</w:t>
            </w:r>
          </w:p>
          <w:p w14:paraId="0F30C327">
            <w:pPr>
              <w:pStyle w:val="21"/>
              <w:jc w:val="center"/>
            </w:pPr>
            <w:r>
              <w:rPr>
                <w:rFonts w:hint="eastAsia"/>
                <w:sz w:val="21"/>
              </w:rPr>
              <w:t>Date limite de soumission</w:t>
            </w:r>
          </w:p>
        </w:tc>
        <w:tc>
          <w:tcPr>
            <w:tcW w:w="5903" w:type="dxa"/>
            <w:gridSpan w:val="2"/>
            <w:vAlign w:val="center"/>
          </w:tcPr>
          <w:p w14:paraId="5CBB64D1">
            <w:pPr>
              <w:adjustRightInd w:val="0"/>
              <w:snapToGrid w:val="0"/>
              <w:rPr>
                <w:szCs w:val="21"/>
              </w:rPr>
            </w:pPr>
            <w:r>
              <w:rPr>
                <w:rFonts w:hint="eastAsia"/>
                <w:szCs w:val="21"/>
              </w:rPr>
              <w:t>以平台公告为准。</w:t>
            </w:r>
          </w:p>
          <w:p w14:paraId="1C1781DE">
            <w:pPr>
              <w:pStyle w:val="21"/>
            </w:pPr>
            <w:r>
              <w:rPr>
                <w:sz w:val="21"/>
                <w:szCs w:val="21"/>
              </w:rPr>
              <w:t>Sous réserve de l’annonce de la plateforme.</w:t>
            </w:r>
          </w:p>
        </w:tc>
        <w:tc>
          <w:tcPr>
            <w:tcW w:w="933" w:type="dxa"/>
            <w:vAlign w:val="center"/>
          </w:tcPr>
          <w:p w14:paraId="4CDDD041">
            <w:pPr>
              <w:adjustRightInd w:val="0"/>
              <w:snapToGrid w:val="0"/>
              <w:jc w:val="center"/>
            </w:pPr>
            <w:r>
              <w:rPr>
                <w:rFonts w:hint="eastAsia"/>
              </w:rPr>
              <w:t>/</w:t>
            </w:r>
          </w:p>
        </w:tc>
      </w:tr>
      <w:tr w14:paraId="1A797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1958A01C">
            <w:pPr>
              <w:numPr>
                <w:ilvl w:val="0"/>
                <w:numId w:val="1"/>
              </w:numPr>
              <w:adjustRightInd w:val="0"/>
              <w:snapToGrid w:val="0"/>
              <w:jc w:val="center"/>
            </w:pPr>
          </w:p>
        </w:tc>
        <w:tc>
          <w:tcPr>
            <w:tcW w:w="1681" w:type="dxa"/>
            <w:vAlign w:val="center"/>
          </w:tcPr>
          <w:p w14:paraId="7803080B">
            <w:pPr>
              <w:adjustRightInd w:val="0"/>
              <w:snapToGrid w:val="0"/>
              <w:jc w:val="center"/>
            </w:pPr>
            <w:r>
              <w:t>递交</w:t>
            </w:r>
            <w:r>
              <w:rPr>
                <w:rFonts w:hint="eastAsia"/>
              </w:rPr>
              <w:t>响应</w:t>
            </w:r>
            <w:r>
              <w:t>文件地点</w:t>
            </w:r>
          </w:p>
          <w:p w14:paraId="27587ED7">
            <w:pPr>
              <w:adjustRightInd w:val="0"/>
              <w:snapToGrid w:val="0"/>
              <w:jc w:val="center"/>
            </w:pPr>
            <w:r>
              <w:rPr>
                <w:rFonts w:hint="eastAsia"/>
              </w:rPr>
              <w:t>Lieu de soumission des documents de participation</w:t>
            </w:r>
          </w:p>
        </w:tc>
        <w:tc>
          <w:tcPr>
            <w:tcW w:w="5903" w:type="dxa"/>
            <w:gridSpan w:val="2"/>
            <w:vAlign w:val="center"/>
          </w:tcPr>
          <w:p w14:paraId="0906C6DD">
            <w:pPr>
              <w:pStyle w:val="21"/>
              <w:rPr>
                <w:lang w:val="en-US"/>
              </w:rPr>
            </w:pPr>
            <w:r>
              <w:rPr>
                <w:rFonts w:hint="eastAsia"/>
                <w:sz w:val="21"/>
                <w:szCs w:val="21"/>
              </w:rPr>
              <w:t>zbcg@spicld.com</w:t>
            </w:r>
          </w:p>
        </w:tc>
        <w:tc>
          <w:tcPr>
            <w:tcW w:w="933" w:type="dxa"/>
            <w:vAlign w:val="center"/>
          </w:tcPr>
          <w:p w14:paraId="6407CE12">
            <w:pPr>
              <w:adjustRightInd w:val="0"/>
              <w:snapToGrid w:val="0"/>
              <w:jc w:val="center"/>
            </w:pPr>
            <w:r>
              <w:rPr>
                <w:rFonts w:hint="eastAsia"/>
              </w:rPr>
              <w:t>/</w:t>
            </w:r>
          </w:p>
        </w:tc>
      </w:tr>
      <w:tr w14:paraId="6C81C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40831519">
            <w:pPr>
              <w:numPr>
                <w:ilvl w:val="0"/>
                <w:numId w:val="1"/>
              </w:numPr>
              <w:adjustRightInd w:val="0"/>
              <w:snapToGrid w:val="0"/>
              <w:jc w:val="center"/>
            </w:pPr>
          </w:p>
        </w:tc>
        <w:tc>
          <w:tcPr>
            <w:tcW w:w="1681" w:type="dxa"/>
            <w:vAlign w:val="center"/>
          </w:tcPr>
          <w:p w14:paraId="7FCD2922">
            <w:pPr>
              <w:adjustRightInd w:val="0"/>
              <w:snapToGrid w:val="0"/>
              <w:jc w:val="center"/>
            </w:pPr>
            <w:r>
              <w:rPr>
                <w:rFonts w:hint="eastAsia"/>
              </w:rPr>
              <w:t>成交候选人公告媒介</w:t>
            </w:r>
          </w:p>
          <w:p w14:paraId="7CB0015F">
            <w:pPr>
              <w:adjustRightInd w:val="0"/>
              <w:snapToGrid w:val="0"/>
              <w:jc w:val="center"/>
            </w:pPr>
            <w:r>
              <w:rPr>
                <w:rFonts w:hint="eastAsia"/>
              </w:rPr>
              <w:t>Moyen d</w:t>
            </w:r>
            <w:r>
              <w:t>’</w:t>
            </w:r>
            <w:r>
              <w:rPr>
                <w:rFonts w:hint="eastAsia"/>
              </w:rPr>
              <w:t>annonce des candidats retenus</w:t>
            </w:r>
          </w:p>
        </w:tc>
        <w:tc>
          <w:tcPr>
            <w:tcW w:w="5903" w:type="dxa"/>
            <w:gridSpan w:val="2"/>
            <w:vAlign w:val="center"/>
          </w:tcPr>
          <w:p w14:paraId="07319BD1">
            <w:pPr>
              <w:pStyle w:val="21"/>
            </w:pPr>
            <w:r>
              <w:rPr>
                <w:rFonts w:hint="eastAsia"/>
                <w:szCs w:val="21"/>
              </w:rPr>
              <w:t>zbcg@spicld.com</w:t>
            </w:r>
          </w:p>
        </w:tc>
        <w:tc>
          <w:tcPr>
            <w:tcW w:w="933" w:type="dxa"/>
            <w:vAlign w:val="center"/>
          </w:tcPr>
          <w:p w14:paraId="15334F9C">
            <w:pPr>
              <w:adjustRightInd w:val="0"/>
              <w:snapToGrid w:val="0"/>
              <w:jc w:val="center"/>
              <w:rPr>
                <w:rFonts w:cs="宋体"/>
              </w:rPr>
            </w:pPr>
            <w:r>
              <w:rPr>
                <w:rFonts w:hint="eastAsia"/>
              </w:rPr>
              <w:t>/</w:t>
            </w:r>
          </w:p>
        </w:tc>
      </w:tr>
      <w:tr w14:paraId="0FAFF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4AB063BE">
            <w:pPr>
              <w:numPr>
                <w:ilvl w:val="0"/>
                <w:numId w:val="1"/>
              </w:numPr>
              <w:adjustRightInd w:val="0"/>
              <w:snapToGrid w:val="0"/>
              <w:jc w:val="center"/>
            </w:pPr>
          </w:p>
        </w:tc>
        <w:tc>
          <w:tcPr>
            <w:tcW w:w="1681" w:type="dxa"/>
            <w:vAlign w:val="center"/>
          </w:tcPr>
          <w:p w14:paraId="6BEF4CB5">
            <w:pPr>
              <w:adjustRightInd w:val="0"/>
              <w:snapToGrid w:val="0"/>
              <w:jc w:val="center"/>
            </w:pPr>
            <w:r>
              <w:rPr>
                <w:rFonts w:hint="eastAsia"/>
              </w:rPr>
              <w:t>响应文件开启</w:t>
            </w:r>
          </w:p>
          <w:p w14:paraId="565EB00B">
            <w:pPr>
              <w:pStyle w:val="21"/>
              <w:jc w:val="center"/>
            </w:pPr>
            <w:r>
              <w:rPr>
                <w:rFonts w:hint="eastAsia"/>
                <w:sz w:val="21"/>
              </w:rPr>
              <w:t>Ouverture des documents de participation</w:t>
            </w:r>
          </w:p>
        </w:tc>
        <w:tc>
          <w:tcPr>
            <w:tcW w:w="5903" w:type="dxa"/>
            <w:gridSpan w:val="2"/>
            <w:vAlign w:val="center"/>
          </w:tcPr>
          <w:p w14:paraId="09946C3E">
            <w:pPr>
              <w:adjustRightInd w:val="0"/>
              <w:snapToGrid w:val="0"/>
              <w:rPr>
                <w:szCs w:val="21"/>
              </w:rPr>
            </w:pPr>
            <w:r>
              <w:rPr>
                <w:szCs w:val="21"/>
              </w:rPr>
              <w:sym w:font="Wingdings 2" w:char="F052"/>
            </w:r>
            <w:r>
              <w:rPr>
                <w:rFonts w:hint="eastAsia"/>
                <w:szCs w:val="21"/>
              </w:rPr>
              <w:t>公开询价，在规定截止时间若应答人为两个时，评审小组可继续按照原程序进行询价，若应答人为一个时，可转为直接采购；或终止后重新采购。</w:t>
            </w:r>
          </w:p>
          <w:p w14:paraId="1E093CA0">
            <w:pPr>
              <w:adjustRightInd w:val="0"/>
              <w:snapToGrid w:val="0"/>
              <w:rPr>
                <w:szCs w:val="21"/>
              </w:rPr>
            </w:pPr>
            <w:r>
              <w:rPr>
                <w:szCs w:val="21"/>
              </w:rPr>
              <w:t>Procédure d’appel public à la concurrence</w:t>
            </w:r>
          </w:p>
          <w:p w14:paraId="63677F25">
            <w:pPr>
              <w:adjustRightInd w:val="0"/>
              <w:snapToGrid w:val="0"/>
              <w:rPr>
                <w:szCs w:val="21"/>
              </w:rPr>
            </w:pPr>
            <w:r>
              <w:rPr>
                <w:szCs w:val="21"/>
              </w:rPr>
              <w:t>Si au moins deux soumissionnaires ont soumis une offre valable à la date limite, la procédure se poursuit selon les règles initiales. Si un seul soumissionnaire a soumis une offre valable, l’acheteur peut soit passer à un achat direct, soit annuler et relancer la procédure.</w:t>
            </w:r>
          </w:p>
          <w:p w14:paraId="1485910D">
            <w:pPr>
              <w:adjustRightInd w:val="0"/>
              <w:snapToGrid w:val="0"/>
              <w:rPr>
                <w:szCs w:val="21"/>
              </w:rPr>
            </w:pPr>
            <w:r>
              <w:rPr>
                <w:szCs w:val="21"/>
              </w:rPr>
              <w:t>□</w:t>
            </w:r>
            <w:r>
              <w:rPr>
                <w:rFonts w:hint="eastAsia"/>
                <w:szCs w:val="21"/>
              </w:rPr>
              <w:t>邀请询价，在规定截止时间若应答人为两个或一个时，终止本次询价活动。</w:t>
            </w:r>
          </w:p>
          <w:p w14:paraId="631A54B2">
            <w:pPr>
              <w:adjustRightInd w:val="0"/>
              <w:snapToGrid w:val="0"/>
              <w:rPr>
                <w:szCs w:val="21"/>
              </w:rPr>
            </w:pPr>
            <w:r>
              <w:rPr>
                <w:szCs w:val="21"/>
              </w:rPr>
              <w:t>Procédure d’appel d’offres restreint (sur invitation) Si un ou deux soumissionnaires seulement ont soumis une offre valable à la date limite, la procédure est annulée automatiquement.</w:t>
            </w:r>
          </w:p>
          <w:p w14:paraId="04301A9E">
            <w:pPr>
              <w:adjustRightInd w:val="0"/>
              <w:snapToGrid w:val="0"/>
            </w:pPr>
          </w:p>
        </w:tc>
        <w:tc>
          <w:tcPr>
            <w:tcW w:w="933" w:type="dxa"/>
            <w:vAlign w:val="center"/>
          </w:tcPr>
          <w:p w14:paraId="4479CCBB">
            <w:pPr>
              <w:adjustRightInd w:val="0"/>
              <w:snapToGrid w:val="0"/>
              <w:jc w:val="center"/>
            </w:pPr>
            <w:r>
              <w:rPr>
                <w:rFonts w:hint="eastAsia"/>
              </w:rPr>
              <w:t>/</w:t>
            </w:r>
          </w:p>
        </w:tc>
      </w:tr>
      <w:tr w14:paraId="77F576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6CBC93B6">
            <w:pPr>
              <w:numPr>
                <w:ilvl w:val="0"/>
                <w:numId w:val="1"/>
              </w:numPr>
              <w:adjustRightInd w:val="0"/>
              <w:snapToGrid w:val="0"/>
              <w:jc w:val="center"/>
            </w:pPr>
          </w:p>
        </w:tc>
        <w:tc>
          <w:tcPr>
            <w:tcW w:w="1681" w:type="dxa"/>
            <w:vAlign w:val="center"/>
          </w:tcPr>
          <w:p w14:paraId="197BA95A">
            <w:pPr>
              <w:adjustRightInd w:val="0"/>
              <w:snapToGrid w:val="0"/>
              <w:jc w:val="center"/>
            </w:pPr>
            <w:r>
              <w:rPr>
                <w:rFonts w:hint="eastAsia"/>
              </w:rPr>
              <w:t>成交服务费</w:t>
            </w:r>
          </w:p>
          <w:p w14:paraId="381C9B77">
            <w:pPr>
              <w:pStyle w:val="21"/>
              <w:jc w:val="center"/>
            </w:pPr>
            <w:r>
              <w:rPr>
                <w:rFonts w:hint="eastAsia"/>
                <w:sz w:val="21"/>
              </w:rPr>
              <w:t>Frais de service de transaction</w:t>
            </w:r>
          </w:p>
        </w:tc>
        <w:tc>
          <w:tcPr>
            <w:tcW w:w="5903" w:type="dxa"/>
            <w:gridSpan w:val="2"/>
            <w:vAlign w:val="center"/>
          </w:tcPr>
          <w:p w14:paraId="3C84FFCB">
            <w:pPr>
              <w:adjustRightInd w:val="0"/>
              <w:snapToGrid w:val="0"/>
            </w:pPr>
            <w:r>
              <w:rPr>
                <w:rFonts w:hint="eastAsia"/>
              </w:rPr>
              <w:t>无</w:t>
            </w:r>
          </w:p>
          <w:p w14:paraId="5555E73C">
            <w:pPr>
              <w:adjustRightInd w:val="0"/>
              <w:snapToGrid w:val="0"/>
            </w:pPr>
            <w:r>
              <w:t>Aucun</w:t>
            </w:r>
          </w:p>
        </w:tc>
        <w:tc>
          <w:tcPr>
            <w:tcW w:w="933" w:type="dxa"/>
            <w:vAlign w:val="center"/>
          </w:tcPr>
          <w:p w14:paraId="5B94D67E">
            <w:pPr>
              <w:adjustRightInd w:val="0"/>
              <w:snapToGrid w:val="0"/>
              <w:jc w:val="center"/>
            </w:pPr>
            <w:r>
              <w:rPr>
                <w:rFonts w:hint="eastAsia"/>
              </w:rPr>
              <w:t>/</w:t>
            </w:r>
          </w:p>
        </w:tc>
      </w:tr>
      <w:tr w14:paraId="7F9A7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 w:type="dxa"/>
            <w:vAlign w:val="center"/>
          </w:tcPr>
          <w:p w14:paraId="1ED452E2">
            <w:pPr>
              <w:numPr>
                <w:ilvl w:val="0"/>
                <w:numId w:val="1"/>
              </w:numPr>
              <w:adjustRightInd w:val="0"/>
              <w:snapToGrid w:val="0"/>
              <w:jc w:val="center"/>
            </w:pPr>
          </w:p>
        </w:tc>
        <w:tc>
          <w:tcPr>
            <w:tcW w:w="1681" w:type="dxa"/>
            <w:vAlign w:val="center"/>
          </w:tcPr>
          <w:p w14:paraId="527C66AA">
            <w:pPr>
              <w:jc w:val="center"/>
              <w:rPr>
                <w:rFonts w:cs="等线"/>
              </w:rPr>
            </w:pPr>
            <w:r>
              <w:rPr>
                <w:rFonts w:hint="eastAsia" w:cs="等线"/>
              </w:rPr>
              <w:t>其他内容</w:t>
            </w:r>
          </w:p>
          <w:p w14:paraId="097B7B4D">
            <w:pPr>
              <w:jc w:val="center"/>
              <w:rPr>
                <w:b/>
              </w:rPr>
            </w:pPr>
            <w:r>
              <w:rPr>
                <w:rFonts w:hint="eastAsia"/>
              </w:rPr>
              <w:t>Autres contenus</w:t>
            </w:r>
          </w:p>
        </w:tc>
        <w:tc>
          <w:tcPr>
            <w:tcW w:w="5903" w:type="dxa"/>
            <w:gridSpan w:val="2"/>
            <w:vAlign w:val="center"/>
          </w:tcPr>
          <w:p w14:paraId="6135EFE5">
            <w:pPr>
              <w:widowControl/>
              <w:adjustRightInd w:val="0"/>
              <w:snapToGrid w:val="0"/>
            </w:pPr>
            <w:r>
              <w:t>1.</w:t>
            </w:r>
            <w:r>
              <w:rPr>
                <w:rFonts w:hint="eastAsia"/>
              </w:rPr>
              <w:t>响应文件按技术、商务部分（也称文件</w:t>
            </w:r>
            <w:r>
              <w:t>A</w:t>
            </w:r>
            <w:r>
              <w:rPr>
                <w:rFonts w:hint="eastAsia"/>
              </w:rPr>
              <w:t>）和价格部分（也称文件</w:t>
            </w:r>
            <w:r>
              <w:t>B</w:t>
            </w:r>
            <w:r>
              <w:rPr>
                <w:rFonts w:hint="eastAsia"/>
              </w:rPr>
              <w:t>）须分开编制，单独上传，详细要求见第四章响应文件格式。</w:t>
            </w:r>
          </w:p>
          <w:p w14:paraId="6D41037F">
            <w:pPr>
              <w:widowControl/>
              <w:adjustRightInd w:val="0"/>
              <w:snapToGrid w:val="0"/>
            </w:pPr>
            <w:r>
              <w:t>2.</w:t>
            </w:r>
            <w:r>
              <w:rPr>
                <w:rFonts w:hint="eastAsia"/>
              </w:rPr>
              <w:t>响应文件为</w:t>
            </w:r>
            <w:r>
              <w:t>PDF</w:t>
            </w:r>
            <w:r>
              <w:rPr>
                <w:rFonts w:hint="eastAsia"/>
              </w:rPr>
              <w:t>文件，当采购系统报价与响应文件</w:t>
            </w:r>
            <w:r>
              <w:t>B</w:t>
            </w:r>
            <w:r>
              <w:rPr>
                <w:rFonts w:hint="eastAsia"/>
              </w:rPr>
              <w:t>中报价汇总表总金额之间有差异时，以</w:t>
            </w:r>
            <w:r>
              <w:t>PDF</w:t>
            </w:r>
            <w:r>
              <w:rPr>
                <w:rFonts w:hint="eastAsia"/>
              </w:rPr>
              <w:t>文件为准；所有报价价格表须同时提供</w:t>
            </w:r>
            <w:r>
              <w:t>Word</w:t>
            </w:r>
            <w:r>
              <w:rPr>
                <w:rFonts w:hint="eastAsia"/>
              </w:rPr>
              <w:t>或</w:t>
            </w:r>
            <w:r>
              <w:t>Excel</w:t>
            </w:r>
            <w:r>
              <w:rPr>
                <w:rFonts w:hint="eastAsia"/>
              </w:rPr>
              <w:t>格式文件。</w:t>
            </w:r>
          </w:p>
          <w:p w14:paraId="72302122">
            <w:pPr>
              <w:widowControl/>
              <w:adjustRightInd w:val="0"/>
              <w:snapToGrid w:val="0"/>
            </w:pPr>
            <w:r>
              <w:t>3.</w:t>
            </w:r>
            <w:r>
              <w:rPr>
                <w:rFonts w:hint="eastAsia"/>
              </w:rPr>
              <w:t>响应文件命名统一采用如</w:t>
            </w:r>
            <w:r>
              <w:t>“</w:t>
            </w:r>
            <w:r>
              <w:rPr>
                <w:rFonts w:hint="eastAsia"/>
              </w:rPr>
              <w:t>公司名称</w:t>
            </w:r>
            <w:r>
              <w:t>+××</w:t>
            </w:r>
            <w:r>
              <w:rPr>
                <w:rFonts w:hint="eastAsia"/>
              </w:rPr>
              <w:t>项目响应文件</w:t>
            </w:r>
            <w:r>
              <w:t>A”“</w:t>
            </w:r>
            <w:r>
              <w:rPr>
                <w:rFonts w:hint="eastAsia"/>
              </w:rPr>
              <w:t>公司名称</w:t>
            </w:r>
            <w:r>
              <w:t>+××</w:t>
            </w:r>
            <w:r>
              <w:rPr>
                <w:rFonts w:hint="eastAsia"/>
              </w:rPr>
              <w:t>项目响应文件</w:t>
            </w:r>
            <w:r>
              <w:t>B”</w:t>
            </w:r>
            <w:r>
              <w:rPr>
                <w:rFonts w:hint="eastAsia"/>
              </w:rPr>
              <w:t>方式。</w:t>
            </w:r>
          </w:p>
          <w:p w14:paraId="3B741B40">
            <w:pPr>
              <w:widowControl/>
              <w:adjustRightInd w:val="0"/>
              <w:snapToGrid w:val="0"/>
            </w:pPr>
            <w:r>
              <w:t>4.</w:t>
            </w:r>
            <w:r>
              <w:rPr>
                <w:rFonts w:hint="eastAsia"/>
              </w:rPr>
              <w:t>采购监督邮箱：</w:t>
            </w:r>
            <w:r>
              <w:fldChar w:fldCharType="begin"/>
            </w:r>
            <w:r>
              <w:instrText xml:space="preserve"> HYPERLINK "mailto:falvshiwu@spic.com.cn" </w:instrText>
            </w:r>
            <w:r>
              <w:fldChar w:fldCharType="separate"/>
            </w:r>
            <w:r>
              <w:rPr>
                <w:rStyle w:val="42"/>
                <w:color w:val="auto"/>
              </w:rPr>
              <w:t>falvshiwu@spic.com.cn</w:t>
            </w:r>
            <w:r>
              <w:rPr>
                <w:rStyle w:val="42"/>
                <w:color w:val="auto"/>
              </w:rPr>
              <w:fldChar w:fldCharType="end"/>
            </w:r>
          </w:p>
          <w:p w14:paraId="70463080">
            <w:pPr>
              <w:rPr>
                <w:szCs w:val="21"/>
              </w:rPr>
            </w:pPr>
            <w:r>
              <w:rPr>
                <w:szCs w:val="21"/>
              </w:rPr>
              <w:t>1) Les documents de réponse concernant la partie technique et commerciale (également appelée document A) et la partie relative au prix (également appelée document B) doivent être préparés séparément et téléchargés séparément ; voir le chapitre IV pour les exigences détaillées concernant le format des documents de réponse.</w:t>
            </w:r>
          </w:p>
          <w:p w14:paraId="4FBF9EED">
            <w:pPr>
              <w:rPr>
                <w:szCs w:val="21"/>
              </w:rPr>
            </w:pPr>
            <w:r>
              <w:rPr>
                <w:szCs w:val="21"/>
              </w:rPr>
              <w:t>2) Fichier de réponse pour le fichier PDF, lorsque l’offre du système de passation de marchés et le fichier de réponse B dans le tableau récapitulatif du montant total de la différence entre le fichier PDF prévalent ; tous les devis doivent être fournis en même temps que la liste des prix en format Word ou Excel.</w:t>
            </w:r>
          </w:p>
          <w:p w14:paraId="0540D0D4">
            <w:pPr>
              <w:rPr>
                <w:szCs w:val="21"/>
              </w:rPr>
            </w:pPr>
            <w:r>
              <w:rPr>
                <w:szCs w:val="21"/>
              </w:rPr>
              <w:t>3. unité de dénomination des fichiers de réponse, telle que « nom de l’entreprise + xxx fichier de réponse au projet A », « nom de l’entreprise + xxx fichier de réponse au projet B ».</w:t>
            </w:r>
          </w:p>
          <w:p w14:paraId="2298099E">
            <w:r>
              <w:rPr>
                <w:szCs w:val="21"/>
              </w:rPr>
              <w:t>4) Boîte aux lettres de supervision des marchés publics :</w:t>
            </w:r>
            <w:r>
              <w:fldChar w:fldCharType="begin"/>
            </w:r>
            <w:r>
              <w:instrText xml:space="preserve"> HYPERLINK "mailto:falvshiwu@spic.com.cn" </w:instrText>
            </w:r>
            <w:r>
              <w:fldChar w:fldCharType="separate"/>
            </w:r>
            <w:r>
              <w:rPr>
                <w:rStyle w:val="42"/>
                <w:color w:val="auto"/>
                <w:szCs w:val="21"/>
              </w:rPr>
              <w:t>falvshiwu@spic.com.cn</w:t>
            </w:r>
            <w:r>
              <w:rPr>
                <w:rStyle w:val="42"/>
                <w:color w:val="auto"/>
                <w:szCs w:val="21"/>
              </w:rPr>
              <w:fldChar w:fldCharType="end"/>
            </w:r>
          </w:p>
        </w:tc>
        <w:tc>
          <w:tcPr>
            <w:tcW w:w="933" w:type="dxa"/>
            <w:vAlign w:val="center"/>
          </w:tcPr>
          <w:p w14:paraId="3DB5B981">
            <w:pPr>
              <w:adjustRightInd w:val="0"/>
              <w:snapToGrid w:val="0"/>
              <w:jc w:val="center"/>
            </w:pPr>
            <w:r>
              <w:rPr>
                <w:rFonts w:hint="eastAsia"/>
              </w:rPr>
              <w:t>/</w:t>
            </w:r>
          </w:p>
        </w:tc>
      </w:tr>
    </w:tbl>
    <w:p w14:paraId="631A891A">
      <w:pPr>
        <w:pStyle w:val="3"/>
        <w:widowControl/>
        <w:snapToGrid w:val="0"/>
        <w:spacing w:before="0" w:after="0" w:line="360" w:lineRule="auto"/>
        <w:ind w:firstLine="420"/>
        <w:jc w:val="left"/>
        <w:rPr>
          <w:rFonts w:ascii="Times New Roman" w:hAnsi="Times New Roman"/>
          <w:sz w:val="21"/>
          <w:szCs w:val="21"/>
        </w:rPr>
      </w:pPr>
      <w:r>
        <w:rPr>
          <w:rFonts w:ascii="Times New Roman" w:hAnsi="Times New Roman"/>
        </w:rPr>
        <w:br w:type="page"/>
      </w:r>
      <w:bookmarkEnd w:id="9"/>
      <w:bookmarkStart w:id="12" w:name="_Toc30912"/>
      <w:bookmarkStart w:id="13" w:name="_Toc23549"/>
      <w:bookmarkStart w:id="14" w:name="_Toc21652"/>
      <w:bookmarkStart w:id="15" w:name="_Toc6561310"/>
      <w:bookmarkStart w:id="16" w:name="_Toc27228"/>
      <w:bookmarkStart w:id="17" w:name="_Toc19910"/>
      <w:bookmarkStart w:id="18" w:name="_Toc13426"/>
      <w:bookmarkStart w:id="19" w:name="_Toc5963"/>
      <w:bookmarkStart w:id="20" w:name="_Toc26309"/>
      <w:r>
        <w:rPr>
          <w:rFonts w:ascii="Times New Roman" w:hAnsi="Times New Roman"/>
          <w:sz w:val="21"/>
          <w:szCs w:val="21"/>
        </w:rPr>
        <w:t>1.</w:t>
      </w:r>
      <w:r>
        <w:rPr>
          <w:rFonts w:hint="eastAsia" w:ascii="Times New Roman" w:hAnsi="Times New Roman"/>
          <w:sz w:val="21"/>
          <w:szCs w:val="21"/>
        </w:rPr>
        <w:t>总则</w:t>
      </w:r>
      <w:bookmarkEnd w:id="12"/>
      <w:r>
        <w:rPr>
          <w:rFonts w:ascii="Times New Roman" w:hAnsi="Times New Roman"/>
          <w:sz w:val="21"/>
          <w:szCs w:val="21"/>
        </w:rPr>
        <w:t xml:space="preserve"> Dispositions générales</w:t>
      </w:r>
    </w:p>
    <w:p w14:paraId="0C0A8E2E">
      <w:pPr>
        <w:spacing w:line="360" w:lineRule="auto"/>
        <w:ind w:firstLine="420"/>
        <w:rPr>
          <w:b/>
          <w:bCs/>
          <w:kern w:val="0"/>
          <w:szCs w:val="21"/>
        </w:rPr>
      </w:pPr>
      <w:r>
        <w:rPr>
          <w:b/>
          <w:kern w:val="0"/>
          <w:szCs w:val="21"/>
          <w:lang w:bidi="ar"/>
        </w:rPr>
        <w:t xml:space="preserve">1.1 </w:t>
      </w:r>
      <w:r>
        <w:rPr>
          <w:rFonts w:hint="eastAsia"/>
          <w:b/>
          <w:kern w:val="0"/>
          <w:szCs w:val="21"/>
          <w:lang w:bidi="ar"/>
        </w:rPr>
        <w:t xml:space="preserve">定义 </w:t>
      </w:r>
      <w:r>
        <w:rPr>
          <w:b/>
          <w:bCs/>
          <w:kern w:val="0"/>
          <w:szCs w:val="21"/>
          <w:lang w:bidi="ar"/>
        </w:rPr>
        <w:t>Définitions</w:t>
      </w:r>
    </w:p>
    <w:p w14:paraId="0BFD2520">
      <w:pPr>
        <w:tabs>
          <w:tab w:val="left" w:pos="993"/>
          <w:tab w:val="left" w:pos="1135"/>
        </w:tabs>
        <w:spacing w:line="360" w:lineRule="auto"/>
        <w:ind w:firstLine="420"/>
        <w:jc w:val="left"/>
        <w:rPr>
          <w:szCs w:val="21"/>
        </w:rPr>
      </w:pPr>
      <w:r>
        <w:rPr>
          <w:szCs w:val="21"/>
          <w:lang w:bidi="ar"/>
        </w:rPr>
        <w:t>1.1.1</w:t>
      </w:r>
      <w:r>
        <w:rPr>
          <w:rFonts w:hint="eastAsia"/>
          <w:szCs w:val="21"/>
          <w:lang w:bidi="ar"/>
        </w:rPr>
        <w:t>采购人：见响应人须知前附表。</w:t>
      </w:r>
    </w:p>
    <w:p w14:paraId="0985E8C3">
      <w:pPr>
        <w:tabs>
          <w:tab w:val="left" w:pos="993"/>
          <w:tab w:val="left" w:pos="1135"/>
        </w:tabs>
        <w:spacing w:line="360" w:lineRule="auto"/>
        <w:ind w:firstLine="420"/>
        <w:jc w:val="left"/>
        <w:rPr>
          <w:szCs w:val="21"/>
        </w:rPr>
      </w:pPr>
      <w:r>
        <w:rPr>
          <w:szCs w:val="21"/>
          <w:lang w:bidi="ar"/>
        </w:rPr>
        <w:t>1.1.2</w:t>
      </w:r>
      <w:r>
        <w:rPr>
          <w:rFonts w:hint="eastAsia"/>
          <w:szCs w:val="21"/>
          <w:lang w:bidi="ar"/>
        </w:rPr>
        <w:t>项目单位：见响应人须知前附表。</w:t>
      </w:r>
    </w:p>
    <w:p w14:paraId="713F33CA">
      <w:pPr>
        <w:tabs>
          <w:tab w:val="left" w:pos="993"/>
          <w:tab w:val="left" w:pos="1135"/>
        </w:tabs>
        <w:spacing w:line="360" w:lineRule="auto"/>
        <w:ind w:firstLine="420"/>
        <w:jc w:val="left"/>
      </w:pPr>
      <w:r>
        <w:rPr>
          <w:szCs w:val="21"/>
          <w:lang w:bidi="ar"/>
        </w:rPr>
        <w:t>1.1.3</w:t>
      </w:r>
      <w:r>
        <w:rPr>
          <w:rFonts w:hint="eastAsia"/>
          <w:szCs w:val="21"/>
          <w:lang w:bidi="ar"/>
        </w:rPr>
        <w:t>项目名称：见响应人须知前附表。</w:t>
      </w:r>
    </w:p>
    <w:p w14:paraId="20B2BA01">
      <w:pPr>
        <w:tabs>
          <w:tab w:val="left" w:pos="993"/>
          <w:tab w:val="left" w:pos="1135"/>
        </w:tabs>
        <w:spacing w:line="360" w:lineRule="auto"/>
        <w:ind w:firstLine="420"/>
        <w:jc w:val="left"/>
        <w:rPr>
          <w:szCs w:val="21"/>
        </w:rPr>
      </w:pPr>
      <w:r>
        <w:rPr>
          <w:szCs w:val="21"/>
          <w:lang w:bidi="ar"/>
        </w:rPr>
        <w:t>1.1.4</w:t>
      </w:r>
      <w:r>
        <w:rPr>
          <w:rFonts w:hint="eastAsia"/>
          <w:szCs w:val="21"/>
          <w:lang w:bidi="ar"/>
        </w:rPr>
        <w:t>响应人：参与本项目竞争的法人或其他组织</w:t>
      </w:r>
    </w:p>
    <w:p w14:paraId="03968851">
      <w:pPr>
        <w:tabs>
          <w:tab w:val="left" w:pos="993"/>
          <w:tab w:val="left" w:pos="1135"/>
        </w:tabs>
        <w:spacing w:line="360" w:lineRule="auto"/>
        <w:ind w:firstLine="420"/>
        <w:jc w:val="left"/>
        <w:rPr>
          <w:szCs w:val="21"/>
        </w:rPr>
      </w:pPr>
      <w:r>
        <w:rPr>
          <w:szCs w:val="21"/>
          <w:lang w:bidi="ar"/>
        </w:rPr>
        <w:t>1.1.5</w:t>
      </w:r>
      <w:r>
        <w:rPr>
          <w:rFonts w:hint="eastAsia"/>
          <w:szCs w:val="21"/>
          <w:lang w:bidi="ar"/>
        </w:rPr>
        <w:t>成交人：最终被授予合同的响应人。</w:t>
      </w:r>
    </w:p>
    <w:p w14:paraId="40F837A2">
      <w:pPr>
        <w:tabs>
          <w:tab w:val="left" w:pos="993"/>
          <w:tab w:val="left" w:pos="1135"/>
        </w:tabs>
        <w:spacing w:line="360" w:lineRule="auto"/>
        <w:ind w:firstLine="420"/>
        <w:jc w:val="left"/>
        <w:rPr>
          <w:szCs w:val="21"/>
        </w:rPr>
      </w:pPr>
      <w:r>
        <w:rPr>
          <w:szCs w:val="21"/>
          <w:lang w:bidi="ar"/>
        </w:rPr>
        <w:t>1.1.1 Acheteur : Voir le tableau Annexe des instructions aux soumissionnaires.</w:t>
      </w:r>
    </w:p>
    <w:p w14:paraId="0D7B2223">
      <w:pPr>
        <w:tabs>
          <w:tab w:val="left" w:pos="993"/>
          <w:tab w:val="left" w:pos="1135"/>
        </w:tabs>
        <w:spacing w:line="360" w:lineRule="auto"/>
        <w:ind w:firstLine="420"/>
        <w:jc w:val="left"/>
        <w:rPr>
          <w:szCs w:val="21"/>
        </w:rPr>
      </w:pPr>
      <w:r>
        <w:rPr>
          <w:szCs w:val="21"/>
          <w:lang w:bidi="ar"/>
        </w:rPr>
        <w:t>1.1.2 Unité du projet : Voir le tableau Annexe des instructions aux soumissionnaires.</w:t>
      </w:r>
    </w:p>
    <w:p w14:paraId="47D95BDA">
      <w:pPr>
        <w:tabs>
          <w:tab w:val="left" w:pos="993"/>
          <w:tab w:val="left" w:pos="1135"/>
        </w:tabs>
        <w:spacing w:line="360" w:lineRule="auto"/>
        <w:ind w:firstLine="420"/>
        <w:jc w:val="left"/>
        <w:rPr>
          <w:szCs w:val="21"/>
        </w:rPr>
      </w:pPr>
      <w:r>
        <w:rPr>
          <w:szCs w:val="21"/>
          <w:lang w:bidi="ar"/>
        </w:rPr>
        <w:t>1.1.3 Nom du projet : Voir le tableau Annexe des instructions aux soumissionnaires.</w:t>
      </w:r>
    </w:p>
    <w:p w14:paraId="78A58A71">
      <w:pPr>
        <w:tabs>
          <w:tab w:val="left" w:pos="993"/>
          <w:tab w:val="left" w:pos="1135"/>
        </w:tabs>
        <w:spacing w:line="360" w:lineRule="auto"/>
        <w:ind w:firstLine="420"/>
        <w:jc w:val="left"/>
        <w:rPr>
          <w:szCs w:val="21"/>
        </w:rPr>
      </w:pPr>
      <w:r>
        <w:rPr>
          <w:szCs w:val="21"/>
          <w:lang w:bidi="ar"/>
        </w:rPr>
        <w:t>1.1.4 Soumissionnaire : Personne morale ou autre entité participant à la concurrence pour ce projet.</w:t>
      </w:r>
    </w:p>
    <w:p w14:paraId="01BCFF80">
      <w:pPr>
        <w:tabs>
          <w:tab w:val="left" w:pos="993"/>
          <w:tab w:val="left" w:pos="1135"/>
        </w:tabs>
        <w:spacing w:line="360" w:lineRule="auto"/>
        <w:ind w:firstLine="420"/>
        <w:jc w:val="left"/>
        <w:rPr>
          <w:rFonts w:cs="宋体"/>
          <w:szCs w:val="21"/>
        </w:rPr>
      </w:pPr>
      <w:r>
        <w:rPr>
          <w:szCs w:val="21"/>
          <w:lang w:bidi="ar"/>
        </w:rPr>
        <w:t>1.1.5 Titulaire retenu : Soumissionnaire à qui le contrat est finalement attribué.</w:t>
      </w:r>
      <w:bookmarkEnd w:id="13"/>
      <w:bookmarkEnd w:id="14"/>
      <w:bookmarkEnd w:id="15"/>
      <w:bookmarkEnd w:id="16"/>
      <w:bookmarkEnd w:id="17"/>
      <w:bookmarkEnd w:id="18"/>
    </w:p>
    <w:p w14:paraId="4AA27B16">
      <w:pPr>
        <w:spacing w:line="360" w:lineRule="auto"/>
        <w:ind w:firstLine="420"/>
        <w:rPr>
          <w:b/>
          <w:kern w:val="0"/>
          <w:szCs w:val="21"/>
        </w:rPr>
      </w:pPr>
      <w:r>
        <w:rPr>
          <w:b/>
          <w:kern w:val="0"/>
          <w:szCs w:val="21"/>
          <w:lang w:bidi="ar"/>
        </w:rPr>
        <w:t xml:space="preserve">1.2 </w:t>
      </w:r>
      <w:r>
        <w:rPr>
          <w:rFonts w:hint="eastAsia"/>
          <w:b/>
          <w:kern w:val="0"/>
          <w:szCs w:val="21"/>
          <w:lang w:bidi="ar"/>
        </w:rPr>
        <w:t>项目概况</w:t>
      </w:r>
      <w:r>
        <w:rPr>
          <w:b/>
          <w:bCs/>
          <w:kern w:val="0"/>
          <w:szCs w:val="21"/>
          <w:lang w:bidi="ar"/>
        </w:rPr>
        <w:t>Aperçu du projet</w:t>
      </w:r>
    </w:p>
    <w:p w14:paraId="5658CD91">
      <w:pPr>
        <w:tabs>
          <w:tab w:val="left" w:pos="993"/>
          <w:tab w:val="left" w:pos="1135"/>
        </w:tabs>
        <w:spacing w:line="360" w:lineRule="auto"/>
        <w:ind w:firstLine="420"/>
        <w:jc w:val="left"/>
        <w:rPr>
          <w:szCs w:val="21"/>
        </w:rPr>
      </w:pPr>
      <w:r>
        <w:rPr>
          <w:rFonts w:hint="eastAsia"/>
          <w:szCs w:val="21"/>
          <w:lang w:bidi="ar"/>
        </w:rPr>
        <w:t>本项目询价范围为本采购文件规定的，同时也包括所有必要的材料、备品备件、专用工具、消耗品以及设计、技术资料和技术服务等。具体内容详见技术部分有关规定。</w:t>
      </w:r>
    </w:p>
    <w:p w14:paraId="27D3049A">
      <w:pPr>
        <w:tabs>
          <w:tab w:val="left" w:pos="993"/>
          <w:tab w:val="left" w:pos="1135"/>
        </w:tabs>
        <w:spacing w:line="360" w:lineRule="auto"/>
        <w:ind w:firstLine="420"/>
        <w:jc w:val="left"/>
        <w:rPr>
          <w:szCs w:val="21"/>
        </w:rPr>
      </w:pPr>
      <w:r>
        <w:rPr>
          <w:szCs w:val="21"/>
          <w:lang w:bidi="ar"/>
        </w:rPr>
        <w:t>La portée de la consultation de ce projet inclut les éléments spécifiés dans le dossier d’achat, ainsi que tous les matériaux, pièces de rechange, outils spécialisés, consommables, documentation technique, données de conception et services techniques nécessaires. Les détails sont précisés dans la section technique.</w:t>
      </w:r>
    </w:p>
    <w:p w14:paraId="65644203">
      <w:pPr>
        <w:spacing w:line="360" w:lineRule="auto"/>
        <w:ind w:firstLine="420"/>
        <w:rPr>
          <w:szCs w:val="21"/>
        </w:rPr>
      </w:pPr>
      <w:r>
        <w:rPr>
          <w:b/>
          <w:kern w:val="0"/>
          <w:szCs w:val="21"/>
          <w:lang w:bidi="ar"/>
        </w:rPr>
        <w:t>1.3</w:t>
      </w:r>
      <w:r>
        <w:rPr>
          <w:rFonts w:hint="eastAsia"/>
          <w:b/>
          <w:kern w:val="0"/>
          <w:szCs w:val="21"/>
          <w:lang w:bidi="ar"/>
        </w:rPr>
        <w:t>采购范围：</w:t>
      </w:r>
      <w:r>
        <w:rPr>
          <w:rFonts w:hint="eastAsia"/>
          <w:szCs w:val="21"/>
          <w:lang w:bidi="ar"/>
        </w:rPr>
        <w:t>见响应人须知前附表。</w:t>
      </w:r>
    </w:p>
    <w:p w14:paraId="52456486">
      <w:pPr>
        <w:tabs>
          <w:tab w:val="left" w:pos="993"/>
          <w:tab w:val="left" w:pos="1135"/>
        </w:tabs>
        <w:spacing w:line="360" w:lineRule="auto"/>
        <w:ind w:firstLine="420"/>
        <w:jc w:val="left"/>
        <w:rPr>
          <w:szCs w:val="21"/>
        </w:rPr>
      </w:pPr>
      <w:r>
        <w:rPr>
          <w:lang w:bidi="ar"/>
        </w:rPr>
        <w:t>Champ d’appel d’offres</w:t>
      </w:r>
      <w:r>
        <w:rPr>
          <w:szCs w:val="21"/>
          <w:lang w:bidi="ar"/>
        </w:rPr>
        <w:t> : Voir le tableau Annexe des instructions aux soumissionnaires.</w:t>
      </w:r>
    </w:p>
    <w:p w14:paraId="4B2E570C">
      <w:pPr>
        <w:spacing w:line="360" w:lineRule="auto"/>
        <w:ind w:firstLine="420"/>
        <w:rPr>
          <w:szCs w:val="21"/>
        </w:rPr>
      </w:pPr>
      <w:r>
        <w:rPr>
          <w:b/>
          <w:kern w:val="0"/>
          <w:szCs w:val="21"/>
          <w:lang w:bidi="ar"/>
        </w:rPr>
        <w:t>1.4</w:t>
      </w:r>
      <w:r>
        <w:rPr>
          <w:rFonts w:hint="eastAsia"/>
          <w:b/>
          <w:kern w:val="0"/>
          <w:szCs w:val="21"/>
          <w:lang w:bidi="ar"/>
        </w:rPr>
        <w:t>计划工期：</w:t>
      </w:r>
      <w:r>
        <w:rPr>
          <w:rFonts w:hint="eastAsia"/>
          <w:szCs w:val="21"/>
          <w:lang w:bidi="ar"/>
        </w:rPr>
        <w:t>见响应人须知前附表。</w:t>
      </w:r>
    </w:p>
    <w:p w14:paraId="4BCE568D">
      <w:pPr>
        <w:tabs>
          <w:tab w:val="left" w:pos="993"/>
          <w:tab w:val="left" w:pos="1135"/>
        </w:tabs>
        <w:spacing w:line="360" w:lineRule="auto"/>
        <w:ind w:firstLine="420"/>
        <w:jc w:val="left"/>
        <w:rPr>
          <w:szCs w:val="21"/>
        </w:rPr>
      </w:pPr>
      <w:r>
        <w:rPr>
          <w:szCs w:val="21"/>
          <w:lang w:bidi="ar"/>
        </w:rPr>
        <w:t>Durée prévue : Voir le tableau Annexe des instructions aux soumissionnaires.</w:t>
      </w:r>
    </w:p>
    <w:p w14:paraId="45DB4E57">
      <w:pPr>
        <w:spacing w:line="360" w:lineRule="auto"/>
        <w:ind w:firstLine="420"/>
        <w:rPr>
          <w:szCs w:val="21"/>
        </w:rPr>
      </w:pPr>
      <w:r>
        <w:rPr>
          <w:b/>
          <w:kern w:val="0"/>
          <w:szCs w:val="21"/>
          <w:lang w:bidi="ar"/>
        </w:rPr>
        <w:t>1.5</w:t>
      </w:r>
      <w:r>
        <w:rPr>
          <w:rFonts w:hint="eastAsia"/>
          <w:b/>
          <w:kern w:val="0"/>
          <w:szCs w:val="21"/>
          <w:lang w:bidi="ar"/>
        </w:rPr>
        <w:t>质量标准：</w:t>
      </w:r>
      <w:r>
        <w:rPr>
          <w:rFonts w:hint="eastAsia"/>
          <w:szCs w:val="21"/>
          <w:lang w:bidi="ar"/>
        </w:rPr>
        <w:t>见响应人须知前附表。</w:t>
      </w:r>
    </w:p>
    <w:p w14:paraId="095947C2">
      <w:pPr>
        <w:tabs>
          <w:tab w:val="left" w:pos="993"/>
          <w:tab w:val="left" w:pos="1135"/>
        </w:tabs>
        <w:spacing w:line="360" w:lineRule="auto"/>
        <w:ind w:firstLine="420"/>
        <w:jc w:val="left"/>
        <w:rPr>
          <w:szCs w:val="21"/>
        </w:rPr>
      </w:pPr>
      <w:r>
        <w:rPr>
          <w:szCs w:val="21"/>
          <w:lang w:bidi="ar"/>
        </w:rPr>
        <w:t>Normes de qualité : Voir le tableau Annexe des instructions aux soumissionnaires.</w:t>
      </w:r>
    </w:p>
    <w:p w14:paraId="4122A363">
      <w:pPr>
        <w:spacing w:line="360" w:lineRule="auto"/>
        <w:ind w:firstLine="420"/>
        <w:rPr>
          <w:szCs w:val="21"/>
        </w:rPr>
      </w:pPr>
      <w:r>
        <w:rPr>
          <w:b/>
          <w:kern w:val="0"/>
          <w:szCs w:val="21"/>
          <w:lang w:bidi="ar"/>
        </w:rPr>
        <w:t>1.6</w:t>
      </w:r>
      <w:r>
        <w:rPr>
          <w:rFonts w:hint="eastAsia"/>
          <w:b/>
          <w:kern w:val="0"/>
          <w:szCs w:val="21"/>
          <w:lang w:bidi="ar"/>
        </w:rPr>
        <w:t>承包方式：</w:t>
      </w:r>
      <w:r>
        <w:rPr>
          <w:rFonts w:hint="eastAsia"/>
          <w:szCs w:val="21"/>
          <w:lang w:bidi="ar"/>
        </w:rPr>
        <w:t>见响应人须知前附表。</w:t>
      </w:r>
    </w:p>
    <w:p w14:paraId="68E2D27F">
      <w:pPr>
        <w:tabs>
          <w:tab w:val="left" w:pos="993"/>
          <w:tab w:val="left" w:pos="1135"/>
        </w:tabs>
        <w:spacing w:line="360" w:lineRule="auto"/>
        <w:ind w:firstLine="420"/>
        <w:jc w:val="left"/>
        <w:rPr>
          <w:szCs w:val="21"/>
        </w:rPr>
      </w:pPr>
      <w:r>
        <w:rPr>
          <w:szCs w:val="21"/>
          <w:lang w:bidi="ar"/>
        </w:rPr>
        <w:t>Modalités d’exécution : Voir le tableau Annexe des instructions aux soumissionnaires.</w:t>
      </w:r>
    </w:p>
    <w:p w14:paraId="60B2418E">
      <w:pPr>
        <w:spacing w:line="360" w:lineRule="auto"/>
        <w:ind w:firstLine="420"/>
        <w:rPr>
          <w:szCs w:val="21"/>
        </w:rPr>
      </w:pPr>
      <w:r>
        <w:rPr>
          <w:b/>
          <w:kern w:val="0"/>
          <w:szCs w:val="21"/>
          <w:lang w:bidi="ar"/>
        </w:rPr>
        <w:t>1.7</w:t>
      </w:r>
      <w:r>
        <w:rPr>
          <w:rFonts w:hint="eastAsia"/>
          <w:b/>
          <w:kern w:val="0"/>
          <w:szCs w:val="21"/>
          <w:lang w:bidi="ar"/>
        </w:rPr>
        <w:t>付款方式：</w:t>
      </w:r>
      <w:r>
        <w:rPr>
          <w:rFonts w:hint="eastAsia"/>
          <w:szCs w:val="21"/>
          <w:lang w:bidi="ar"/>
        </w:rPr>
        <w:t>见响应人须知前附表。</w:t>
      </w:r>
    </w:p>
    <w:p w14:paraId="3189C23F">
      <w:pPr>
        <w:tabs>
          <w:tab w:val="left" w:pos="993"/>
          <w:tab w:val="left" w:pos="1135"/>
        </w:tabs>
        <w:spacing w:line="360" w:lineRule="auto"/>
        <w:ind w:firstLine="420"/>
        <w:jc w:val="left"/>
        <w:rPr>
          <w:szCs w:val="21"/>
        </w:rPr>
      </w:pPr>
      <w:r>
        <w:rPr>
          <w:szCs w:val="21"/>
          <w:lang w:bidi="ar"/>
        </w:rPr>
        <w:t>Modalités de paiement : Voir le tableau Annexe des instructions aux soumissionnaires.</w:t>
      </w:r>
    </w:p>
    <w:p w14:paraId="0CEDC6AD">
      <w:pPr>
        <w:adjustRightInd w:val="0"/>
        <w:snapToGrid w:val="0"/>
        <w:spacing w:line="360" w:lineRule="auto"/>
        <w:ind w:firstLine="420"/>
        <w:rPr>
          <w:szCs w:val="21"/>
        </w:rPr>
      </w:pPr>
      <w:bookmarkStart w:id="21" w:name="_Toc17607"/>
      <w:bookmarkStart w:id="22" w:name="_Toc9875"/>
      <w:r>
        <w:rPr>
          <w:b/>
          <w:kern w:val="0"/>
          <w:szCs w:val="21"/>
        </w:rPr>
        <w:t>1.8</w:t>
      </w:r>
      <w:r>
        <w:rPr>
          <w:rFonts w:hint="eastAsia"/>
          <w:b/>
          <w:kern w:val="0"/>
          <w:szCs w:val="21"/>
        </w:rPr>
        <w:t>响应人资质条件、能力和信誉：</w:t>
      </w:r>
      <w:bookmarkEnd w:id="21"/>
      <w:bookmarkEnd w:id="22"/>
      <w:bookmarkStart w:id="23" w:name="_Toc21555"/>
      <w:r>
        <w:rPr>
          <w:rFonts w:hint="eastAsia"/>
          <w:szCs w:val="21"/>
        </w:rPr>
        <w:t>见响应人须知前附表。</w:t>
      </w:r>
    </w:p>
    <w:p w14:paraId="18EBA1E2">
      <w:pPr>
        <w:tabs>
          <w:tab w:val="left" w:pos="993"/>
          <w:tab w:val="left" w:pos="1135"/>
        </w:tabs>
        <w:spacing w:line="360" w:lineRule="auto"/>
        <w:ind w:firstLine="420"/>
        <w:rPr>
          <w:rFonts w:cs="宋体"/>
          <w:szCs w:val="21"/>
        </w:rPr>
      </w:pPr>
      <w:r>
        <w:rPr>
          <w:szCs w:val="21"/>
          <w:lang w:bidi="ar"/>
        </w:rPr>
        <w:t>Capacité juridique, technique et financière, et honorabilité du soumissionnaire : Voir le tableau Annexe des instructions aux soumissionnaires.</w:t>
      </w:r>
    </w:p>
    <w:p w14:paraId="22AE1612">
      <w:pPr>
        <w:adjustRightInd w:val="0"/>
        <w:snapToGrid w:val="0"/>
        <w:spacing w:line="360" w:lineRule="auto"/>
        <w:ind w:firstLine="420"/>
      </w:pPr>
      <w:r>
        <w:rPr>
          <w:b/>
          <w:kern w:val="0"/>
          <w:szCs w:val="21"/>
        </w:rPr>
        <w:t>1.9</w:t>
      </w:r>
      <w:r>
        <w:rPr>
          <w:rFonts w:hint="eastAsia"/>
          <w:b/>
          <w:kern w:val="0"/>
          <w:szCs w:val="21"/>
        </w:rPr>
        <w:t>是否接受联合体报价：</w:t>
      </w:r>
      <w:r>
        <w:rPr>
          <w:rFonts w:hint="eastAsia"/>
        </w:rPr>
        <w:t xml:space="preserve">响应人须知前附表规定接受联合体报价的，除应符合响应人须知前附表的要求外，还应遵守以下规定： </w:t>
      </w:r>
    </w:p>
    <w:p w14:paraId="0B918882">
      <w:pPr>
        <w:adjustRightInd w:val="0"/>
        <w:snapToGrid w:val="0"/>
        <w:spacing w:line="360" w:lineRule="auto"/>
        <w:ind w:firstLine="420"/>
      </w:pPr>
      <w:r>
        <w:rPr>
          <w:rFonts w:hint="eastAsia"/>
        </w:rPr>
        <w:t>（</w:t>
      </w:r>
      <w:r>
        <w:t>1</w:t>
      </w:r>
      <w:r>
        <w:rPr>
          <w:rFonts w:hint="eastAsia"/>
        </w:rPr>
        <w:t>）联合体各方应按采购文件提供的格式签订联合体协议书，明确联合体牵头人和各方权利义务；</w:t>
      </w:r>
    </w:p>
    <w:p w14:paraId="692EA024">
      <w:pPr>
        <w:adjustRightInd w:val="0"/>
        <w:snapToGrid w:val="0"/>
        <w:spacing w:line="360" w:lineRule="auto"/>
        <w:ind w:firstLine="420"/>
      </w:pPr>
      <w:r>
        <w:rPr>
          <w:rFonts w:hint="eastAsia"/>
        </w:rPr>
        <w:t>（</w:t>
      </w:r>
      <w:r>
        <w:t>2</w:t>
      </w:r>
      <w:r>
        <w:rPr>
          <w:rFonts w:hint="eastAsia"/>
        </w:rPr>
        <w:t>）由同一专业的单位组成的联合体，按照资质等级较低的单位确定资质等级；</w:t>
      </w:r>
    </w:p>
    <w:p w14:paraId="3CC278C5">
      <w:pPr>
        <w:adjustRightInd w:val="0"/>
        <w:snapToGrid w:val="0"/>
        <w:spacing w:line="360" w:lineRule="auto"/>
        <w:ind w:firstLine="420"/>
      </w:pPr>
      <w:r>
        <w:rPr>
          <w:rFonts w:hint="eastAsia"/>
        </w:rPr>
        <w:t>（</w:t>
      </w:r>
      <w:r>
        <w:t>3</w:t>
      </w:r>
      <w:r>
        <w:rPr>
          <w:rFonts w:hint="eastAsia"/>
        </w:rPr>
        <w:t>）联合体各方不得再以自己名义单独或参加其他联合体在本采购项目中报价。</w:t>
      </w:r>
    </w:p>
    <w:p w14:paraId="0B9FE26E">
      <w:pPr>
        <w:tabs>
          <w:tab w:val="left" w:pos="993"/>
          <w:tab w:val="left" w:pos="1135"/>
        </w:tabs>
        <w:spacing w:line="360" w:lineRule="auto"/>
        <w:ind w:firstLine="420"/>
        <w:rPr>
          <w:szCs w:val="21"/>
        </w:rPr>
      </w:pPr>
      <w:r>
        <w:rPr>
          <w:szCs w:val="21"/>
          <w:lang w:bidi="ar"/>
        </w:rPr>
        <w:t>Si le tableau Annexe des instructions aux soumissionnaires autorise les offres conjointes, les soumissionnaires doivent, en plus de satisfaire aux exigences dudit tableau, respecter les règles suivantes :</w:t>
      </w:r>
    </w:p>
    <w:p w14:paraId="0FBE46AB">
      <w:pPr>
        <w:tabs>
          <w:tab w:val="left" w:pos="993"/>
          <w:tab w:val="left" w:pos="1135"/>
        </w:tabs>
        <w:spacing w:line="360" w:lineRule="auto"/>
        <w:ind w:firstLine="420"/>
        <w:rPr>
          <w:szCs w:val="21"/>
        </w:rPr>
      </w:pPr>
      <w:r>
        <w:rPr>
          <w:szCs w:val="21"/>
          <w:lang w:bidi="ar"/>
        </w:rPr>
        <w:t>(1) Tous les membres du groupement doivent signer un accord de consortium selon le format prévu dans le dossier d’achat, en désignant clairement le membre pilote et les droits et obligations de chaque partie ;</w:t>
      </w:r>
    </w:p>
    <w:p w14:paraId="11A9C426">
      <w:pPr>
        <w:tabs>
          <w:tab w:val="left" w:pos="993"/>
          <w:tab w:val="left" w:pos="1135"/>
        </w:tabs>
        <w:spacing w:line="360" w:lineRule="auto"/>
        <w:ind w:firstLine="420"/>
        <w:rPr>
          <w:szCs w:val="21"/>
        </w:rPr>
      </w:pPr>
      <w:r>
        <w:rPr>
          <w:szCs w:val="21"/>
          <w:lang w:bidi="ar"/>
        </w:rPr>
        <w:t>(2) Pour un groupement composé d’entités de la même spécialité, le niveau de qualification est déterminé sur la base de celui du membre ayant la qualification la plus basse ;</w:t>
      </w:r>
    </w:p>
    <w:p w14:paraId="38D697DC">
      <w:pPr>
        <w:tabs>
          <w:tab w:val="left" w:pos="993"/>
          <w:tab w:val="left" w:pos="1135"/>
        </w:tabs>
        <w:spacing w:line="360" w:lineRule="auto"/>
        <w:ind w:firstLine="420"/>
        <w:rPr>
          <w:rFonts w:cs="宋体"/>
          <w:szCs w:val="21"/>
        </w:rPr>
      </w:pPr>
      <w:r>
        <w:rPr>
          <w:szCs w:val="21"/>
          <w:lang w:bidi="ar"/>
        </w:rPr>
        <w:t>(3) Aucun membre du groupement ne peut soumissionner individuellement ou participer à un autre groupement pour le présent marché.</w:t>
      </w:r>
    </w:p>
    <w:p w14:paraId="1B8C934A">
      <w:pPr>
        <w:spacing w:line="360" w:lineRule="auto"/>
        <w:ind w:firstLine="420"/>
        <w:rPr>
          <w:b/>
          <w:kern w:val="0"/>
          <w:szCs w:val="21"/>
        </w:rPr>
      </w:pPr>
      <w:r>
        <w:rPr>
          <w:b/>
          <w:kern w:val="0"/>
          <w:szCs w:val="21"/>
        </w:rPr>
        <w:t xml:space="preserve">1.10 </w:t>
      </w:r>
      <w:r>
        <w:rPr>
          <w:rFonts w:hint="eastAsia"/>
          <w:b/>
          <w:kern w:val="0"/>
          <w:szCs w:val="21"/>
        </w:rPr>
        <w:t>踏勘现场</w:t>
      </w:r>
    </w:p>
    <w:p w14:paraId="7AFB327B">
      <w:pPr>
        <w:spacing w:line="360" w:lineRule="auto"/>
        <w:ind w:firstLine="420"/>
        <w:jc w:val="left"/>
        <w:rPr>
          <w:szCs w:val="21"/>
        </w:rPr>
      </w:pPr>
      <w:r>
        <w:rPr>
          <w:szCs w:val="21"/>
        </w:rPr>
        <w:t xml:space="preserve">1.10.1 </w:t>
      </w:r>
      <w:r>
        <w:rPr>
          <w:rFonts w:hint="eastAsia"/>
          <w:szCs w:val="21"/>
        </w:rPr>
        <w:t xml:space="preserve">响应人须知前附表规定组织踏勘现场的，采购人按响应人须知前附表规定的时间、地点组织响应人踏勘项目现场。 </w:t>
      </w:r>
    </w:p>
    <w:p w14:paraId="11CC8628">
      <w:pPr>
        <w:spacing w:line="360" w:lineRule="auto"/>
        <w:ind w:firstLine="420"/>
        <w:jc w:val="left"/>
        <w:rPr>
          <w:szCs w:val="21"/>
        </w:rPr>
      </w:pPr>
      <w:r>
        <w:rPr>
          <w:szCs w:val="21"/>
        </w:rPr>
        <w:t xml:space="preserve">1.10.2 </w:t>
      </w:r>
      <w:r>
        <w:rPr>
          <w:rFonts w:hint="eastAsia"/>
          <w:szCs w:val="21"/>
        </w:rPr>
        <w:t>响应人踏勘现场发生的费用自理。</w:t>
      </w:r>
    </w:p>
    <w:p w14:paraId="6E436E8A">
      <w:pPr>
        <w:spacing w:line="360" w:lineRule="auto"/>
        <w:ind w:firstLine="420"/>
        <w:jc w:val="left"/>
        <w:rPr>
          <w:szCs w:val="21"/>
        </w:rPr>
      </w:pPr>
      <w:r>
        <w:rPr>
          <w:szCs w:val="21"/>
        </w:rPr>
        <w:t xml:space="preserve">1.10.3 </w:t>
      </w:r>
      <w:r>
        <w:rPr>
          <w:rFonts w:hint="eastAsia"/>
          <w:szCs w:val="21"/>
        </w:rPr>
        <w:t>除采购人的原因外，响应人自行负责在踏勘现场中所发生的人员伤亡和财产损失。</w:t>
      </w:r>
    </w:p>
    <w:p w14:paraId="2BF4A550">
      <w:pPr>
        <w:spacing w:line="360" w:lineRule="auto"/>
        <w:ind w:firstLine="420"/>
        <w:jc w:val="left"/>
        <w:rPr>
          <w:szCs w:val="21"/>
        </w:rPr>
      </w:pPr>
      <w:r>
        <w:rPr>
          <w:szCs w:val="21"/>
        </w:rPr>
        <w:t xml:space="preserve">1.10.4 </w:t>
      </w:r>
      <w:r>
        <w:rPr>
          <w:rFonts w:hint="eastAsia"/>
          <w:szCs w:val="21"/>
        </w:rPr>
        <w:t>采购人在踏勘现场中介绍的工程场地和相关的周边环境情况，供响应人在编制响应文件时参考，采购人不对响应人据此作出的判断和决策负责。</w:t>
      </w:r>
    </w:p>
    <w:p w14:paraId="6376A73B">
      <w:pPr>
        <w:tabs>
          <w:tab w:val="left" w:pos="993"/>
          <w:tab w:val="left" w:pos="1135"/>
        </w:tabs>
        <w:spacing w:line="360" w:lineRule="auto"/>
        <w:ind w:firstLine="420"/>
        <w:rPr>
          <w:szCs w:val="21"/>
        </w:rPr>
      </w:pPr>
      <w:r>
        <w:rPr>
          <w:szCs w:val="21"/>
          <w:lang w:bidi="ar"/>
        </w:rPr>
        <w:t xml:space="preserve">1.10.1 Si le tableau Annexe des instructions aux soumissionnaires prévoit l’organisation d’une </w:t>
      </w:r>
      <w:bookmarkStart w:id="24" w:name="OLE_LINK50"/>
      <w:r>
        <w:rPr>
          <w:szCs w:val="21"/>
          <w:lang w:bidi="ar"/>
        </w:rPr>
        <w:t>visite du site,</w:t>
      </w:r>
      <w:bookmarkEnd w:id="24"/>
      <w:r>
        <w:rPr>
          <w:szCs w:val="21"/>
          <w:lang w:bidi="ar"/>
        </w:rPr>
        <w:t xml:space="preserve"> l’acheteur convie les soumissionnaires à celle-ci aux date, heure et lieu spécifiés dans ledit tableau.</w:t>
      </w:r>
    </w:p>
    <w:p w14:paraId="59FA72FA">
      <w:pPr>
        <w:tabs>
          <w:tab w:val="left" w:pos="993"/>
          <w:tab w:val="left" w:pos="1135"/>
        </w:tabs>
        <w:spacing w:line="360" w:lineRule="auto"/>
        <w:ind w:firstLine="420"/>
        <w:rPr>
          <w:szCs w:val="21"/>
        </w:rPr>
      </w:pPr>
      <w:r>
        <w:rPr>
          <w:szCs w:val="21"/>
          <w:lang w:bidi="ar"/>
        </w:rPr>
        <w:t>1.10.2 Les frais engagés par les soumissionnaires lors de la visite du site, sont à leur charge exclusive.</w:t>
      </w:r>
    </w:p>
    <w:p w14:paraId="7819B3EA">
      <w:pPr>
        <w:tabs>
          <w:tab w:val="left" w:pos="993"/>
          <w:tab w:val="left" w:pos="1135"/>
        </w:tabs>
        <w:spacing w:line="360" w:lineRule="auto"/>
        <w:ind w:firstLine="420"/>
        <w:rPr>
          <w:szCs w:val="21"/>
        </w:rPr>
      </w:pPr>
      <w:r>
        <w:rPr>
          <w:szCs w:val="21"/>
          <w:lang w:bidi="ar"/>
        </w:rPr>
        <w:t>1.10.3 Sauf en cas de faute imputable à l’acheteur, les soumissionnaires assument seuls la responsabilité des blessures, décès ou dommages matériels survenus durant la visite.</w:t>
      </w:r>
    </w:p>
    <w:p w14:paraId="0D1802B6">
      <w:pPr>
        <w:tabs>
          <w:tab w:val="left" w:pos="993"/>
          <w:tab w:val="left" w:pos="1135"/>
        </w:tabs>
        <w:spacing w:line="360" w:lineRule="auto"/>
        <w:ind w:firstLine="420"/>
        <w:rPr>
          <w:szCs w:val="21"/>
        </w:rPr>
      </w:pPr>
      <w:r>
        <w:rPr>
          <w:szCs w:val="21"/>
          <w:lang w:bidi="ar"/>
        </w:rPr>
        <w:t>1.10.4 Les informations sur le chantier et l’environnement périphérique fournies par l’acheteur durant la visite le sont à titre indicatif pour la préparation de l’offre. L’acheteur n’assume aucune responsabilité concernant les interprétations ou décisions prises par le soumissionnaire sur cette base.</w:t>
      </w:r>
    </w:p>
    <w:p w14:paraId="6D2CA667">
      <w:pPr>
        <w:spacing w:line="360" w:lineRule="auto"/>
        <w:ind w:firstLine="420"/>
        <w:outlineLvl w:val="1"/>
        <w:rPr>
          <w:b/>
          <w:kern w:val="0"/>
          <w:szCs w:val="21"/>
        </w:rPr>
      </w:pPr>
      <w:bookmarkStart w:id="25" w:name="_Toc18467"/>
      <w:r>
        <w:rPr>
          <w:b/>
          <w:kern w:val="0"/>
          <w:szCs w:val="21"/>
        </w:rPr>
        <w:t>2.</w:t>
      </w:r>
      <w:r>
        <w:rPr>
          <w:rFonts w:hint="eastAsia"/>
          <w:b/>
          <w:kern w:val="0"/>
          <w:szCs w:val="21"/>
        </w:rPr>
        <w:t>询价文件组成</w:t>
      </w:r>
      <w:bookmarkEnd w:id="25"/>
      <w:r>
        <w:rPr>
          <w:rFonts w:hint="eastAsia"/>
          <w:b/>
          <w:kern w:val="0"/>
          <w:szCs w:val="21"/>
        </w:rPr>
        <w:t xml:space="preserve"> </w:t>
      </w:r>
      <w:r>
        <w:rPr>
          <w:b/>
          <w:bCs/>
          <w:kern w:val="0"/>
          <w:szCs w:val="21"/>
          <w:lang w:bidi="ar"/>
        </w:rPr>
        <w:t>Composition du dossier de consultation</w:t>
      </w:r>
    </w:p>
    <w:p w14:paraId="64F8B6A6">
      <w:pPr>
        <w:spacing w:line="360" w:lineRule="auto"/>
        <w:ind w:firstLine="420"/>
        <w:jc w:val="left"/>
        <w:rPr>
          <w:szCs w:val="21"/>
        </w:rPr>
      </w:pPr>
      <w:r>
        <w:rPr>
          <w:rFonts w:hint="eastAsia"/>
          <w:szCs w:val="21"/>
        </w:rPr>
        <w:t>询价文件用以阐明采购范围，介绍基本的询价程序，提供相应的合同条款，提纲见目录。</w:t>
      </w:r>
    </w:p>
    <w:p w14:paraId="3483FA9D">
      <w:pPr>
        <w:spacing w:line="360" w:lineRule="auto"/>
        <w:ind w:firstLine="420"/>
        <w:jc w:val="left"/>
        <w:rPr>
          <w:szCs w:val="21"/>
        </w:rPr>
      </w:pPr>
      <w:r>
        <w:rPr>
          <w:rFonts w:hint="eastAsia"/>
          <w:szCs w:val="21"/>
        </w:rPr>
        <w:t>响应人应认真阅读询价文件中所有的须知、格式、条款、技术要求和其它资料。如果响应人没有按照询价文件要求提交全部资料，或者提交的资料没有对询价文件在各方面都做出实质性响应而导致其报价被拒绝，该责任由响应人承担。</w:t>
      </w:r>
    </w:p>
    <w:p w14:paraId="463219A0">
      <w:pPr>
        <w:tabs>
          <w:tab w:val="left" w:pos="993"/>
          <w:tab w:val="left" w:pos="1135"/>
        </w:tabs>
        <w:spacing w:line="360" w:lineRule="auto"/>
        <w:ind w:firstLine="420"/>
        <w:rPr>
          <w:szCs w:val="21"/>
        </w:rPr>
      </w:pPr>
      <w:r>
        <w:rPr>
          <w:szCs w:val="21"/>
          <w:lang w:bidi="ar"/>
        </w:rPr>
        <w:t>Le dossier de consultation définit le</w:t>
      </w:r>
      <w:r>
        <w:rPr>
          <w:lang w:bidi="ar"/>
        </w:rPr>
        <w:t xml:space="preserve"> champ d’appel d’offres</w:t>
      </w:r>
      <w:r>
        <w:rPr>
          <w:szCs w:val="21"/>
          <w:lang w:bidi="ar"/>
        </w:rPr>
        <w:t>, décrit les procédures de base de la consultation et inclut les clauses contractuelles applicables (voir sommaire).</w:t>
      </w:r>
    </w:p>
    <w:p w14:paraId="0B0DD8A2">
      <w:pPr>
        <w:tabs>
          <w:tab w:val="left" w:pos="993"/>
          <w:tab w:val="left" w:pos="1135"/>
        </w:tabs>
        <w:spacing w:line="360" w:lineRule="auto"/>
        <w:ind w:firstLine="420"/>
        <w:jc w:val="left"/>
        <w:rPr>
          <w:rFonts w:cs="宋体"/>
          <w:b/>
          <w:kern w:val="0"/>
          <w:szCs w:val="21"/>
        </w:rPr>
      </w:pPr>
      <w:r>
        <w:rPr>
          <w:szCs w:val="21"/>
          <w:lang w:bidi="ar"/>
        </w:rPr>
        <w:t>Le soumissionnaire doit examiner attentivement toutes les instructions, formulaires, conditions, exigences techniques et autres éléments du dossier. Si le soumissionnaire omet de soumettre l’intégralité des documents requis ou si sa proposition ne répond pas substantiellement à toutes les exigences du dossier, entraînant le rejet de l’offre, la responsabilité incombe exclusivement au soumissionnaire.</w:t>
      </w:r>
    </w:p>
    <w:bookmarkEnd w:id="23"/>
    <w:p w14:paraId="2D3C7999">
      <w:pPr>
        <w:spacing w:line="360" w:lineRule="auto"/>
        <w:ind w:firstLine="420"/>
        <w:outlineLvl w:val="1"/>
        <w:rPr>
          <w:b/>
          <w:kern w:val="0"/>
          <w:szCs w:val="21"/>
        </w:rPr>
      </w:pPr>
      <w:bookmarkStart w:id="26" w:name="_Toc6830436"/>
      <w:bookmarkStart w:id="27" w:name="_Toc7360390"/>
      <w:bookmarkStart w:id="28" w:name="_Toc32499"/>
      <w:r>
        <w:rPr>
          <w:b/>
          <w:kern w:val="0"/>
          <w:szCs w:val="21"/>
        </w:rPr>
        <w:t>3.</w:t>
      </w:r>
      <w:r>
        <w:rPr>
          <w:rFonts w:hint="eastAsia"/>
          <w:b/>
          <w:kern w:val="0"/>
          <w:szCs w:val="21"/>
        </w:rPr>
        <w:t>评审说明</w:t>
      </w:r>
      <w:bookmarkEnd w:id="26"/>
      <w:bookmarkEnd w:id="27"/>
      <w:bookmarkEnd w:id="28"/>
      <w:r>
        <w:rPr>
          <w:rFonts w:hint="eastAsia"/>
          <w:b/>
          <w:kern w:val="0"/>
          <w:szCs w:val="21"/>
        </w:rPr>
        <w:t xml:space="preserve"> </w:t>
      </w:r>
      <w:r>
        <w:rPr>
          <w:szCs w:val="21"/>
          <w:lang w:bidi="ar"/>
        </w:rPr>
        <w:t>Instructions d’évaluation</w:t>
      </w:r>
    </w:p>
    <w:p w14:paraId="0411A5A6">
      <w:pPr>
        <w:spacing w:line="360" w:lineRule="auto"/>
        <w:ind w:firstLine="420"/>
        <w:rPr>
          <w:b/>
          <w:kern w:val="0"/>
          <w:szCs w:val="21"/>
        </w:rPr>
      </w:pPr>
      <w:bookmarkStart w:id="29" w:name="_Toc179632581"/>
      <w:bookmarkStart w:id="30" w:name="_Toc296602452"/>
      <w:bookmarkStart w:id="31" w:name="_Toc152042339"/>
      <w:bookmarkStart w:id="32" w:name="_Toc246996950"/>
      <w:bookmarkStart w:id="33" w:name="_Toc247085721"/>
      <w:bookmarkStart w:id="34" w:name="_Toc144974531"/>
      <w:bookmarkStart w:id="35" w:name="_Toc152045563"/>
      <w:bookmarkStart w:id="36" w:name="_Toc246996207"/>
      <w:bookmarkStart w:id="37" w:name="_Toc452121906"/>
      <w:r>
        <w:rPr>
          <w:b/>
          <w:kern w:val="0"/>
          <w:szCs w:val="21"/>
        </w:rPr>
        <w:t xml:space="preserve">3.1 </w:t>
      </w:r>
      <w:bookmarkEnd w:id="29"/>
      <w:bookmarkEnd w:id="30"/>
      <w:bookmarkEnd w:id="31"/>
      <w:bookmarkEnd w:id="32"/>
      <w:bookmarkEnd w:id="33"/>
      <w:bookmarkEnd w:id="34"/>
      <w:bookmarkEnd w:id="35"/>
      <w:bookmarkEnd w:id="36"/>
      <w:r>
        <w:rPr>
          <w:rFonts w:hint="eastAsia"/>
          <w:b/>
          <w:kern w:val="0"/>
          <w:szCs w:val="21"/>
        </w:rPr>
        <w:t>评审小组</w:t>
      </w:r>
      <w:bookmarkEnd w:id="37"/>
      <w:r>
        <w:rPr>
          <w:rFonts w:hint="eastAsia"/>
          <w:b/>
          <w:kern w:val="0"/>
          <w:szCs w:val="21"/>
        </w:rPr>
        <w:t xml:space="preserve"> </w:t>
      </w:r>
      <w:r>
        <w:rPr>
          <w:b/>
          <w:bCs/>
          <w:szCs w:val="21"/>
          <w:lang w:bidi="ar"/>
        </w:rPr>
        <w:t>Comité d’évaluation</w:t>
      </w:r>
    </w:p>
    <w:p w14:paraId="340C7439">
      <w:pPr>
        <w:spacing w:line="360" w:lineRule="auto"/>
        <w:ind w:firstLine="420"/>
        <w:rPr>
          <w:szCs w:val="21"/>
        </w:rPr>
      </w:pPr>
      <w:r>
        <w:rPr>
          <w:rFonts w:hint="eastAsia"/>
          <w:szCs w:val="21"/>
        </w:rPr>
        <w:t>评审小组由采购人、项目有关专业专家组成。</w:t>
      </w:r>
    </w:p>
    <w:p w14:paraId="5CD37AE8">
      <w:pPr>
        <w:tabs>
          <w:tab w:val="left" w:pos="993"/>
          <w:tab w:val="left" w:pos="1135"/>
        </w:tabs>
        <w:spacing w:line="360" w:lineRule="auto"/>
        <w:ind w:firstLine="420"/>
        <w:rPr>
          <w:szCs w:val="21"/>
          <w:lang w:bidi="ar"/>
        </w:rPr>
      </w:pPr>
      <w:r>
        <w:rPr>
          <w:szCs w:val="21"/>
          <w:lang w:bidi="ar"/>
        </w:rPr>
        <w:t>Le Comité d’évaluation est composé de représentants de l’Acheteur et d’experts techniques concernés par le projet.</w:t>
      </w:r>
    </w:p>
    <w:p w14:paraId="381F0C12">
      <w:pPr>
        <w:tabs>
          <w:tab w:val="center" w:pos="4153"/>
          <w:tab w:val="right" w:pos="8306"/>
        </w:tabs>
        <w:ind w:firstLine="420"/>
        <w:rPr>
          <w:szCs w:val="21"/>
        </w:rPr>
      </w:pPr>
    </w:p>
    <w:p w14:paraId="1A1ED6B3">
      <w:pPr>
        <w:spacing w:line="360" w:lineRule="auto"/>
        <w:ind w:firstLine="420"/>
        <w:rPr>
          <w:b/>
          <w:kern w:val="0"/>
          <w:szCs w:val="21"/>
        </w:rPr>
      </w:pPr>
      <w:bookmarkStart w:id="38" w:name="_Toc451013271"/>
      <w:bookmarkStart w:id="39" w:name="_Toc452121907"/>
      <w:bookmarkStart w:id="40" w:name="_Toc247085722"/>
      <w:bookmarkStart w:id="41" w:name="_Toc144974532"/>
      <w:bookmarkStart w:id="42" w:name="_Toc296602453"/>
      <w:bookmarkStart w:id="43" w:name="_Toc152045564"/>
      <w:bookmarkStart w:id="44" w:name="_Toc246996951"/>
      <w:bookmarkStart w:id="45" w:name="_Toc179632582"/>
      <w:bookmarkStart w:id="46" w:name="_Toc152042340"/>
      <w:bookmarkStart w:id="47" w:name="_Toc246996208"/>
      <w:r>
        <w:rPr>
          <w:b/>
          <w:kern w:val="0"/>
          <w:szCs w:val="21"/>
        </w:rPr>
        <w:t xml:space="preserve">3.2 </w:t>
      </w:r>
      <w:r>
        <w:rPr>
          <w:rFonts w:hint="eastAsia"/>
          <w:b/>
          <w:kern w:val="0"/>
          <w:szCs w:val="21"/>
        </w:rPr>
        <w:t>评审原则</w:t>
      </w:r>
      <w:bookmarkEnd w:id="38"/>
      <w:bookmarkEnd w:id="39"/>
      <w:r>
        <w:rPr>
          <w:rFonts w:hint="eastAsia"/>
          <w:b/>
          <w:kern w:val="0"/>
          <w:szCs w:val="21"/>
        </w:rPr>
        <w:t xml:space="preserve"> </w:t>
      </w:r>
      <w:r>
        <w:rPr>
          <w:b/>
          <w:kern w:val="0"/>
          <w:szCs w:val="21"/>
        </w:rPr>
        <w:t xml:space="preserve">Principes </w:t>
      </w:r>
      <w:r>
        <w:rPr>
          <w:b/>
          <w:bCs/>
          <w:szCs w:val="21"/>
          <w:lang w:bidi="ar"/>
        </w:rPr>
        <w:t>d’évaluation</w:t>
      </w:r>
    </w:p>
    <w:bookmarkEnd w:id="40"/>
    <w:bookmarkEnd w:id="41"/>
    <w:bookmarkEnd w:id="42"/>
    <w:bookmarkEnd w:id="43"/>
    <w:bookmarkEnd w:id="44"/>
    <w:bookmarkEnd w:id="45"/>
    <w:bookmarkEnd w:id="46"/>
    <w:bookmarkEnd w:id="47"/>
    <w:p w14:paraId="2C1F416F">
      <w:pPr>
        <w:tabs>
          <w:tab w:val="left" w:pos="0"/>
          <w:tab w:val="decimal" w:pos="6240"/>
          <w:tab w:val="right" w:leader="dot" w:pos="10800"/>
        </w:tabs>
        <w:snapToGrid w:val="0"/>
        <w:spacing w:line="360" w:lineRule="auto"/>
        <w:ind w:firstLine="420"/>
        <w:rPr>
          <w:szCs w:val="21"/>
        </w:rPr>
      </w:pPr>
      <w:r>
        <w:rPr>
          <w:szCs w:val="21"/>
        </w:rPr>
        <w:t>3.2.1</w:t>
      </w:r>
      <w:r>
        <w:rPr>
          <w:rFonts w:hint="eastAsia"/>
          <w:szCs w:val="21"/>
        </w:rPr>
        <w:t>评审将遵循公平、公正、科学、择优的原则对所有响应人的响应文件进行评估。</w:t>
      </w:r>
    </w:p>
    <w:p w14:paraId="461DFFD6">
      <w:pPr>
        <w:tabs>
          <w:tab w:val="left" w:pos="0"/>
          <w:tab w:val="decimal" w:pos="6240"/>
          <w:tab w:val="right" w:leader="dot" w:pos="10800"/>
        </w:tabs>
        <w:snapToGrid w:val="0"/>
        <w:spacing w:line="360" w:lineRule="auto"/>
        <w:ind w:firstLine="420"/>
        <w:rPr>
          <w:szCs w:val="21"/>
        </w:rPr>
      </w:pPr>
      <w:r>
        <w:rPr>
          <w:szCs w:val="21"/>
        </w:rPr>
        <w:t>3.2.2</w:t>
      </w:r>
      <w:r>
        <w:rPr>
          <w:rFonts w:hint="eastAsia"/>
          <w:szCs w:val="21"/>
        </w:rPr>
        <w:t>评审按照询价文件的规定的要求、条件、评审因素进行。</w:t>
      </w:r>
    </w:p>
    <w:p w14:paraId="07EC9DA5">
      <w:pPr>
        <w:tabs>
          <w:tab w:val="left" w:pos="0"/>
          <w:tab w:val="decimal" w:pos="6240"/>
          <w:tab w:val="right" w:leader="dot" w:pos="10800"/>
        </w:tabs>
        <w:snapToGrid w:val="0"/>
        <w:spacing w:line="360" w:lineRule="auto"/>
        <w:ind w:firstLine="420"/>
        <w:rPr>
          <w:szCs w:val="21"/>
        </w:rPr>
      </w:pPr>
      <w:r>
        <w:rPr>
          <w:szCs w:val="21"/>
        </w:rPr>
        <w:t>3.2.3</w:t>
      </w:r>
      <w:r>
        <w:rPr>
          <w:rFonts w:hint="eastAsia"/>
          <w:szCs w:val="21"/>
        </w:rPr>
        <w:t>响应文件应实质上响应询价文件的要求，不得有显著的差异或保留。响应人如对询价文件的某些条款、条件和规定持有异议或保留，应明确提出依据和对应的建议，评审小组将根据其合理程度予以评价。</w:t>
      </w:r>
    </w:p>
    <w:p w14:paraId="1B6881CF">
      <w:pPr>
        <w:widowControl/>
        <w:shd w:val="clear" w:color="auto" w:fill="FFFFFF"/>
        <w:tabs>
          <w:tab w:val="center" w:pos="4153"/>
          <w:tab w:val="right" w:pos="8306"/>
        </w:tabs>
        <w:spacing w:after="120" w:line="360" w:lineRule="auto"/>
        <w:ind w:firstLine="420"/>
        <w:rPr>
          <w:bCs/>
          <w:szCs w:val="21"/>
          <w:lang w:bidi="ar"/>
        </w:rPr>
      </w:pPr>
      <w:r>
        <w:rPr>
          <w:bCs/>
          <w:szCs w:val="21"/>
          <w:lang w:bidi="ar"/>
        </w:rPr>
        <w:t>3.2.1 L’évaluation sera conduite en appliquant les principes d’équité, d’impartialité, de scientificité et de sélection du meilleur rapport qualité-prix à toutes les offres reçues.</w:t>
      </w:r>
    </w:p>
    <w:p w14:paraId="1348A4E3">
      <w:pPr>
        <w:widowControl/>
        <w:shd w:val="clear" w:color="auto" w:fill="FFFFFF"/>
        <w:tabs>
          <w:tab w:val="center" w:pos="4153"/>
          <w:tab w:val="right" w:pos="8306"/>
        </w:tabs>
        <w:spacing w:before="120" w:after="120" w:line="360" w:lineRule="auto"/>
        <w:ind w:firstLine="420"/>
        <w:rPr>
          <w:bCs/>
          <w:szCs w:val="21"/>
          <w:lang w:bidi="ar"/>
        </w:rPr>
      </w:pPr>
      <w:r>
        <w:rPr>
          <w:bCs/>
          <w:szCs w:val="21"/>
          <w:lang w:bidi="ar"/>
        </w:rPr>
        <w:t>3.2.2 L’évaluation sera réalisée conformément aux exigences, conditions et critères d’évaluation stipulés dans le dossier de consultation.</w:t>
      </w:r>
    </w:p>
    <w:p w14:paraId="64EA6544">
      <w:pPr>
        <w:widowControl/>
        <w:shd w:val="clear" w:color="auto" w:fill="FFFFFF"/>
        <w:tabs>
          <w:tab w:val="center" w:pos="4153"/>
          <w:tab w:val="right" w:pos="8306"/>
        </w:tabs>
        <w:spacing w:before="120" w:line="360" w:lineRule="auto"/>
        <w:ind w:firstLine="420"/>
        <w:rPr>
          <w:bCs/>
          <w:szCs w:val="21"/>
          <w:lang w:bidi="ar"/>
        </w:rPr>
      </w:pPr>
      <w:r>
        <w:rPr>
          <w:bCs/>
          <w:szCs w:val="21"/>
          <w:lang w:bidi="ar"/>
        </w:rPr>
        <w:t>3.2.3 L’offre doit être substantiellement conforme aux exigences du dossier de consultation, sans écart ou réserve notable. Si un soumissionnaire émet une objection ou une réserve concernant certaines clauses, conditions ou stipulations du dossier, il doit en indiquer clairement le fondement ainsi que la proposition alternative correspondante. Le Comité d’évaluation appréciera la pertinence de cette réserve dans le cadre de l’évaluation.</w:t>
      </w:r>
    </w:p>
    <w:p w14:paraId="0F3BC284">
      <w:pPr>
        <w:tabs>
          <w:tab w:val="center" w:pos="4153"/>
          <w:tab w:val="right" w:pos="8306"/>
        </w:tabs>
        <w:ind w:firstLine="420"/>
        <w:rPr>
          <w:szCs w:val="21"/>
        </w:rPr>
      </w:pPr>
    </w:p>
    <w:p w14:paraId="02A1E925">
      <w:pPr>
        <w:spacing w:line="360" w:lineRule="auto"/>
        <w:ind w:firstLine="420"/>
        <w:rPr>
          <w:b/>
          <w:kern w:val="0"/>
          <w:szCs w:val="21"/>
        </w:rPr>
      </w:pPr>
      <w:bookmarkStart w:id="48" w:name="_Toc452121908"/>
      <w:r>
        <w:rPr>
          <w:b/>
          <w:kern w:val="0"/>
          <w:szCs w:val="21"/>
        </w:rPr>
        <w:t xml:space="preserve">3.3 </w:t>
      </w:r>
      <w:r>
        <w:rPr>
          <w:rFonts w:hint="eastAsia"/>
          <w:b/>
          <w:kern w:val="0"/>
          <w:szCs w:val="21"/>
        </w:rPr>
        <w:t>评审澄清</w:t>
      </w:r>
      <w:bookmarkEnd w:id="48"/>
      <w:r>
        <w:rPr>
          <w:b/>
          <w:kern w:val="0"/>
          <w:szCs w:val="21"/>
        </w:rPr>
        <w:t xml:space="preserve"> Procédure de clarification</w:t>
      </w:r>
    </w:p>
    <w:p w14:paraId="1879E3D8">
      <w:pPr>
        <w:adjustRightInd w:val="0"/>
        <w:snapToGrid w:val="0"/>
        <w:spacing w:line="360" w:lineRule="auto"/>
        <w:ind w:firstLine="420"/>
        <w:rPr>
          <w:szCs w:val="21"/>
        </w:rPr>
      </w:pPr>
      <w:r>
        <w:rPr>
          <w:szCs w:val="21"/>
        </w:rPr>
        <w:t xml:space="preserve">3.3.1 </w:t>
      </w:r>
      <w:r>
        <w:rPr>
          <w:rFonts w:hint="eastAsia"/>
          <w:szCs w:val="21"/>
        </w:rPr>
        <w:t>评审小组对响应文件中不满足询价文件要求、不清楚、不明确之处进行专门标注和记录，整理出需要响应人澄清的问题。</w:t>
      </w:r>
    </w:p>
    <w:p w14:paraId="1726A02D">
      <w:pPr>
        <w:adjustRightInd w:val="0"/>
        <w:snapToGrid w:val="0"/>
        <w:spacing w:line="360" w:lineRule="auto"/>
        <w:ind w:firstLine="420"/>
        <w:rPr>
          <w:szCs w:val="21"/>
        </w:rPr>
      </w:pPr>
      <w:r>
        <w:rPr>
          <w:szCs w:val="21"/>
        </w:rPr>
        <w:t>3.3.2</w:t>
      </w:r>
      <w:r>
        <w:rPr>
          <w:rFonts w:hint="eastAsia"/>
          <w:szCs w:val="21"/>
        </w:rPr>
        <w:t>评审小组可针对响应文件中含义不明确或前后说法不一或明显笔误的内容要求响应人澄清。响应人应将书面答复签字</w:t>
      </w:r>
      <w:r>
        <w:rPr>
          <w:szCs w:val="21"/>
        </w:rPr>
        <w:t>/</w:t>
      </w:r>
      <w:r>
        <w:rPr>
          <w:rFonts w:hint="eastAsia"/>
          <w:szCs w:val="21"/>
        </w:rPr>
        <w:t>盖章后通过采购平台上传。</w:t>
      </w:r>
    </w:p>
    <w:p w14:paraId="3FDBAC80">
      <w:pPr>
        <w:tabs>
          <w:tab w:val="left" w:pos="0"/>
          <w:tab w:val="decimal" w:pos="6240"/>
          <w:tab w:val="right" w:leader="dot" w:pos="10800"/>
        </w:tabs>
        <w:snapToGrid w:val="0"/>
        <w:spacing w:line="360" w:lineRule="auto"/>
        <w:ind w:firstLine="420"/>
        <w:rPr>
          <w:szCs w:val="21"/>
        </w:rPr>
      </w:pPr>
      <w:r>
        <w:rPr>
          <w:szCs w:val="21"/>
        </w:rPr>
        <w:t xml:space="preserve">3.3.3 </w:t>
      </w:r>
      <w:r>
        <w:rPr>
          <w:rFonts w:hint="eastAsia"/>
          <w:szCs w:val="21"/>
        </w:rPr>
        <w:t>澄清文件作为响应文件的有效的补充文件。响应人不得超出原询价文件的范围或对原响应文件内容作实质性修改。</w:t>
      </w:r>
    </w:p>
    <w:p w14:paraId="69756F48">
      <w:pPr>
        <w:tabs>
          <w:tab w:val="left" w:pos="0"/>
          <w:tab w:val="decimal" w:pos="6240"/>
          <w:tab w:val="right" w:leader="dot" w:pos="10800"/>
        </w:tabs>
        <w:snapToGrid w:val="0"/>
        <w:spacing w:line="360" w:lineRule="auto"/>
        <w:ind w:firstLine="420"/>
        <w:rPr>
          <w:szCs w:val="21"/>
        </w:rPr>
      </w:pPr>
      <w:r>
        <w:rPr>
          <w:szCs w:val="21"/>
        </w:rPr>
        <w:t>3.3.4</w:t>
      </w:r>
      <w:r>
        <w:rPr>
          <w:rFonts w:hint="eastAsia"/>
          <w:szCs w:val="21"/>
        </w:rPr>
        <w:t>评审小组不接受响应人的主动澄清。</w:t>
      </w:r>
    </w:p>
    <w:p w14:paraId="593B139E">
      <w:pPr>
        <w:tabs>
          <w:tab w:val="center" w:pos="4153"/>
          <w:tab w:val="right" w:pos="8306"/>
        </w:tabs>
        <w:spacing w:line="360" w:lineRule="auto"/>
        <w:ind w:firstLine="420"/>
        <w:rPr>
          <w:szCs w:val="21"/>
          <w:lang w:bidi="ar"/>
        </w:rPr>
      </w:pPr>
      <w:r>
        <w:rPr>
          <w:szCs w:val="21"/>
          <w:lang w:bidi="ar"/>
        </w:rPr>
        <w:t>3.3.1 Le Comité d’évaluation identifiera et consignera par écrit toute non-conformité, ambiguïté, contradiction ou erreur matérielle relevée dans les soumissions. Il établira une liste formelle de demandes de clarification adressées spécifiquement aux soumissionnaires concernés.</w:t>
      </w:r>
    </w:p>
    <w:p w14:paraId="4A6C74E8">
      <w:pPr>
        <w:tabs>
          <w:tab w:val="center" w:pos="4153"/>
          <w:tab w:val="right" w:pos="8306"/>
        </w:tabs>
        <w:spacing w:line="360" w:lineRule="auto"/>
        <w:ind w:firstLine="420"/>
        <w:rPr>
          <w:szCs w:val="21"/>
          <w:lang w:bidi="ar"/>
        </w:rPr>
      </w:pPr>
      <w:r>
        <w:rPr>
          <w:szCs w:val="21"/>
          <w:lang w:bidi="ar"/>
        </w:rPr>
        <w:t>3.3.2 Les demandes de clarification émanent exclusivement du Comité d’évaluation. Les soumissionnaires ne sont en aucun cas autorisés à soumettre des clarifications non sollicitées.</w:t>
      </w:r>
    </w:p>
    <w:p w14:paraId="3DCDC053">
      <w:pPr>
        <w:tabs>
          <w:tab w:val="center" w:pos="4153"/>
          <w:tab w:val="right" w:pos="8306"/>
        </w:tabs>
        <w:spacing w:line="360" w:lineRule="auto"/>
        <w:ind w:firstLine="420"/>
        <w:rPr>
          <w:szCs w:val="21"/>
          <w:lang w:bidi="ar"/>
        </w:rPr>
      </w:pPr>
      <w:r>
        <w:rPr>
          <w:szCs w:val="21"/>
          <w:lang w:bidi="ar"/>
        </w:rPr>
        <w:t>3.3.3 Les soumissionnaires devront fournir leurs réponses écrites, signées et scellées, dans le délai et par le canal (généralement la plateforme électronique) strictement imposés par le Comité d’évaluation.</w:t>
      </w:r>
    </w:p>
    <w:p w14:paraId="1957F40A">
      <w:pPr>
        <w:tabs>
          <w:tab w:val="center" w:pos="4153"/>
          <w:tab w:val="right" w:pos="8306"/>
        </w:tabs>
        <w:spacing w:line="360" w:lineRule="auto"/>
        <w:ind w:firstLine="420"/>
        <w:rPr>
          <w:szCs w:val="21"/>
          <w:lang w:bidi="ar"/>
        </w:rPr>
      </w:pPr>
      <w:r>
        <w:rPr>
          <w:szCs w:val="21"/>
          <w:lang w:bidi="ar"/>
        </w:rPr>
        <w:t>3.3.4 Toute clarification fournie ne peut avoir pour objet ou pour effet de :</w:t>
      </w:r>
    </w:p>
    <w:p w14:paraId="5E39ECD6">
      <w:pPr>
        <w:tabs>
          <w:tab w:val="center" w:pos="4153"/>
          <w:tab w:val="right" w:pos="8306"/>
        </w:tabs>
        <w:spacing w:line="360" w:lineRule="auto"/>
        <w:ind w:firstLine="420"/>
        <w:rPr>
          <w:szCs w:val="21"/>
          <w:lang w:bidi="ar"/>
        </w:rPr>
      </w:pPr>
      <w:r>
        <w:rPr>
          <w:szCs w:val="21"/>
          <w:lang w:bidi="ar"/>
        </w:rPr>
        <w:t>(a) modifier substantiellement l’offre initiale ;</w:t>
      </w:r>
    </w:p>
    <w:p w14:paraId="6F3FB956">
      <w:pPr>
        <w:tabs>
          <w:tab w:val="center" w:pos="4153"/>
          <w:tab w:val="right" w:pos="8306"/>
        </w:tabs>
        <w:spacing w:line="360" w:lineRule="auto"/>
        <w:ind w:firstLine="420"/>
        <w:rPr>
          <w:szCs w:val="21"/>
          <w:lang w:bidi="ar"/>
        </w:rPr>
      </w:pPr>
      <w:r>
        <w:rPr>
          <w:szCs w:val="21"/>
          <w:lang w:bidi="ar"/>
        </w:rPr>
        <w:t>(b) étendre le périmètre ou les engagements du dossier de consultation ;</w:t>
      </w:r>
    </w:p>
    <w:p w14:paraId="7AB61226">
      <w:pPr>
        <w:tabs>
          <w:tab w:val="center" w:pos="4153"/>
          <w:tab w:val="right" w:pos="8306"/>
        </w:tabs>
        <w:spacing w:line="360" w:lineRule="auto"/>
        <w:ind w:firstLine="420"/>
        <w:rPr>
          <w:szCs w:val="21"/>
          <w:lang w:bidi="ar"/>
        </w:rPr>
      </w:pPr>
      <w:r>
        <w:rPr>
          <w:szCs w:val="21"/>
          <w:lang w:bidi="ar"/>
        </w:rPr>
        <w:t>(c) corriger une offre fondamentalement non conforme ou incomplète.</w:t>
      </w:r>
    </w:p>
    <w:p w14:paraId="35E32A06">
      <w:pPr>
        <w:tabs>
          <w:tab w:val="center" w:pos="4153"/>
          <w:tab w:val="right" w:pos="8306"/>
        </w:tabs>
        <w:spacing w:line="360" w:lineRule="auto"/>
        <w:ind w:firstLine="420"/>
        <w:rPr>
          <w:szCs w:val="21"/>
          <w:lang w:bidi="ar"/>
        </w:rPr>
      </w:pPr>
      <w:r>
        <w:rPr>
          <w:szCs w:val="21"/>
          <w:lang w:bidi="ar"/>
        </w:rPr>
        <w:t>3.3.5 Les réponses écrites font partie intégrante de la soumission et sont prises en compte par le Comité d’évaluation dans son évaluation finale. Leur contenu engage pleinement le soumissionnaire.</w:t>
      </w:r>
    </w:p>
    <w:p w14:paraId="66D00982">
      <w:pPr>
        <w:spacing w:line="360" w:lineRule="auto"/>
        <w:ind w:firstLine="420"/>
        <w:rPr>
          <w:b/>
          <w:kern w:val="0"/>
          <w:szCs w:val="21"/>
        </w:rPr>
      </w:pPr>
      <w:r>
        <w:rPr>
          <w:b/>
          <w:kern w:val="0"/>
          <w:szCs w:val="21"/>
        </w:rPr>
        <w:t xml:space="preserve">3.4 </w:t>
      </w:r>
      <w:r>
        <w:rPr>
          <w:rFonts w:hint="eastAsia"/>
          <w:b/>
          <w:kern w:val="0"/>
          <w:szCs w:val="21"/>
        </w:rPr>
        <w:t>评审方法</w:t>
      </w:r>
    </w:p>
    <w:p w14:paraId="5609BE8E">
      <w:pPr>
        <w:adjustRightInd w:val="0"/>
        <w:snapToGrid w:val="0"/>
        <w:spacing w:line="360" w:lineRule="auto"/>
        <w:ind w:firstLine="420"/>
        <w:jc w:val="left"/>
        <w:rPr>
          <w:szCs w:val="21"/>
        </w:rPr>
      </w:pPr>
      <w:bookmarkStart w:id="49" w:name="_Toc452121910"/>
      <w:r>
        <w:rPr>
          <w:szCs w:val="21"/>
        </w:rPr>
        <w:t>3.4.1</w:t>
      </w:r>
      <w:r>
        <w:rPr>
          <w:rFonts w:hint="eastAsia"/>
          <w:szCs w:val="21"/>
        </w:rPr>
        <w:t>报价复核：对各有效响应文件的报价按询价文件规定的修正原则进行算术性复核，确定修正后的评审价格。</w:t>
      </w:r>
    </w:p>
    <w:p w14:paraId="4EE030DE">
      <w:pPr>
        <w:adjustRightInd w:val="0"/>
        <w:snapToGrid w:val="0"/>
        <w:spacing w:line="360" w:lineRule="auto"/>
        <w:ind w:firstLine="420"/>
        <w:jc w:val="left"/>
        <w:rPr>
          <w:szCs w:val="21"/>
        </w:rPr>
      </w:pPr>
      <w:r>
        <w:rPr>
          <w:szCs w:val="21"/>
        </w:rPr>
        <w:t>3.4.2</w:t>
      </w:r>
      <w:r>
        <w:rPr>
          <w:rFonts w:hint="eastAsia"/>
          <w:szCs w:val="21"/>
        </w:rPr>
        <w:t>主要单价因素分析：对各有效响应文件报价中的单价进行分析，检查是否有明显不合理的单价；检查主要单价因素是否有明显错误。</w:t>
      </w:r>
    </w:p>
    <w:p w14:paraId="09BF81FA">
      <w:pPr>
        <w:adjustRightInd w:val="0"/>
        <w:snapToGrid w:val="0"/>
        <w:spacing w:line="360" w:lineRule="auto"/>
        <w:ind w:firstLine="420"/>
        <w:jc w:val="left"/>
        <w:rPr>
          <w:szCs w:val="21"/>
        </w:rPr>
      </w:pPr>
      <w:r>
        <w:rPr>
          <w:szCs w:val="21"/>
        </w:rPr>
        <w:t>3.4.3</w:t>
      </w:r>
      <w:r>
        <w:rPr>
          <w:rFonts w:hint="eastAsia"/>
          <w:szCs w:val="21"/>
        </w:rPr>
        <w:t>评审小组将根据响应人须知前附表中资质要求和第四章响应文件构成规定提供的文件采用最低评审价法，即在综合考虑技术、商务定性的基础上，评审小组按评审价格由低至高的顺序确定排名，最低评审价为首选候选人，次低价者为备选候选人。</w:t>
      </w:r>
    </w:p>
    <w:p w14:paraId="12EA18AF">
      <w:pPr>
        <w:adjustRightInd w:val="0"/>
        <w:snapToGrid w:val="0"/>
        <w:spacing w:line="360" w:lineRule="auto"/>
        <w:ind w:firstLine="420"/>
        <w:jc w:val="left"/>
        <w:rPr>
          <w:szCs w:val="21"/>
        </w:rPr>
      </w:pPr>
      <w:r>
        <w:rPr>
          <w:szCs w:val="21"/>
        </w:rPr>
        <w:t>3.4.4</w:t>
      </w:r>
      <w:r>
        <w:rPr>
          <w:rFonts w:hint="eastAsia"/>
          <w:szCs w:val="21"/>
        </w:rPr>
        <w:t>本项目不一定授给最低报价者，对询价采购结果不负责解释，最低报价不是被授予合同的保证。</w:t>
      </w:r>
    </w:p>
    <w:p w14:paraId="39C1A247">
      <w:pPr>
        <w:tabs>
          <w:tab w:val="center" w:pos="4153"/>
          <w:tab w:val="right" w:pos="8306"/>
        </w:tabs>
        <w:spacing w:line="360" w:lineRule="auto"/>
        <w:ind w:firstLine="420"/>
        <w:rPr>
          <w:szCs w:val="21"/>
          <w:lang w:bidi="ar"/>
        </w:rPr>
      </w:pPr>
      <w:r>
        <w:rPr>
          <w:szCs w:val="21"/>
          <w:lang w:bidi="ar"/>
        </w:rPr>
        <w:t>3.4.1 Vérification arithmétique des prix</w:t>
      </w:r>
    </w:p>
    <w:p w14:paraId="547B5A2E">
      <w:pPr>
        <w:tabs>
          <w:tab w:val="center" w:pos="4153"/>
          <w:tab w:val="right" w:pos="8306"/>
        </w:tabs>
        <w:spacing w:line="360" w:lineRule="auto"/>
        <w:ind w:firstLine="420"/>
        <w:rPr>
          <w:szCs w:val="21"/>
          <w:lang w:bidi="ar"/>
        </w:rPr>
      </w:pPr>
      <w:r>
        <w:rPr>
          <w:szCs w:val="21"/>
          <w:lang w:bidi="ar"/>
        </w:rPr>
        <w:t>Le Comité procède à la vérification arithmétique des offres valides conformément aux règles de correction prévues au dossier de consultation, afin d’établir le prix corrigé servant de base à l’évaluation.</w:t>
      </w:r>
    </w:p>
    <w:p w14:paraId="1B3F6F21">
      <w:pPr>
        <w:tabs>
          <w:tab w:val="center" w:pos="4153"/>
          <w:tab w:val="right" w:pos="8306"/>
        </w:tabs>
        <w:spacing w:line="360" w:lineRule="auto"/>
        <w:ind w:firstLine="420"/>
        <w:rPr>
          <w:szCs w:val="21"/>
          <w:lang w:bidi="ar"/>
        </w:rPr>
      </w:pPr>
      <w:r>
        <w:rPr>
          <w:szCs w:val="21"/>
          <w:lang w:bidi="ar"/>
        </w:rPr>
        <w:t>3.4.2 Analyse des prix unitaires</w:t>
      </w:r>
    </w:p>
    <w:p w14:paraId="6B970559">
      <w:pPr>
        <w:tabs>
          <w:tab w:val="center" w:pos="4153"/>
          <w:tab w:val="right" w:pos="8306"/>
        </w:tabs>
        <w:spacing w:line="360" w:lineRule="auto"/>
        <w:ind w:firstLine="420"/>
        <w:rPr>
          <w:szCs w:val="21"/>
          <w:lang w:bidi="ar"/>
        </w:rPr>
      </w:pPr>
      <w:r>
        <w:rPr>
          <w:szCs w:val="21"/>
          <w:lang w:bidi="ar"/>
        </w:rPr>
        <w:t>Le Comité analyse les prix unitaires des offres valides afin d’identifier d’éventuels écarts manifestement anormaux ou erreurs matérielles dans les postes principaux.</w:t>
      </w:r>
    </w:p>
    <w:p w14:paraId="1BB528A9">
      <w:pPr>
        <w:tabs>
          <w:tab w:val="center" w:pos="4153"/>
          <w:tab w:val="right" w:pos="8306"/>
        </w:tabs>
        <w:spacing w:line="360" w:lineRule="auto"/>
        <w:ind w:firstLine="420"/>
        <w:rPr>
          <w:szCs w:val="21"/>
          <w:lang w:bidi="ar"/>
        </w:rPr>
      </w:pPr>
      <w:r>
        <w:rPr>
          <w:szCs w:val="21"/>
          <w:lang w:bidi="ar"/>
        </w:rPr>
        <w:t>3.4.3 Méthode d’attribution</w:t>
      </w:r>
    </w:p>
    <w:p w14:paraId="0FE5A2A8">
      <w:pPr>
        <w:tabs>
          <w:tab w:val="center" w:pos="4153"/>
          <w:tab w:val="right" w:pos="8306"/>
        </w:tabs>
        <w:spacing w:line="360" w:lineRule="auto"/>
        <w:ind w:firstLine="420"/>
        <w:rPr>
          <w:szCs w:val="21"/>
          <w:lang w:bidi="ar"/>
        </w:rPr>
      </w:pPr>
      <w:r>
        <w:rPr>
          <w:szCs w:val="21"/>
          <w:lang w:bidi="ar"/>
        </w:rPr>
        <w:t>Sur la base des exigences qualificatives et des pièces constituantes de l’offre telles que définies dans le dossier, le Comité applique la méthode de l’offre économiquement la plus avantageuse selon la démarche suivante :</w:t>
      </w:r>
    </w:p>
    <w:p w14:paraId="779DB08A">
      <w:pPr>
        <w:tabs>
          <w:tab w:val="center" w:pos="4153"/>
          <w:tab w:val="right" w:pos="8306"/>
        </w:tabs>
        <w:spacing w:line="360" w:lineRule="auto"/>
        <w:ind w:firstLine="420"/>
        <w:rPr>
          <w:szCs w:val="21"/>
          <w:lang w:bidi="ar"/>
        </w:rPr>
      </w:pPr>
      <w:r>
        <w:rPr>
          <w:szCs w:val="21"/>
          <w:lang w:bidi="ar"/>
        </w:rPr>
        <w:t>Vérification préalable de la conformité technique et commerciale des offres ;</w:t>
      </w:r>
    </w:p>
    <w:p w14:paraId="778A9018">
      <w:pPr>
        <w:tabs>
          <w:tab w:val="center" w:pos="4153"/>
          <w:tab w:val="right" w:pos="8306"/>
        </w:tabs>
        <w:spacing w:line="360" w:lineRule="auto"/>
        <w:ind w:firstLine="420"/>
        <w:rPr>
          <w:szCs w:val="21"/>
          <w:lang w:bidi="ar"/>
        </w:rPr>
      </w:pPr>
      <w:r>
        <w:rPr>
          <w:szCs w:val="21"/>
          <w:lang w:bidi="ar"/>
        </w:rPr>
        <w:t>Classement des offres conformes par ordre croissant du prix corrigé ;</w:t>
      </w:r>
    </w:p>
    <w:p w14:paraId="19C6F390">
      <w:pPr>
        <w:tabs>
          <w:tab w:val="center" w:pos="4153"/>
          <w:tab w:val="right" w:pos="8306"/>
        </w:tabs>
        <w:spacing w:line="360" w:lineRule="auto"/>
        <w:ind w:firstLine="420"/>
        <w:rPr>
          <w:szCs w:val="21"/>
          <w:lang w:bidi="ar"/>
        </w:rPr>
      </w:pPr>
      <w:r>
        <w:rPr>
          <w:szCs w:val="21"/>
          <w:lang w:bidi="ar"/>
        </w:rPr>
        <w:t>Désignation du soumissionnaire au prix corrigé le plus bas en tant que candidat retenu, et du second en tant que candidat suppléant.</w:t>
      </w:r>
    </w:p>
    <w:p w14:paraId="007AA51F">
      <w:pPr>
        <w:tabs>
          <w:tab w:val="center" w:pos="4153"/>
          <w:tab w:val="right" w:pos="8306"/>
        </w:tabs>
        <w:spacing w:line="360" w:lineRule="auto"/>
        <w:ind w:firstLine="420"/>
        <w:rPr>
          <w:szCs w:val="21"/>
          <w:lang w:bidi="ar"/>
        </w:rPr>
      </w:pPr>
      <w:r>
        <w:rPr>
          <w:szCs w:val="21"/>
          <w:lang w:bidi="ar"/>
        </w:rPr>
        <w:t>3.4.4 Précisions concernant l’attribution</w:t>
      </w:r>
    </w:p>
    <w:p w14:paraId="7C1D4683">
      <w:pPr>
        <w:tabs>
          <w:tab w:val="center" w:pos="4153"/>
          <w:tab w:val="right" w:pos="8306"/>
        </w:tabs>
        <w:spacing w:line="360" w:lineRule="auto"/>
        <w:ind w:firstLine="420"/>
        <w:rPr>
          <w:szCs w:val="21"/>
          <w:lang w:bidi="ar"/>
        </w:rPr>
      </w:pPr>
      <w:r>
        <w:rPr>
          <w:szCs w:val="21"/>
          <w:lang w:bidi="ar"/>
        </w:rPr>
        <w:t>L’attribution du marché n’est pas obligatoirement faite au soumissionnaire ayant soumis l’offre au prix le plus bas.</w:t>
      </w:r>
    </w:p>
    <w:p w14:paraId="0A270EE6">
      <w:pPr>
        <w:tabs>
          <w:tab w:val="center" w:pos="4153"/>
          <w:tab w:val="right" w:pos="8306"/>
        </w:tabs>
        <w:spacing w:line="360" w:lineRule="auto"/>
        <w:ind w:firstLine="420"/>
        <w:rPr>
          <w:szCs w:val="21"/>
          <w:lang w:bidi="ar"/>
        </w:rPr>
      </w:pPr>
      <w:r>
        <w:rPr>
          <w:szCs w:val="21"/>
          <w:lang w:bidi="ar"/>
        </w:rPr>
        <w:t>L’Acheteur n’est pas tenu de justifier les résultats de la consultation.</w:t>
      </w:r>
    </w:p>
    <w:p w14:paraId="17733D96">
      <w:pPr>
        <w:tabs>
          <w:tab w:val="center" w:pos="4153"/>
          <w:tab w:val="right" w:pos="8306"/>
        </w:tabs>
        <w:spacing w:line="360" w:lineRule="auto"/>
        <w:ind w:firstLine="420"/>
        <w:rPr>
          <w:szCs w:val="21"/>
          <w:lang w:bidi="ar"/>
        </w:rPr>
      </w:pPr>
      <w:r>
        <w:rPr>
          <w:szCs w:val="21"/>
          <w:lang w:bidi="ar"/>
        </w:rPr>
        <w:t>Le dépôt de l’offre au prix le plus bas ne garantit en aucun cas l’attribution du marché.</w:t>
      </w:r>
    </w:p>
    <w:bookmarkEnd w:id="49"/>
    <w:p w14:paraId="3B0E6787">
      <w:pPr>
        <w:spacing w:line="360" w:lineRule="auto"/>
        <w:rPr>
          <w:b/>
          <w:kern w:val="0"/>
          <w:szCs w:val="21"/>
        </w:rPr>
      </w:pPr>
      <w:r>
        <w:rPr>
          <w:b/>
          <w:kern w:val="0"/>
          <w:szCs w:val="21"/>
        </w:rPr>
        <w:t>3.5</w:t>
      </w:r>
      <w:r>
        <w:rPr>
          <w:rFonts w:hint="eastAsia"/>
          <w:b/>
          <w:kern w:val="0"/>
          <w:szCs w:val="21"/>
        </w:rPr>
        <w:t xml:space="preserve">评审表 </w:t>
      </w:r>
      <w:r>
        <w:rPr>
          <w:b/>
          <w:kern w:val="0"/>
          <w:szCs w:val="21"/>
        </w:rPr>
        <w:t>Tableau des critères d’évaluation</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1974"/>
        <w:gridCol w:w="5533"/>
      </w:tblGrid>
      <w:tr w14:paraId="1F7EFF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64" w:type="dxa"/>
            <w:tcBorders>
              <w:top w:val="single" w:color="auto" w:sz="12" w:space="0"/>
              <w:left w:val="single" w:color="auto" w:sz="12" w:space="0"/>
              <w:bottom w:val="single" w:color="auto" w:sz="12" w:space="0"/>
              <w:right w:val="single" w:color="auto" w:sz="4" w:space="0"/>
            </w:tcBorders>
            <w:vAlign w:val="center"/>
          </w:tcPr>
          <w:p w14:paraId="32A67D30">
            <w:pPr>
              <w:jc w:val="center"/>
              <w:rPr>
                <w:szCs w:val="21"/>
              </w:rPr>
            </w:pPr>
            <w:bookmarkStart w:id="50" w:name="_Toc452121912"/>
            <w:bookmarkStart w:id="51" w:name="_Toc7360392"/>
            <w:bookmarkStart w:id="52" w:name="_Toc6830438"/>
            <w:r>
              <w:rPr>
                <w:rFonts w:hint="eastAsia"/>
                <w:szCs w:val="21"/>
              </w:rPr>
              <w:t>条款号</w:t>
            </w:r>
          </w:p>
          <w:p w14:paraId="381D576E">
            <w:pPr>
              <w:tabs>
                <w:tab w:val="center" w:pos="4153"/>
                <w:tab w:val="right" w:pos="8306"/>
              </w:tabs>
              <w:jc w:val="center"/>
              <w:rPr>
                <w:szCs w:val="21"/>
              </w:rPr>
            </w:pPr>
            <w:r>
              <w:rPr>
                <w:b/>
                <w:szCs w:val="21"/>
              </w:rPr>
              <w:t>N° de clause</w:t>
            </w:r>
          </w:p>
        </w:tc>
        <w:tc>
          <w:tcPr>
            <w:tcW w:w="1974" w:type="dxa"/>
            <w:tcBorders>
              <w:top w:val="single" w:color="auto" w:sz="12" w:space="0"/>
              <w:left w:val="single" w:color="auto" w:sz="4" w:space="0"/>
              <w:bottom w:val="single" w:color="auto" w:sz="12" w:space="0"/>
              <w:right w:val="single" w:color="auto" w:sz="4" w:space="0"/>
            </w:tcBorders>
            <w:vAlign w:val="center"/>
          </w:tcPr>
          <w:p w14:paraId="58AFEB41">
            <w:pPr>
              <w:jc w:val="center"/>
              <w:rPr>
                <w:szCs w:val="21"/>
              </w:rPr>
            </w:pPr>
            <w:r>
              <w:rPr>
                <w:rFonts w:hint="eastAsia"/>
                <w:szCs w:val="21"/>
              </w:rPr>
              <w:t>评审因素</w:t>
            </w:r>
          </w:p>
          <w:p w14:paraId="6FE103B6">
            <w:pPr>
              <w:tabs>
                <w:tab w:val="center" w:pos="4153"/>
                <w:tab w:val="right" w:pos="8306"/>
              </w:tabs>
              <w:jc w:val="center"/>
              <w:rPr>
                <w:szCs w:val="21"/>
              </w:rPr>
            </w:pPr>
            <w:r>
              <w:rPr>
                <w:b/>
                <w:szCs w:val="21"/>
              </w:rPr>
              <w:t>Facteur d’évaluation</w:t>
            </w:r>
          </w:p>
        </w:tc>
        <w:tc>
          <w:tcPr>
            <w:tcW w:w="5533" w:type="dxa"/>
            <w:tcBorders>
              <w:top w:val="single" w:color="auto" w:sz="12" w:space="0"/>
              <w:left w:val="single" w:color="auto" w:sz="4" w:space="0"/>
              <w:bottom w:val="single" w:color="auto" w:sz="12" w:space="0"/>
              <w:right w:val="single" w:color="auto" w:sz="12" w:space="0"/>
            </w:tcBorders>
            <w:vAlign w:val="center"/>
          </w:tcPr>
          <w:p w14:paraId="26585AEC">
            <w:pPr>
              <w:jc w:val="center"/>
              <w:rPr>
                <w:b/>
                <w:szCs w:val="21"/>
              </w:rPr>
            </w:pPr>
            <w:r>
              <w:rPr>
                <w:rFonts w:hint="eastAsia"/>
                <w:b/>
                <w:szCs w:val="21"/>
              </w:rPr>
              <w:t>评审标准</w:t>
            </w:r>
          </w:p>
          <w:p w14:paraId="26A4E8AD">
            <w:pPr>
              <w:jc w:val="center"/>
              <w:rPr>
                <w:b/>
                <w:szCs w:val="21"/>
              </w:rPr>
            </w:pPr>
            <w:r>
              <w:rPr>
                <w:b/>
                <w:szCs w:val="21"/>
              </w:rPr>
              <w:t>Critère d’évaluation</w:t>
            </w:r>
          </w:p>
        </w:tc>
      </w:tr>
    </w:tbl>
    <w:p w14:paraId="6621819A">
      <w:pPr>
        <w:jc w:val="center"/>
        <w:rPr>
          <w:szCs w:val="21"/>
        </w:rPr>
      </w:pPr>
      <w:r>
        <w:rPr>
          <w:szCs w:val="21"/>
        </w:rPr>
        <w:br w:type="page"/>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122"/>
        <w:gridCol w:w="1974"/>
        <w:gridCol w:w="5533"/>
      </w:tblGrid>
      <w:tr w14:paraId="3E6B7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restart"/>
            <w:tcBorders>
              <w:top w:val="single" w:color="auto" w:sz="12" w:space="0"/>
              <w:left w:val="single" w:color="auto" w:sz="12" w:space="0"/>
              <w:bottom w:val="single" w:color="auto" w:sz="4" w:space="0"/>
              <w:right w:val="single" w:color="auto" w:sz="4" w:space="0"/>
            </w:tcBorders>
            <w:vAlign w:val="center"/>
          </w:tcPr>
          <w:p w14:paraId="2E75E10A">
            <w:pPr>
              <w:jc w:val="center"/>
              <w:rPr>
                <w:szCs w:val="21"/>
              </w:rPr>
            </w:pPr>
            <w:r>
              <w:rPr>
                <w:szCs w:val="21"/>
              </w:rPr>
              <w:t>1.1</w:t>
            </w:r>
          </w:p>
        </w:tc>
        <w:tc>
          <w:tcPr>
            <w:tcW w:w="1122" w:type="dxa"/>
            <w:vMerge w:val="restart"/>
            <w:tcBorders>
              <w:top w:val="single" w:color="auto" w:sz="12" w:space="0"/>
              <w:left w:val="single" w:color="auto" w:sz="4" w:space="0"/>
              <w:bottom w:val="single" w:color="auto" w:sz="4" w:space="0"/>
              <w:right w:val="single" w:color="auto" w:sz="4" w:space="0"/>
            </w:tcBorders>
            <w:vAlign w:val="center"/>
          </w:tcPr>
          <w:p w14:paraId="7B470C47">
            <w:pPr>
              <w:jc w:val="center"/>
            </w:pPr>
            <w:r>
              <w:rPr>
                <w:rFonts w:hint="eastAsia"/>
                <w:szCs w:val="21"/>
              </w:rPr>
              <w:t>形式评审标准</w:t>
            </w:r>
          </w:p>
          <w:p w14:paraId="6FAF0337">
            <w:pPr>
              <w:tabs>
                <w:tab w:val="center" w:pos="4153"/>
                <w:tab w:val="right" w:pos="8306"/>
              </w:tabs>
              <w:rPr>
                <w:szCs w:val="21"/>
              </w:rPr>
            </w:pPr>
            <w:r>
              <w:t>Critères d’examen formel</w:t>
            </w:r>
          </w:p>
        </w:tc>
        <w:tc>
          <w:tcPr>
            <w:tcW w:w="1974" w:type="dxa"/>
            <w:tcBorders>
              <w:top w:val="single" w:color="auto" w:sz="12" w:space="0"/>
              <w:left w:val="single" w:color="auto" w:sz="4" w:space="0"/>
              <w:bottom w:val="single" w:color="auto" w:sz="4" w:space="0"/>
              <w:right w:val="single" w:color="auto" w:sz="4" w:space="0"/>
            </w:tcBorders>
            <w:vAlign w:val="center"/>
          </w:tcPr>
          <w:p w14:paraId="281B45E6">
            <w:pPr>
              <w:jc w:val="center"/>
              <w:rPr>
                <w:szCs w:val="21"/>
              </w:rPr>
            </w:pPr>
            <w:r>
              <w:rPr>
                <w:rFonts w:hint="eastAsia"/>
                <w:szCs w:val="21"/>
              </w:rPr>
              <w:t>响应人名称</w:t>
            </w:r>
          </w:p>
          <w:p w14:paraId="39555834">
            <w:pPr>
              <w:jc w:val="center"/>
              <w:rPr>
                <w:szCs w:val="21"/>
              </w:rPr>
            </w:pPr>
            <w:r>
              <w:rPr>
                <w:szCs w:val="21"/>
              </w:rPr>
              <w:t>Nom du Soumissionnaire</w:t>
            </w:r>
          </w:p>
        </w:tc>
        <w:tc>
          <w:tcPr>
            <w:tcW w:w="5533" w:type="dxa"/>
            <w:tcBorders>
              <w:top w:val="single" w:color="auto" w:sz="12" w:space="0"/>
              <w:left w:val="single" w:color="auto" w:sz="4" w:space="0"/>
              <w:bottom w:val="single" w:color="auto" w:sz="4" w:space="0"/>
              <w:right w:val="single" w:color="auto" w:sz="12" w:space="0"/>
            </w:tcBorders>
            <w:vAlign w:val="center"/>
          </w:tcPr>
          <w:p w14:paraId="1A259FF4">
            <w:pPr>
              <w:rPr>
                <w:szCs w:val="21"/>
              </w:rPr>
            </w:pPr>
            <w:r>
              <w:rPr>
                <w:rFonts w:hint="eastAsia"/>
                <w:szCs w:val="21"/>
              </w:rPr>
              <w:t>与营业执照、资质证书一致</w:t>
            </w:r>
          </w:p>
          <w:p w14:paraId="30761E0C">
            <w:pPr>
              <w:tabs>
                <w:tab w:val="center" w:pos="4153"/>
                <w:tab w:val="right" w:pos="8306"/>
              </w:tabs>
              <w:rPr>
                <w:szCs w:val="21"/>
              </w:rPr>
            </w:pPr>
            <w:r>
              <w:rPr>
                <w:szCs w:val="21"/>
              </w:rPr>
              <w:t>Correspondre au RCCM et aux certificats de qualification.</w:t>
            </w:r>
          </w:p>
        </w:tc>
      </w:tr>
      <w:tr w14:paraId="38BF3C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12" w:space="0"/>
              <w:left w:val="single" w:color="auto" w:sz="12" w:space="0"/>
              <w:bottom w:val="single" w:color="auto" w:sz="4" w:space="0"/>
              <w:right w:val="single" w:color="auto" w:sz="4" w:space="0"/>
            </w:tcBorders>
            <w:vAlign w:val="center"/>
          </w:tcPr>
          <w:p w14:paraId="3B4DDBF9">
            <w:pPr>
              <w:widowControl/>
              <w:jc w:val="left"/>
              <w:rPr>
                <w:szCs w:val="21"/>
              </w:rPr>
            </w:pPr>
          </w:p>
        </w:tc>
        <w:tc>
          <w:tcPr>
            <w:tcW w:w="1122" w:type="dxa"/>
            <w:vMerge w:val="continue"/>
            <w:tcBorders>
              <w:top w:val="single" w:color="auto" w:sz="12" w:space="0"/>
              <w:left w:val="single" w:color="auto" w:sz="4" w:space="0"/>
              <w:bottom w:val="single" w:color="auto" w:sz="4" w:space="0"/>
              <w:right w:val="single" w:color="auto" w:sz="4" w:space="0"/>
            </w:tcBorders>
            <w:vAlign w:val="center"/>
          </w:tcPr>
          <w:p w14:paraId="34FCAD3C">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5C8E9F1A">
            <w:pPr>
              <w:jc w:val="center"/>
              <w:rPr>
                <w:szCs w:val="21"/>
              </w:rPr>
            </w:pPr>
            <w:r>
              <w:rPr>
                <w:rFonts w:hint="eastAsia"/>
                <w:szCs w:val="21"/>
              </w:rPr>
              <w:t>响应函签字盖章</w:t>
            </w:r>
          </w:p>
          <w:p w14:paraId="667A8D26">
            <w:pPr>
              <w:tabs>
                <w:tab w:val="center" w:pos="4153"/>
                <w:tab w:val="right" w:pos="8306"/>
              </w:tabs>
              <w:jc w:val="center"/>
              <w:rPr>
                <w:szCs w:val="21"/>
              </w:rPr>
            </w:pPr>
            <w:r>
              <w:rPr>
                <w:szCs w:val="21"/>
                <w:lang w:bidi="ar"/>
              </w:rPr>
              <w:t>Signature et cachet de la lettre de réponse</w:t>
            </w:r>
          </w:p>
        </w:tc>
        <w:tc>
          <w:tcPr>
            <w:tcW w:w="5533" w:type="dxa"/>
            <w:tcBorders>
              <w:top w:val="single" w:color="auto" w:sz="4" w:space="0"/>
              <w:left w:val="single" w:color="auto" w:sz="4" w:space="0"/>
              <w:bottom w:val="single" w:color="auto" w:sz="4" w:space="0"/>
              <w:right w:val="single" w:color="auto" w:sz="12" w:space="0"/>
            </w:tcBorders>
            <w:vAlign w:val="center"/>
          </w:tcPr>
          <w:p w14:paraId="0685C971">
            <w:pPr>
              <w:rPr>
                <w:szCs w:val="21"/>
              </w:rPr>
            </w:pPr>
            <w:r>
              <w:rPr>
                <w:rFonts w:hint="eastAsia"/>
                <w:szCs w:val="21"/>
              </w:rPr>
              <w:t>有法定代表人或其委托代理人签字或加盖单位章</w:t>
            </w:r>
          </w:p>
          <w:p w14:paraId="558DB756">
            <w:pPr>
              <w:tabs>
                <w:tab w:val="center" w:pos="4153"/>
                <w:tab w:val="right" w:pos="8306"/>
              </w:tabs>
              <w:rPr>
                <w:szCs w:val="21"/>
              </w:rPr>
            </w:pPr>
            <w:r>
              <w:rPr>
                <w:szCs w:val="21"/>
                <w:lang w:bidi="ar"/>
              </w:rPr>
              <w:t>Signé par le représentant légal ou son mandataire, ou cachet de l’entité apposé.</w:t>
            </w:r>
          </w:p>
        </w:tc>
      </w:tr>
      <w:tr w14:paraId="6CFB6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12" w:space="0"/>
              <w:left w:val="single" w:color="auto" w:sz="12" w:space="0"/>
              <w:bottom w:val="single" w:color="auto" w:sz="4" w:space="0"/>
              <w:right w:val="single" w:color="auto" w:sz="4" w:space="0"/>
            </w:tcBorders>
            <w:vAlign w:val="center"/>
          </w:tcPr>
          <w:p w14:paraId="1B7E07CD">
            <w:pPr>
              <w:widowControl/>
              <w:jc w:val="left"/>
              <w:rPr>
                <w:szCs w:val="21"/>
              </w:rPr>
            </w:pPr>
          </w:p>
        </w:tc>
        <w:tc>
          <w:tcPr>
            <w:tcW w:w="1122" w:type="dxa"/>
            <w:vMerge w:val="continue"/>
            <w:tcBorders>
              <w:top w:val="single" w:color="auto" w:sz="12" w:space="0"/>
              <w:left w:val="single" w:color="auto" w:sz="4" w:space="0"/>
              <w:bottom w:val="single" w:color="auto" w:sz="4" w:space="0"/>
              <w:right w:val="single" w:color="auto" w:sz="4" w:space="0"/>
            </w:tcBorders>
            <w:vAlign w:val="center"/>
          </w:tcPr>
          <w:p w14:paraId="4CFE1405">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4A52E7C5">
            <w:pPr>
              <w:jc w:val="center"/>
              <w:rPr>
                <w:szCs w:val="21"/>
              </w:rPr>
            </w:pPr>
            <w:r>
              <w:rPr>
                <w:rFonts w:hint="eastAsia"/>
                <w:szCs w:val="21"/>
              </w:rPr>
              <w:t>响应文件格式</w:t>
            </w:r>
          </w:p>
          <w:p w14:paraId="6992563E">
            <w:pPr>
              <w:tabs>
                <w:tab w:val="center" w:pos="4153"/>
                <w:tab w:val="right" w:pos="8306"/>
              </w:tabs>
              <w:jc w:val="center"/>
              <w:rPr>
                <w:szCs w:val="21"/>
              </w:rPr>
            </w:pPr>
            <w:r>
              <w:rPr>
                <w:szCs w:val="21"/>
                <w:lang w:bidi="ar"/>
              </w:rPr>
              <w:t>Format des documents de réponse</w:t>
            </w:r>
          </w:p>
        </w:tc>
        <w:tc>
          <w:tcPr>
            <w:tcW w:w="5533" w:type="dxa"/>
            <w:tcBorders>
              <w:top w:val="single" w:color="auto" w:sz="4" w:space="0"/>
              <w:left w:val="single" w:color="auto" w:sz="4" w:space="0"/>
              <w:bottom w:val="single" w:color="auto" w:sz="4" w:space="0"/>
              <w:right w:val="single" w:color="auto" w:sz="12" w:space="0"/>
            </w:tcBorders>
            <w:vAlign w:val="center"/>
          </w:tcPr>
          <w:p w14:paraId="2E037505">
            <w:pPr>
              <w:rPr>
                <w:szCs w:val="21"/>
              </w:rPr>
            </w:pPr>
            <w:r>
              <w:rPr>
                <w:rFonts w:hint="eastAsia"/>
                <w:szCs w:val="21"/>
              </w:rPr>
              <w:t>符合第四章</w:t>
            </w:r>
            <w:r>
              <w:rPr>
                <w:szCs w:val="21"/>
              </w:rPr>
              <w:t>“</w:t>
            </w:r>
            <w:r>
              <w:rPr>
                <w:rFonts w:hint="eastAsia"/>
                <w:szCs w:val="21"/>
              </w:rPr>
              <w:t>响应文件格式</w:t>
            </w:r>
            <w:r>
              <w:rPr>
                <w:szCs w:val="21"/>
              </w:rPr>
              <w:t>”</w:t>
            </w:r>
            <w:r>
              <w:rPr>
                <w:rFonts w:hint="eastAsia"/>
                <w:szCs w:val="21"/>
              </w:rPr>
              <w:t>的规定</w:t>
            </w:r>
          </w:p>
          <w:p w14:paraId="55AD1B41">
            <w:pPr>
              <w:tabs>
                <w:tab w:val="center" w:pos="4153"/>
                <w:tab w:val="right" w:pos="8306"/>
              </w:tabs>
              <w:rPr>
                <w:szCs w:val="21"/>
              </w:rPr>
            </w:pPr>
            <w:r>
              <w:rPr>
                <w:szCs w:val="21"/>
              </w:rPr>
              <w:t>Conforme aux dispositions du Chapitre 4 sur le ‘Format des documents de réponse.</w:t>
            </w:r>
          </w:p>
        </w:tc>
      </w:tr>
      <w:tr w14:paraId="061BB9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12" w:space="0"/>
              <w:left w:val="single" w:color="auto" w:sz="12" w:space="0"/>
              <w:bottom w:val="single" w:color="auto" w:sz="4" w:space="0"/>
              <w:right w:val="single" w:color="auto" w:sz="4" w:space="0"/>
            </w:tcBorders>
            <w:vAlign w:val="center"/>
          </w:tcPr>
          <w:p w14:paraId="04F7D1E9">
            <w:pPr>
              <w:widowControl/>
              <w:jc w:val="left"/>
              <w:rPr>
                <w:szCs w:val="21"/>
              </w:rPr>
            </w:pPr>
          </w:p>
        </w:tc>
        <w:tc>
          <w:tcPr>
            <w:tcW w:w="1122" w:type="dxa"/>
            <w:vMerge w:val="continue"/>
            <w:tcBorders>
              <w:top w:val="single" w:color="auto" w:sz="12" w:space="0"/>
              <w:left w:val="single" w:color="auto" w:sz="4" w:space="0"/>
              <w:bottom w:val="single" w:color="auto" w:sz="4" w:space="0"/>
              <w:right w:val="single" w:color="auto" w:sz="4" w:space="0"/>
            </w:tcBorders>
            <w:vAlign w:val="center"/>
          </w:tcPr>
          <w:p w14:paraId="323C8294">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566A44AD">
            <w:pPr>
              <w:spacing w:line="240" w:lineRule="exact"/>
              <w:jc w:val="center"/>
              <w:rPr>
                <w:szCs w:val="21"/>
              </w:rPr>
            </w:pPr>
            <w:r>
              <w:rPr>
                <w:rFonts w:hint="eastAsia"/>
                <w:szCs w:val="21"/>
              </w:rPr>
              <w:t>报价唯一</w:t>
            </w:r>
          </w:p>
          <w:p w14:paraId="45D983AE">
            <w:pPr>
              <w:tabs>
                <w:tab w:val="center" w:pos="4153"/>
                <w:tab w:val="right" w:pos="8306"/>
              </w:tabs>
              <w:jc w:val="center"/>
              <w:rPr>
                <w:szCs w:val="21"/>
              </w:rPr>
            </w:pPr>
            <w:r>
              <w:rPr>
                <w:szCs w:val="21"/>
                <w:lang w:bidi="ar"/>
              </w:rPr>
              <w:t>Offre unique</w:t>
            </w:r>
          </w:p>
        </w:tc>
        <w:tc>
          <w:tcPr>
            <w:tcW w:w="5533" w:type="dxa"/>
            <w:tcBorders>
              <w:top w:val="single" w:color="auto" w:sz="4" w:space="0"/>
              <w:left w:val="single" w:color="auto" w:sz="4" w:space="0"/>
              <w:bottom w:val="single" w:color="auto" w:sz="4" w:space="0"/>
              <w:right w:val="single" w:color="auto" w:sz="12" w:space="0"/>
            </w:tcBorders>
            <w:vAlign w:val="center"/>
          </w:tcPr>
          <w:p w14:paraId="449D7417">
            <w:pPr>
              <w:spacing w:line="240" w:lineRule="exact"/>
              <w:rPr>
                <w:szCs w:val="21"/>
              </w:rPr>
            </w:pPr>
            <w:r>
              <w:rPr>
                <w:rFonts w:hint="eastAsia"/>
                <w:szCs w:val="21"/>
              </w:rPr>
              <w:t xml:space="preserve">只能有一个有效报价 </w:t>
            </w:r>
          </w:p>
          <w:p w14:paraId="677B73F0">
            <w:pPr>
              <w:spacing w:line="240" w:lineRule="exact"/>
              <w:rPr>
                <w:szCs w:val="21"/>
              </w:rPr>
            </w:pPr>
            <w:r>
              <w:rPr>
                <w:szCs w:val="21"/>
                <w:lang w:bidi="ar"/>
              </w:rPr>
              <w:t>Offre unique</w:t>
            </w:r>
            <w:r>
              <w:rPr>
                <w:szCs w:val="21"/>
              </w:rPr>
              <w:t xml:space="preserve"> est autorisée.</w:t>
            </w:r>
          </w:p>
        </w:tc>
      </w:tr>
      <w:tr w14:paraId="2B624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restart"/>
            <w:tcBorders>
              <w:top w:val="single" w:color="auto" w:sz="4" w:space="0"/>
              <w:left w:val="single" w:color="auto" w:sz="12" w:space="0"/>
              <w:bottom w:val="single" w:color="auto" w:sz="4" w:space="0"/>
              <w:right w:val="single" w:color="auto" w:sz="4" w:space="0"/>
            </w:tcBorders>
            <w:vAlign w:val="center"/>
          </w:tcPr>
          <w:p w14:paraId="70A33CAA">
            <w:pPr>
              <w:jc w:val="center"/>
              <w:rPr>
                <w:szCs w:val="21"/>
              </w:rPr>
            </w:pPr>
            <w:r>
              <w:rPr>
                <w:szCs w:val="21"/>
              </w:rPr>
              <w:t>1.1.2</w:t>
            </w:r>
          </w:p>
        </w:tc>
        <w:tc>
          <w:tcPr>
            <w:tcW w:w="1122" w:type="dxa"/>
            <w:vMerge w:val="restart"/>
            <w:tcBorders>
              <w:top w:val="single" w:color="auto" w:sz="4" w:space="0"/>
              <w:left w:val="single" w:color="auto" w:sz="4" w:space="0"/>
              <w:bottom w:val="single" w:color="auto" w:sz="4" w:space="0"/>
              <w:right w:val="single" w:color="auto" w:sz="4" w:space="0"/>
            </w:tcBorders>
            <w:vAlign w:val="center"/>
          </w:tcPr>
          <w:p w14:paraId="415B26B7">
            <w:r>
              <w:rPr>
                <w:rFonts w:hint="eastAsia"/>
                <w:szCs w:val="21"/>
              </w:rPr>
              <w:t>串标审查</w:t>
            </w:r>
          </w:p>
          <w:p w14:paraId="60E9161E">
            <w:pPr>
              <w:tabs>
                <w:tab w:val="center" w:pos="4153"/>
                <w:tab w:val="right" w:pos="8306"/>
              </w:tabs>
              <w:rPr>
                <w:szCs w:val="21"/>
              </w:rPr>
            </w:pPr>
            <w:r>
              <w:t>Contrôle de la collusion</w:t>
            </w:r>
          </w:p>
        </w:tc>
        <w:tc>
          <w:tcPr>
            <w:tcW w:w="1974" w:type="dxa"/>
            <w:tcBorders>
              <w:top w:val="single" w:color="auto" w:sz="4" w:space="0"/>
              <w:left w:val="single" w:color="auto" w:sz="4" w:space="0"/>
              <w:bottom w:val="single" w:color="auto" w:sz="4" w:space="0"/>
              <w:right w:val="single" w:color="auto" w:sz="4" w:space="0"/>
            </w:tcBorders>
            <w:vAlign w:val="center"/>
          </w:tcPr>
          <w:p w14:paraId="69025C5B">
            <w:pPr>
              <w:jc w:val="center"/>
              <w:rPr>
                <w:szCs w:val="21"/>
              </w:rPr>
            </w:pPr>
            <w:r>
              <w:rPr>
                <w:rFonts w:hint="eastAsia"/>
                <w:szCs w:val="21"/>
              </w:rPr>
              <w:t>不同响应人的响应文件是否由同一单位或者个人编制</w:t>
            </w:r>
          </w:p>
          <w:p w14:paraId="1A9DF8A3">
            <w:pPr>
              <w:tabs>
                <w:tab w:val="center" w:pos="4153"/>
                <w:tab w:val="right" w:pos="8306"/>
              </w:tabs>
              <w:jc w:val="center"/>
              <w:rPr>
                <w:szCs w:val="21"/>
              </w:rPr>
            </w:pPr>
            <w:r>
              <w:rPr>
                <w:szCs w:val="21"/>
              </w:rPr>
              <w:t>Rédaction identique des offres par une même entité ou personne</w:t>
            </w:r>
          </w:p>
        </w:tc>
        <w:tc>
          <w:tcPr>
            <w:tcW w:w="5533" w:type="dxa"/>
            <w:tcBorders>
              <w:top w:val="single" w:color="auto" w:sz="4" w:space="0"/>
              <w:left w:val="single" w:color="auto" w:sz="4" w:space="0"/>
              <w:bottom w:val="single" w:color="auto" w:sz="4" w:space="0"/>
              <w:right w:val="single" w:color="auto" w:sz="12" w:space="0"/>
            </w:tcBorders>
            <w:vAlign w:val="center"/>
          </w:tcPr>
          <w:p w14:paraId="39583612">
            <w:pPr>
              <w:rPr>
                <w:szCs w:val="21"/>
              </w:rPr>
            </w:pPr>
            <w:r>
              <w:rPr>
                <w:rFonts w:hint="eastAsia"/>
                <w:szCs w:val="21"/>
              </w:rPr>
              <w:t>评审组审核电子版响应文件的编辑作者是否为特定的同一个人，机器自动赋予的通用名称除外。</w:t>
            </w:r>
          </w:p>
          <w:p w14:paraId="081F1481">
            <w:pPr>
              <w:tabs>
                <w:tab w:val="center" w:pos="4153"/>
                <w:tab w:val="right" w:pos="8306"/>
              </w:tabs>
              <w:rPr>
                <w:szCs w:val="21"/>
              </w:rPr>
            </w:pPr>
            <w:r>
              <w:rPr>
                <w:szCs w:val="21"/>
              </w:rPr>
              <w:t>Le Comité vérifie dans les métadonnées si les documents de soumisssion ont pour auteur une même personne physique identifiée (hors noms génériques automatiques). Cette identité constitue un indice de rédaction commune.</w:t>
            </w:r>
          </w:p>
        </w:tc>
      </w:tr>
      <w:tr w14:paraId="06292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4" w:space="0"/>
              <w:right w:val="single" w:color="auto" w:sz="4" w:space="0"/>
            </w:tcBorders>
            <w:vAlign w:val="center"/>
          </w:tcPr>
          <w:p w14:paraId="73A4A7F5">
            <w:pPr>
              <w:widowControl/>
              <w:jc w:val="left"/>
              <w:rPr>
                <w:szCs w:val="21"/>
              </w:rPr>
            </w:pPr>
          </w:p>
        </w:tc>
        <w:tc>
          <w:tcPr>
            <w:tcW w:w="1122" w:type="dxa"/>
            <w:vMerge w:val="continue"/>
            <w:tcBorders>
              <w:top w:val="single" w:color="auto" w:sz="4" w:space="0"/>
              <w:left w:val="single" w:color="auto" w:sz="4" w:space="0"/>
              <w:bottom w:val="single" w:color="auto" w:sz="4" w:space="0"/>
              <w:right w:val="single" w:color="auto" w:sz="4" w:space="0"/>
            </w:tcBorders>
            <w:vAlign w:val="center"/>
          </w:tcPr>
          <w:p w14:paraId="0ECC5C4A">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50FD4724">
            <w:pPr>
              <w:jc w:val="center"/>
              <w:rPr>
                <w:szCs w:val="21"/>
              </w:rPr>
            </w:pPr>
            <w:r>
              <w:rPr>
                <w:rFonts w:hint="eastAsia"/>
                <w:szCs w:val="21"/>
              </w:rPr>
              <w:t>不同响应人委托同一单位或者个人办理响应事宜</w:t>
            </w:r>
          </w:p>
          <w:p w14:paraId="1F9F1C21">
            <w:pPr>
              <w:tabs>
                <w:tab w:val="center" w:pos="4153"/>
                <w:tab w:val="right" w:pos="8306"/>
              </w:tabs>
              <w:jc w:val="center"/>
              <w:rPr>
                <w:szCs w:val="21"/>
              </w:rPr>
            </w:pPr>
            <w:r>
              <w:rPr>
                <w:szCs w:val="21"/>
              </w:rPr>
              <w:t>Recours à un même représentant ou mandataire</w:t>
            </w:r>
          </w:p>
        </w:tc>
        <w:tc>
          <w:tcPr>
            <w:tcW w:w="5533" w:type="dxa"/>
            <w:tcBorders>
              <w:top w:val="single" w:color="auto" w:sz="4" w:space="0"/>
              <w:left w:val="single" w:color="auto" w:sz="4" w:space="0"/>
              <w:bottom w:val="single" w:color="auto" w:sz="4" w:space="0"/>
              <w:right w:val="single" w:color="auto" w:sz="12" w:space="0"/>
            </w:tcBorders>
            <w:vAlign w:val="center"/>
          </w:tcPr>
          <w:p w14:paraId="3606CE9E">
            <w:pPr>
              <w:tabs>
                <w:tab w:val="center" w:pos="4153"/>
                <w:tab w:val="right" w:pos="8306"/>
              </w:tabs>
              <w:rPr>
                <w:szCs w:val="21"/>
              </w:rPr>
            </w:pPr>
            <w:r>
              <w:rPr>
                <w:rFonts w:hint="eastAsia"/>
                <w:szCs w:val="21"/>
              </w:rPr>
              <w:t>由采购项目经理在网上查询不同响应人购买响应文件的联系人是否相同、联系电话是否相同，邮箱是否相同。与其它响应人响应文件上传</w:t>
            </w:r>
            <w:r>
              <w:rPr>
                <w:szCs w:val="21"/>
              </w:rPr>
              <w:t>IP</w:t>
            </w:r>
            <w:r>
              <w:rPr>
                <w:rFonts w:hint="eastAsia"/>
                <w:szCs w:val="21"/>
              </w:rPr>
              <w:t>地址是否相同</w:t>
            </w:r>
          </w:p>
          <w:p w14:paraId="3E3158D1">
            <w:pPr>
              <w:tabs>
                <w:tab w:val="center" w:pos="4153"/>
                <w:tab w:val="right" w:pos="8306"/>
              </w:tabs>
              <w:rPr>
                <w:szCs w:val="21"/>
              </w:rPr>
            </w:pPr>
            <w:r>
              <w:rPr>
                <w:szCs w:val="21"/>
              </w:rPr>
              <w:t>Le chef de projet vérifie en ligne, pour différents soumissionnaires, l’identité des éléments suivants :le contact (nom, téléphone, email) ayant acheté le dossier ; l’adresse IP utilisée pour déposer l’offre.</w:t>
            </w:r>
          </w:p>
        </w:tc>
      </w:tr>
      <w:tr w14:paraId="682EC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4" w:space="0"/>
              <w:right w:val="single" w:color="auto" w:sz="4" w:space="0"/>
            </w:tcBorders>
            <w:vAlign w:val="center"/>
          </w:tcPr>
          <w:p w14:paraId="73B56337">
            <w:pPr>
              <w:widowControl/>
              <w:jc w:val="left"/>
              <w:rPr>
                <w:szCs w:val="21"/>
              </w:rPr>
            </w:pPr>
          </w:p>
        </w:tc>
        <w:tc>
          <w:tcPr>
            <w:tcW w:w="1122" w:type="dxa"/>
            <w:vMerge w:val="continue"/>
            <w:tcBorders>
              <w:top w:val="single" w:color="auto" w:sz="4" w:space="0"/>
              <w:left w:val="single" w:color="auto" w:sz="4" w:space="0"/>
              <w:bottom w:val="single" w:color="auto" w:sz="4" w:space="0"/>
              <w:right w:val="single" w:color="auto" w:sz="4" w:space="0"/>
            </w:tcBorders>
            <w:vAlign w:val="center"/>
          </w:tcPr>
          <w:p w14:paraId="10AC39D5">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3A3355CE">
            <w:pPr>
              <w:jc w:val="center"/>
              <w:rPr>
                <w:szCs w:val="21"/>
              </w:rPr>
            </w:pPr>
            <w:r>
              <w:rPr>
                <w:rFonts w:hint="eastAsia"/>
                <w:szCs w:val="21"/>
              </w:rPr>
              <w:t>不同响应人的响应文件载明的项目管理成员为同一人</w:t>
            </w:r>
          </w:p>
          <w:p w14:paraId="5E6F86DE">
            <w:pPr>
              <w:tabs>
                <w:tab w:val="center" w:pos="4153"/>
                <w:tab w:val="right" w:pos="8306"/>
              </w:tabs>
              <w:jc w:val="center"/>
              <w:rPr>
                <w:szCs w:val="21"/>
              </w:rPr>
            </w:pPr>
            <w:r>
              <w:rPr>
                <w:szCs w:val="21"/>
              </w:rPr>
              <w:t>Gestionnaire de projet identique dans les offres de différents soumissionnaires</w:t>
            </w:r>
          </w:p>
        </w:tc>
        <w:tc>
          <w:tcPr>
            <w:tcW w:w="5533" w:type="dxa"/>
            <w:tcBorders>
              <w:top w:val="single" w:color="auto" w:sz="4" w:space="0"/>
              <w:left w:val="single" w:color="auto" w:sz="4" w:space="0"/>
              <w:bottom w:val="single" w:color="auto" w:sz="4" w:space="0"/>
              <w:right w:val="single" w:color="auto" w:sz="12" w:space="0"/>
            </w:tcBorders>
            <w:vAlign w:val="center"/>
          </w:tcPr>
          <w:p w14:paraId="7795D3FA">
            <w:pPr>
              <w:rPr>
                <w:szCs w:val="21"/>
              </w:rPr>
            </w:pPr>
            <w:r>
              <w:rPr>
                <w:rFonts w:hint="eastAsia"/>
                <w:szCs w:val="21"/>
              </w:rPr>
              <w:t>审查项目组织机构管理人员是否有成员为同一人。</w:t>
            </w:r>
          </w:p>
          <w:p w14:paraId="49F21C26">
            <w:pPr>
              <w:tabs>
                <w:tab w:val="center" w:pos="4153"/>
                <w:tab w:val="right" w:pos="8306"/>
              </w:tabs>
              <w:rPr>
                <w:szCs w:val="21"/>
              </w:rPr>
            </w:pPr>
            <w:r>
              <w:rPr>
                <w:szCs w:val="21"/>
              </w:rPr>
              <w:t>Le Comité d’évaluation vérifie si les organigrammes ou listes du personnel de gestion présentés dans les offres de différents soumissionnaires comportent un ou plusieurs membres identiques.</w:t>
            </w:r>
          </w:p>
        </w:tc>
      </w:tr>
      <w:tr w14:paraId="4C970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4" w:space="0"/>
              <w:right w:val="single" w:color="auto" w:sz="4" w:space="0"/>
            </w:tcBorders>
            <w:vAlign w:val="center"/>
          </w:tcPr>
          <w:p w14:paraId="64B7F60F">
            <w:pPr>
              <w:widowControl/>
              <w:jc w:val="left"/>
              <w:rPr>
                <w:szCs w:val="21"/>
              </w:rPr>
            </w:pPr>
          </w:p>
        </w:tc>
        <w:tc>
          <w:tcPr>
            <w:tcW w:w="1122" w:type="dxa"/>
            <w:vMerge w:val="continue"/>
            <w:tcBorders>
              <w:top w:val="single" w:color="auto" w:sz="4" w:space="0"/>
              <w:left w:val="single" w:color="auto" w:sz="4" w:space="0"/>
              <w:bottom w:val="single" w:color="auto" w:sz="4" w:space="0"/>
              <w:right w:val="single" w:color="auto" w:sz="4" w:space="0"/>
            </w:tcBorders>
            <w:vAlign w:val="center"/>
          </w:tcPr>
          <w:p w14:paraId="0067806F">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1DB6D3C8">
            <w:pPr>
              <w:jc w:val="center"/>
              <w:rPr>
                <w:szCs w:val="21"/>
              </w:rPr>
            </w:pPr>
            <w:r>
              <w:rPr>
                <w:rFonts w:hint="eastAsia"/>
                <w:szCs w:val="21"/>
              </w:rPr>
              <w:t>不同响应人的响应文件异常一致或者响应报价呈规律性差异</w:t>
            </w:r>
          </w:p>
          <w:p w14:paraId="09E74EA4">
            <w:pPr>
              <w:tabs>
                <w:tab w:val="center" w:pos="4153"/>
                <w:tab w:val="right" w:pos="8306"/>
              </w:tabs>
              <w:jc w:val="center"/>
              <w:rPr>
                <w:szCs w:val="21"/>
              </w:rPr>
            </w:pPr>
            <w:r>
              <w:rPr>
                <w:szCs w:val="21"/>
              </w:rPr>
              <w:t>Offres anormalement similaires ou présentant des écarts de prix systématiques</w:t>
            </w:r>
          </w:p>
        </w:tc>
        <w:tc>
          <w:tcPr>
            <w:tcW w:w="5533" w:type="dxa"/>
            <w:tcBorders>
              <w:top w:val="single" w:color="auto" w:sz="4" w:space="0"/>
              <w:left w:val="single" w:color="auto" w:sz="4" w:space="0"/>
              <w:bottom w:val="single" w:color="auto" w:sz="4" w:space="0"/>
              <w:right w:val="single" w:color="auto" w:sz="12" w:space="0"/>
            </w:tcBorders>
            <w:vAlign w:val="center"/>
          </w:tcPr>
          <w:p w14:paraId="09C0A72C">
            <w:pPr>
              <w:tabs>
                <w:tab w:val="center" w:pos="4153"/>
                <w:tab w:val="right" w:pos="8306"/>
              </w:tabs>
              <w:rPr>
                <w:szCs w:val="21"/>
              </w:rPr>
            </w:pPr>
            <w:r>
              <w:rPr>
                <w:rFonts w:hint="eastAsia"/>
                <w:szCs w:val="21"/>
              </w:rPr>
              <w:t>对各响应人的技术、商务、报价文件的一致性进行审查，文字、标点符号、页码等是否呈规律性一致，错误是否呈规律性一致。</w:t>
            </w:r>
          </w:p>
          <w:p w14:paraId="3EDA024D">
            <w:pPr>
              <w:tabs>
                <w:tab w:val="center" w:pos="4153"/>
                <w:tab w:val="right" w:pos="8306"/>
              </w:tabs>
              <w:rPr>
                <w:szCs w:val="21"/>
              </w:rPr>
            </w:pPr>
            <w:r>
              <w:rPr>
                <w:szCs w:val="21"/>
              </w:rPr>
              <w:t>Le Comité procède à l’analyse comparative des documents techniques, commerciaux et financiers des différentes offres pour y détecter des similitudes inhabituelles, notamment dans :la formulation textuelle, la ponctuation et la pagination ;la répétition d’erreurs identiques ou systématiques.</w:t>
            </w:r>
          </w:p>
        </w:tc>
      </w:tr>
      <w:tr w14:paraId="5F6E2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4" w:space="0"/>
              <w:right w:val="single" w:color="auto" w:sz="4" w:space="0"/>
            </w:tcBorders>
            <w:vAlign w:val="center"/>
          </w:tcPr>
          <w:p w14:paraId="596B883F">
            <w:pPr>
              <w:widowControl/>
              <w:jc w:val="left"/>
              <w:rPr>
                <w:szCs w:val="21"/>
              </w:rPr>
            </w:pPr>
          </w:p>
        </w:tc>
        <w:tc>
          <w:tcPr>
            <w:tcW w:w="1122" w:type="dxa"/>
            <w:vMerge w:val="continue"/>
            <w:tcBorders>
              <w:top w:val="single" w:color="auto" w:sz="4" w:space="0"/>
              <w:left w:val="single" w:color="auto" w:sz="4" w:space="0"/>
              <w:bottom w:val="single" w:color="auto" w:sz="4" w:space="0"/>
              <w:right w:val="single" w:color="auto" w:sz="4" w:space="0"/>
            </w:tcBorders>
            <w:vAlign w:val="center"/>
          </w:tcPr>
          <w:p w14:paraId="0D56BBF2">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5374EB56">
            <w:pPr>
              <w:jc w:val="center"/>
              <w:rPr>
                <w:szCs w:val="21"/>
              </w:rPr>
            </w:pPr>
            <w:r>
              <w:rPr>
                <w:rFonts w:hint="eastAsia"/>
                <w:szCs w:val="21"/>
              </w:rPr>
              <w:t>不同响应人的响应文件相互混装</w:t>
            </w:r>
          </w:p>
          <w:p w14:paraId="47751377">
            <w:pPr>
              <w:tabs>
                <w:tab w:val="center" w:pos="4153"/>
                <w:tab w:val="right" w:pos="8306"/>
              </w:tabs>
              <w:jc w:val="center"/>
              <w:rPr>
                <w:szCs w:val="21"/>
              </w:rPr>
            </w:pPr>
            <w:r>
              <w:rPr>
                <w:szCs w:val="21"/>
              </w:rPr>
              <w:t>Inclusion, dans une offre, d’éléments appartenant manifestement à une autre offre.</w:t>
            </w:r>
          </w:p>
        </w:tc>
        <w:tc>
          <w:tcPr>
            <w:tcW w:w="5533" w:type="dxa"/>
            <w:tcBorders>
              <w:top w:val="single" w:color="auto" w:sz="4" w:space="0"/>
              <w:left w:val="single" w:color="auto" w:sz="4" w:space="0"/>
              <w:bottom w:val="single" w:color="auto" w:sz="4" w:space="0"/>
              <w:right w:val="single" w:color="auto" w:sz="12" w:space="0"/>
            </w:tcBorders>
            <w:vAlign w:val="center"/>
          </w:tcPr>
          <w:p w14:paraId="7178922C">
            <w:pPr>
              <w:rPr>
                <w:szCs w:val="21"/>
              </w:rPr>
            </w:pPr>
            <w:r>
              <w:rPr>
                <w:rFonts w:hint="eastAsia"/>
                <w:szCs w:val="21"/>
              </w:rPr>
              <w:t>查询上传的响应文件电子版是否混装</w:t>
            </w:r>
          </w:p>
          <w:p w14:paraId="398C88F0">
            <w:pPr>
              <w:tabs>
                <w:tab w:val="center" w:pos="4153"/>
                <w:tab w:val="right" w:pos="8306"/>
              </w:tabs>
              <w:rPr>
                <w:szCs w:val="21"/>
              </w:rPr>
            </w:pPr>
            <w:r>
              <w:rPr>
                <w:szCs w:val="21"/>
              </w:rPr>
              <w:t>Vérification du mélange de documents entre offres électroniques</w:t>
            </w:r>
          </w:p>
        </w:tc>
      </w:tr>
      <w:tr w14:paraId="1945F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4" w:space="0"/>
              <w:right w:val="single" w:color="auto" w:sz="4" w:space="0"/>
            </w:tcBorders>
            <w:vAlign w:val="center"/>
          </w:tcPr>
          <w:p w14:paraId="2021AF27">
            <w:pPr>
              <w:widowControl/>
              <w:jc w:val="left"/>
              <w:rPr>
                <w:szCs w:val="21"/>
              </w:rPr>
            </w:pPr>
          </w:p>
        </w:tc>
        <w:tc>
          <w:tcPr>
            <w:tcW w:w="1122" w:type="dxa"/>
            <w:vMerge w:val="continue"/>
            <w:tcBorders>
              <w:top w:val="single" w:color="auto" w:sz="4" w:space="0"/>
              <w:left w:val="single" w:color="auto" w:sz="4" w:space="0"/>
              <w:bottom w:val="single" w:color="auto" w:sz="4" w:space="0"/>
              <w:right w:val="single" w:color="auto" w:sz="4" w:space="0"/>
            </w:tcBorders>
            <w:vAlign w:val="center"/>
          </w:tcPr>
          <w:p w14:paraId="474925FD">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5C4324F0">
            <w:pPr>
              <w:jc w:val="center"/>
              <w:rPr>
                <w:szCs w:val="21"/>
              </w:rPr>
            </w:pPr>
            <w:r>
              <w:rPr>
                <w:rFonts w:hint="eastAsia"/>
                <w:szCs w:val="21"/>
              </w:rPr>
              <w:t>串通响应等违法行为评审条件</w:t>
            </w:r>
          </w:p>
          <w:p w14:paraId="16ECF6B6">
            <w:pPr>
              <w:tabs>
                <w:tab w:val="center" w:pos="4153"/>
                <w:tab w:val="right" w:pos="8306"/>
              </w:tabs>
              <w:jc w:val="center"/>
              <w:rPr>
                <w:szCs w:val="21"/>
              </w:rPr>
            </w:pPr>
            <w:r>
              <w:rPr>
                <w:szCs w:val="21"/>
              </w:rPr>
              <w:t>Soumissions concertées et autres actes illicites : critères d’évaluation</w:t>
            </w:r>
          </w:p>
        </w:tc>
        <w:tc>
          <w:tcPr>
            <w:tcW w:w="5533" w:type="dxa"/>
            <w:tcBorders>
              <w:top w:val="single" w:color="auto" w:sz="4" w:space="0"/>
              <w:left w:val="single" w:color="auto" w:sz="4" w:space="0"/>
              <w:bottom w:val="single" w:color="auto" w:sz="4" w:space="0"/>
              <w:right w:val="single" w:color="auto" w:sz="12" w:space="0"/>
            </w:tcBorders>
            <w:vAlign w:val="center"/>
          </w:tcPr>
          <w:p w14:paraId="1BC170B2">
            <w:pPr>
              <w:rPr>
                <w:szCs w:val="21"/>
              </w:rPr>
            </w:pPr>
            <w:r>
              <w:rPr>
                <w:rFonts w:hint="eastAsia"/>
                <w:szCs w:val="21"/>
              </w:rPr>
              <w:t>除国家招标投标法、招标投标法实施条例等规定外，不同响应人的响应文件出现以下情形的，视为响应人串通投标：</w:t>
            </w:r>
          </w:p>
          <w:p w14:paraId="670D2890">
            <w:pPr>
              <w:rPr>
                <w:szCs w:val="21"/>
              </w:rPr>
            </w:pPr>
            <w:r>
              <w:rPr>
                <w:szCs w:val="21"/>
              </w:rPr>
              <w:t>1.</w:t>
            </w:r>
            <w:r>
              <w:rPr>
                <w:rFonts w:hint="eastAsia"/>
                <w:szCs w:val="21"/>
              </w:rPr>
              <w:t>不同响应人使用相同</w:t>
            </w:r>
            <w:r>
              <w:rPr>
                <w:szCs w:val="21"/>
              </w:rPr>
              <w:t>IP</w:t>
            </w:r>
            <w:r>
              <w:rPr>
                <w:rFonts w:hint="eastAsia"/>
                <w:szCs w:val="21"/>
              </w:rPr>
              <w:t>地址上传响应文件；</w:t>
            </w:r>
          </w:p>
          <w:p w14:paraId="7EDA1C96">
            <w:pPr>
              <w:rPr>
                <w:szCs w:val="21"/>
              </w:rPr>
            </w:pPr>
            <w:r>
              <w:rPr>
                <w:szCs w:val="21"/>
              </w:rPr>
              <w:t>2.</w:t>
            </w:r>
            <w:r>
              <w:rPr>
                <w:rFonts w:hint="eastAsia"/>
                <w:szCs w:val="21"/>
              </w:rPr>
              <w:t>不同响应人购买响应文件人员姓名或联系方式相同。</w:t>
            </w:r>
          </w:p>
          <w:p w14:paraId="1087A580">
            <w:pPr>
              <w:tabs>
                <w:tab w:val="center" w:pos="4153"/>
                <w:tab w:val="right" w:pos="8306"/>
              </w:tabs>
              <w:rPr>
                <w:szCs w:val="21"/>
              </w:rPr>
            </w:pPr>
            <w:r>
              <w:rPr>
                <w:szCs w:val="21"/>
              </w:rPr>
              <w:t>Outre les cas prévus par le Code des appels d’offres de la République populaire de Chine et son Règlement d’application, les offres de différents soumissionnaires seront présumées être des soumissions concertées si l’une des situations suivantes est constatée :</w:t>
            </w:r>
          </w:p>
          <w:p w14:paraId="3EE4CE7B">
            <w:pPr>
              <w:tabs>
                <w:tab w:val="center" w:pos="4153"/>
                <w:tab w:val="right" w:pos="8306"/>
              </w:tabs>
              <w:rPr>
                <w:szCs w:val="21"/>
              </w:rPr>
            </w:pPr>
            <w:r>
              <w:rPr>
                <w:szCs w:val="21"/>
              </w:rPr>
              <w:t>Le téléversement des offres par différents soumissionnaires depuis une même adresse IP ;</w:t>
            </w:r>
          </w:p>
          <w:p w14:paraId="6AD21A40">
            <w:pPr>
              <w:tabs>
                <w:tab w:val="center" w:pos="4153"/>
                <w:tab w:val="right" w:pos="8306"/>
              </w:tabs>
              <w:rPr>
                <w:szCs w:val="21"/>
              </w:rPr>
            </w:pPr>
            <w:r>
              <w:rPr>
                <w:szCs w:val="21"/>
              </w:rPr>
              <w:t>L’identité ou la coïncidence substantielle du nom ou des coordonnées de la personne ayant procédé à l’acquisition du dossier de consultation pour le compte de soumissionnaires différents.</w:t>
            </w:r>
          </w:p>
        </w:tc>
      </w:tr>
      <w:tr w14:paraId="748AC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4" w:space="0"/>
              <w:right w:val="single" w:color="auto" w:sz="4" w:space="0"/>
            </w:tcBorders>
            <w:vAlign w:val="center"/>
          </w:tcPr>
          <w:p w14:paraId="2BA3DE65">
            <w:pPr>
              <w:widowControl/>
              <w:jc w:val="left"/>
              <w:rPr>
                <w:szCs w:val="21"/>
              </w:rPr>
            </w:pPr>
          </w:p>
        </w:tc>
        <w:tc>
          <w:tcPr>
            <w:tcW w:w="1122" w:type="dxa"/>
            <w:vMerge w:val="continue"/>
            <w:tcBorders>
              <w:top w:val="single" w:color="auto" w:sz="4" w:space="0"/>
              <w:left w:val="single" w:color="auto" w:sz="4" w:space="0"/>
              <w:bottom w:val="single" w:color="auto" w:sz="4" w:space="0"/>
              <w:right w:val="single" w:color="auto" w:sz="4" w:space="0"/>
            </w:tcBorders>
            <w:vAlign w:val="center"/>
          </w:tcPr>
          <w:p w14:paraId="48978888">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785D99F3">
            <w:pPr>
              <w:jc w:val="center"/>
              <w:rPr>
                <w:szCs w:val="21"/>
              </w:rPr>
            </w:pPr>
            <w:r>
              <w:rPr>
                <w:rFonts w:hint="eastAsia"/>
                <w:szCs w:val="21"/>
              </w:rPr>
              <w:t>无效响应条件</w:t>
            </w:r>
          </w:p>
          <w:p w14:paraId="39E80998">
            <w:pPr>
              <w:tabs>
                <w:tab w:val="center" w:pos="4153"/>
                <w:tab w:val="right" w:pos="8306"/>
              </w:tabs>
              <w:jc w:val="center"/>
              <w:rPr>
                <w:szCs w:val="21"/>
              </w:rPr>
            </w:pPr>
            <w:r>
              <w:rPr>
                <w:rFonts w:eastAsia="Segoe UI"/>
                <w:szCs w:val="21"/>
              </w:rPr>
              <w:t>Conditions de soumission invalide</w:t>
            </w:r>
          </w:p>
        </w:tc>
        <w:tc>
          <w:tcPr>
            <w:tcW w:w="5533" w:type="dxa"/>
            <w:tcBorders>
              <w:top w:val="single" w:color="auto" w:sz="4" w:space="0"/>
              <w:left w:val="single" w:color="auto" w:sz="4" w:space="0"/>
              <w:bottom w:val="single" w:color="auto" w:sz="4" w:space="0"/>
              <w:right w:val="single" w:color="auto" w:sz="12" w:space="0"/>
            </w:tcBorders>
            <w:vAlign w:val="center"/>
          </w:tcPr>
          <w:p w14:paraId="15C4F20D">
            <w:pPr>
              <w:rPr>
                <w:szCs w:val="21"/>
              </w:rPr>
            </w:pPr>
            <w:r>
              <w:rPr>
                <w:rFonts w:hint="eastAsia"/>
                <w:szCs w:val="21"/>
              </w:rPr>
              <w:t>除国家招标投标法、招标投标法实施条例等规定外，不同响应人的响应文件出现以下情形的，视为无效投标：</w:t>
            </w:r>
          </w:p>
          <w:p w14:paraId="3F868A6E">
            <w:pPr>
              <w:rPr>
                <w:szCs w:val="21"/>
              </w:rPr>
            </w:pPr>
            <w:r>
              <w:rPr>
                <w:rFonts w:hint="eastAsia"/>
                <w:szCs w:val="21"/>
              </w:rPr>
              <w:t>单位负责人为同一人或者存在控股、管理关系的不同单位，不得参加同一项目响应或者未划分标段的同一采购项目响应。单位负责人是指法定代表人。</w:t>
            </w:r>
          </w:p>
          <w:p w14:paraId="27797029">
            <w:pPr>
              <w:tabs>
                <w:tab w:val="center" w:pos="4153"/>
                <w:tab w:val="right" w:pos="8306"/>
              </w:tabs>
              <w:rPr>
                <w:szCs w:val="21"/>
              </w:rPr>
            </w:pPr>
            <w:r>
              <w:rPr>
                <w:szCs w:val="21"/>
              </w:rPr>
              <w:t>Conformément aux dispositions du Code des appels d’offres et de son Règlement d’application, la soumission est déclarée irrecevable dans les circonstances suivantes :</w:t>
            </w:r>
          </w:p>
          <w:p w14:paraId="78D09255">
            <w:pPr>
              <w:tabs>
                <w:tab w:val="center" w:pos="4153"/>
                <w:tab w:val="right" w:pos="8306"/>
              </w:tabs>
              <w:rPr>
                <w:szCs w:val="21"/>
              </w:rPr>
            </w:pPr>
            <w:r>
              <w:rPr>
                <w:szCs w:val="21"/>
              </w:rPr>
              <w:t>Des entités distinctes dont le représentant légal est la même personne physique, ou entre lesquelles il existe un lien de contrôle direct ou une relation de gestion, ne peuvent pas participer à la soumission pour le même lot ou pour le même projet d’achat non divisé en lots. Aux termes du présent document, « représentant légal » s’entend de la personne physique désignée comme le représentant légal de l’entité</w:t>
            </w:r>
          </w:p>
        </w:tc>
      </w:tr>
      <w:tr w14:paraId="2E96D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restart"/>
            <w:tcBorders>
              <w:top w:val="single" w:color="auto" w:sz="4" w:space="0"/>
              <w:left w:val="single" w:color="auto" w:sz="12" w:space="0"/>
              <w:bottom w:val="single" w:color="auto" w:sz="4" w:space="0"/>
              <w:right w:val="single" w:color="auto" w:sz="4" w:space="0"/>
            </w:tcBorders>
            <w:vAlign w:val="center"/>
          </w:tcPr>
          <w:p w14:paraId="0AB3C600">
            <w:pPr>
              <w:jc w:val="center"/>
              <w:rPr>
                <w:szCs w:val="21"/>
              </w:rPr>
            </w:pPr>
            <w:r>
              <w:rPr>
                <w:szCs w:val="21"/>
              </w:rPr>
              <w:t>1.1.3</w:t>
            </w:r>
          </w:p>
        </w:tc>
        <w:tc>
          <w:tcPr>
            <w:tcW w:w="1122" w:type="dxa"/>
            <w:vMerge w:val="restart"/>
            <w:tcBorders>
              <w:top w:val="single" w:color="auto" w:sz="4" w:space="0"/>
              <w:left w:val="single" w:color="auto" w:sz="4" w:space="0"/>
              <w:bottom w:val="single" w:color="auto" w:sz="4" w:space="0"/>
              <w:right w:val="single" w:color="auto" w:sz="4" w:space="0"/>
            </w:tcBorders>
            <w:vAlign w:val="center"/>
          </w:tcPr>
          <w:p w14:paraId="2DBFA85F">
            <w:pPr>
              <w:jc w:val="center"/>
            </w:pPr>
            <w:r>
              <w:rPr>
                <w:rFonts w:hint="eastAsia"/>
                <w:szCs w:val="21"/>
              </w:rPr>
              <w:t>资格评审标准</w:t>
            </w:r>
          </w:p>
          <w:p w14:paraId="2CAB0B18">
            <w:pPr>
              <w:tabs>
                <w:tab w:val="center" w:pos="4153"/>
                <w:tab w:val="right" w:pos="8306"/>
              </w:tabs>
              <w:rPr>
                <w:szCs w:val="21"/>
              </w:rPr>
            </w:pPr>
            <w:r>
              <w:t>Critères d’examen de qualification</w:t>
            </w:r>
          </w:p>
        </w:tc>
        <w:tc>
          <w:tcPr>
            <w:tcW w:w="1974" w:type="dxa"/>
            <w:tcBorders>
              <w:top w:val="single" w:color="auto" w:sz="4" w:space="0"/>
              <w:left w:val="single" w:color="auto" w:sz="4" w:space="0"/>
              <w:bottom w:val="single" w:color="auto" w:sz="4" w:space="0"/>
              <w:right w:val="single" w:color="auto" w:sz="4" w:space="0"/>
            </w:tcBorders>
            <w:vAlign w:val="center"/>
          </w:tcPr>
          <w:p w14:paraId="38D5759B">
            <w:pPr>
              <w:jc w:val="center"/>
              <w:rPr>
                <w:szCs w:val="21"/>
              </w:rPr>
            </w:pPr>
            <w:r>
              <w:rPr>
                <w:rFonts w:hint="eastAsia"/>
                <w:szCs w:val="21"/>
              </w:rPr>
              <w:t>营业执照</w:t>
            </w:r>
          </w:p>
          <w:p w14:paraId="700D85A3">
            <w:pPr>
              <w:tabs>
                <w:tab w:val="center" w:pos="4153"/>
                <w:tab w:val="right" w:pos="8306"/>
              </w:tabs>
              <w:jc w:val="center"/>
              <w:rPr>
                <w:szCs w:val="21"/>
              </w:rPr>
            </w:pPr>
            <w:r>
              <w:rPr>
                <w:szCs w:val="21"/>
              </w:rPr>
              <w:t>RCCM</w:t>
            </w:r>
          </w:p>
        </w:tc>
        <w:tc>
          <w:tcPr>
            <w:tcW w:w="5533" w:type="dxa"/>
            <w:tcBorders>
              <w:top w:val="single" w:color="auto" w:sz="4" w:space="0"/>
              <w:left w:val="single" w:color="auto" w:sz="4" w:space="0"/>
              <w:bottom w:val="single" w:color="auto" w:sz="4" w:space="0"/>
              <w:right w:val="single" w:color="auto" w:sz="12" w:space="0"/>
            </w:tcBorders>
            <w:vAlign w:val="center"/>
          </w:tcPr>
          <w:p w14:paraId="51CC9F3F">
            <w:pPr>
              <w:rPr>
                <w:szCs w:val="21"/>
              </w:rPr>
            </w:pPr>
            <w:r>
              <w:rPr>
                <w:rFonts w:hint="eastAsia"/>
                <w:szCs w:val="21"/>
              </w:rPr>
              <w:t>具备有效的商业登记证</w:t>
            </w:r>
          </w:p>
          <w:p w14:paraId="3206166B">
            <w:pPr>
              <w:tabs>
                <w:tab w:val="center" w:pos="4153"/>
                <w:tab w:val="right" w:pos="8306"/>
              </w:tabs>
              <w:rPr>
                <w:szCs w:val="21"/>
              </w:rPr>
            </w:pPr>
            <w:r>
              <w:rPr>
                <w:szCs w:val="21"/>
              </w:rPr>
              <w:t>Être titulaire d’un RCCM valide.</w:t>
            </w:r>
          </w:p>
        </w:tc>
      </w:tr>
      <w:tr w14:paraId="31C02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4" w:space="0"/>
              <w:right w:val="single" w:color="auto" w:sz="4" w:space="0"/>
            </w:tcBorders>
            <w:vAlign w:val="center"/>
          </w:tcPr>
          <w:p w14:paraId="6C65A13A">
            <w:pPr>
              <w:widowControl/>
              <w:jc w:val="left"/>
              <w:rPr>
                <w:szCs w:val="21"/>
              </w:rPr>
            </w:pPr>
          </w:p>
        </w:tc>
        <w:tc>
          <w:tcPr>
            <w:tcW w:w="1122" w:type="dxa"/>
            <w:vMerge w:val="continue"/>
            <w:tcBorders>
              <w:top w:val="single" w:color="auto" w:sz="4" w:space="0"/>
              <w:left w:val="single" w:color="auto" w:sz="4" w:space="0"/>
              <w:bottom w:val="single" w:color="auto" w:sz="4" w:space="0"/>
              <w:right w:val="single" w:color="auto" w:sz="4" w:space="0"/>
            </w:tcBorders>
            <w:vAlign w:val="center"/>
          </w:tcPr>
          <w:p w14:paraId="11E727C2">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6BECF05A">
            <w:pPr>
              <w:jc w:val="center"/>
              <w:rPr>
                <w:szCs w:val="21"/>
              </w:rPr>
            </w:pPr>
            <w:r>
              <w:rPr>
                <w:rFonts w:hint="eastAsia"/>
                <w:szCs w:val="21"/>
              </w:rPr>
              <w:t>资质要求</w:t>
            </w:r>
          </w:p>
          <w:p w14:paraId="7BCD9358">
            <w:pPr>
              <w:tabs>
                <w:tab w:val="center" w:pos="4153"/>
                <w:tab w:val="right" w:pos="8306"/>
              </w:tabs>
              <w:jc w:val="center"/>
              <w:rPr>
                <w:szCs w:val="21"/>
              </w:rPr>
            </w:pPr>
            <w:r>
              <w:rPr>
                <w:szCs w:val="21"/>
              </w:rPr>
              <w:t>Exigences de qualification</w:t>
            </w:r>
          </w:p>
        </w:tc>
        <w:tc>
          <w:tcPr>
            <w:tcW w:w="5533" w:type="dxa"/>
            <w:tcBorders>
              <w:top w:val="single" w:color="auto" w:sz="4" w:space="0"/>
              <w:left w:val="single" w:color="auto" w:sz="4" w:space="0"/>
              <w:bottom w:val="single" w:color="auto" w:sz="4" w:space="0"/>
              <w:right w:val="single" w:color="auto" w:sz="12" w:space="0"/>
            </w:tcBorders>
            <w:vAlign w:val="center"/>
          </w:tcPr>
          <w:p w14:paraId="189A917B">
            <w:pPr>
              <w:rPr>
                <w:szCs w:val="21"/>
              </w:rPr>
            </w:pPr>
            <w:r>
              <w:rPr>
                <w:rFonts w:hint="eastAsia"/>
                <w:szCs w:val="21"/>
              </w:rPr>
              <w:t>符合第一章</w:t>
            </w:r>
            <w:r>
              <w:rPr>
                <w:szCs w:val="21"/>
              </w:rPr>
              <w:t>“</w:t>
            </w:r>
            <w:r>
              <w:rPr>
                <w:rFonts w:hint="eastAsia"/>
                <w:szCs w:val="21"/>
              </w:rPr>
              <w:t>响应人须知</w:t>
            </w:r>
            <w:r>
              <w:rPr>
                <w:szCs w:val="21"/>
              </w:rPr>
              <w:t>”</w:t>
            </w:r>
            <w:r>
              <w:rPr>
                <w:rFonts w:hint="eastAsia"/>
                <w:szCs w:val="21"/>
              </w:rPr>
              <w:t>第</w:t>
            </w:r>
            <w:r>
              <w:rPr>
                <w:szCs w:val="21"/>
              </w:rPr>
              <w:t>1.8</w:t>
            </w:r>
            <w:r>
              <w:rPr>
                <w:rFonts w:hint="eastAsia"/>
                <w:szCs w:val="21"/>
              </w:rPr>
              <w:t>项规定</w:t>
            </w:r>
          </w:p>
          <w:p w14:paraId="7CCBCE8E">
            <w:pPr>
              <w:rPr>
                <w:szCs w:val="21"/>
              </w:rPr>
            </w:pPr>
            <w:r>
              <w:rPr>
                <w:szCs w:val="21"/>
              </w:rPr>
              <w:t>Conforme aux dispositions du Chapitre I, Instructions aux soumissionnaires, point 1.8.</w:t>
            </w:r>
          </w:p>
        </w:tc>
      </w:tr>
      <w:tr w14:paraId="1085F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4" w:space="0"/>
              <w:right w:val="single" w:color="auto" w:sz="4" w:space="0"/>
            </w:tcBorders>
            <w:vAlign w:val="center"/>
          </w:tcPr>
          <w:p w14:paraId="342F2A17">
            <w:pPr>
              <w:widowControl/>
              <w:jc w:val="left"/>
              <w:rPr>
                <w:szCs w:val="21"/>
              </w:rPr>
            </w:pPr>
          </w:p>
        </w:tc>
        <w:tc>
          <w:tcPr>
            <w:tcW w:w="1122" w:type="dxa"/>
            <w:vMerge w:val="continue"/>
            <w:tcBorders>
              <w:top w:val="single" w:color="auto" w:sz="4" w:space="0"/>
              <w:left w:val="single" w:color="auto" w:sz="4" w:space="0"/>
              <w:bottom w:val="single" w:color="auto" w:sz="4" w:space="0"/>
              <w:right w:val="single" w:color="auto" w:sz="4" w:space="0"/>
            </w:tcBorders>
            <w:vAlign w:val="center"/>
          </w:tcPr>
          <w:p w14:paraId="106E8D86">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7C3806FF">
            <w:pPr>
              <w:jc w:val="center"/>
              <w:rPr>
                <w:szCs w:val="21"/>
              </w:rPr>
            </w:pPr>
            <w:r>
              <w:rPr>
                <w:rFonts w:hint="eastAsia"/>
                <w:szCs w:val="21"/>
              </w:rPr>
              <w:t>总负责人</w:t>
            </w:r>
          </w:p>
          <w:p w14:paraId="0C71631F">
            <w:pPr>
              <w:tabs>
                <w:tab w:val="center" w:pos="4153"/>
                <w:tab w:val="right" w:pos="8306"/>
              </w:tabs>
              <w:jc w:val="center"/>
              <w:rPr>
                <w:szCs w:val="21"/>
              </w:rPr>
            </w:pPr>
            <w:r>
              <w:rPr>
                <w:szCs w:val="21"/>
              </w:rPr>
              <w:t>Chef de projet principal</w:t>
            </w:r>
          </w:p>
        </w:tc>
        <w:tc>
          <w:tcPr>
            <w:tcW w:w="5533" w:type="dxa"/>
            <w:tcBorders>
              <w:top w:val="single" w:color="auto" w:sz="4" w:space="0"/>
              <w:left w:val="single" w:color="auto" w:sz="4" w:space="0"/>
              <w:bottom w:val="single" w:color="auto" w:sz="4" w:space="0"/>
              <w:right w:val="single" w:color="auto" w:sz="12" w:space="0"/>
            </w:tcBorders>
            <w:vAlign w:val="center"/>
          </w:tcPr>
          <w:p w14:paraId="74F440C0">
            <w:pPr>
              <w:rPr>
                <w:szCs w:val="21"/>
              </w:rPr>
            </w:pPr>
            <w:r>
              <w:rPr>
                <w:rFonts w:hint="eastAsia"/>
                <w:szCs w:val="21"/>
              </w:rPr>
              <w:t>符合第一章</w:t>
            </w:r>
            <w:r>
              <w:rPr>
                <w:szCs w:val="21"/>
              </w:rPr>
              <w:t>“</w:t>
            </w:r>
            <w:r>
              <w:rPr>
                <w:rFonts w:hint="eastAsia"/>
                <w:szCs w:val="21"/>
              </w:rPr>
              <w:t>响应人须知</w:t>
            </w:r>
            <w:r>
              <w:rPr>
                <w:szCs w:val="21"/>
              </w:rPr>
              <w:t>”</w:t>
            </w:r>
            <w:r>
              <w:rPr>
                <w:rFonts w:hint="eastAsia"/>
                <w:szCs w:val="21"/>
              </w:rPr>
              <w:t>第</w:t>
            </w:r>
            <w:r>
              <w:rPr>
                <w:szCs w:val="21"/>
              </w:rPr>
              <w:t>1.8</w:t>
            </w:r>
            <w:r>
              <w:rPr>
                <w:rFonts w:hint="eastAsia"/>
                <w:szCs w:val="21"/>
              </w:rPr>
              <w:t>项规定</w:t>
            </w:r>
          </w:p>
          <w:p w14:paraId="5964F132">
            <w:pPr>
              <w:rPr>
                <w:szCs w:val="21"/>
              </w:rPr>
            </w:pPr>
            <w:r>
              <w:rPr>
                <w:szCs w:val="21"/>
              </w:rPr>
              <w:t>Conforme aux dispositions du Chapitre I, Instructions aux soumissionnaires, point 1.8.</w:t>
            </w:r>
          </w:p>
        </w:tc>
      </w:tr>
      <w:tr w14:paraId="41A8E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4" w:space="0"/>
              <w:right w:val="single" w:color="auto" w:sz="4" w:space="0"/>
            </w:tcBorders>
            <w:vAlign w:val="center"/>
          </w:tcPr>
          <w:p w14:paraId="7E6C897A">
            <w:pPr>
              <w:widowControl/>
              <w:jc w:val="left"/>
              <w:rPr>
                <w:szCs w:val="21"/>
              </w:rPr>
            </w:pPr>
          </w:p>
        </w:tc>
        <w:tc>
          <w:tcPr>
            <w:tcW w:w="1122" w:type="dxa"/>
            <w:vMerge w:val="continue"/>
            <w:tcBorders>
              <w:top w:val="single" w:color="auto" w:sz="4" w:space="0"/>
              <w:left w:val="single" w:color="auto" w:sz="4" w:space="0"/>
              <w:bottom w:val="single" w:color="auto" w:sz="4" w:space="0"/>
              <w:right w:val="single" w:color="auto" w:sz="4" w:space="0"/>
            </w:tcBorders>
            <w:vAlign w:val="center"/>
          </w:tcPr>
          <w:p w14:paraId="24E304FC">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3442EE2C">
            <w:pPr>
              <w:jc w:val="center"/>
              <w:rPr>
                <w:szCs w:val="21"/>
              </w:rPr>
            </w:pPr>
            <w:r>
              <w:rPr>
                <w:rFonts w:hint="eastAsia"/>
                <w:szCs w:val="21"/>
              </w:rPr>
              <w:t>业绩要求</w:t>
            </w:r>
          </w:p>
          <w:p w14:paraId="06B7D16C">
            <w:pPr>
              <w:tabs>
                <w:tab w:val="center" w:pos="4153"/>
                <w:tab w:val="right" w:pos="8306"/>
              </w:tabs>
              <w:jc w:val="center"/>
              <w:rPr>
                <w:szCs w:val="21"/>
              </w:rPr>
            </w:pPr>
            <w:r>
              <w:rPr>
                <w:szCs w:val="21"/>
              </w:rPr>
              <w:t>Exigences de performance</w:t>
            </w:r>
          </w:p>
        </w:tc>
        <w:tc>
          <w:tcPr>
            <w:tcW w:w="5533" w:type="dxa"/>
            <w:tcBorders>
              <w:top w:val="single" w:color="auto" w:sz="4" w:space="0"/>
              <w:left w:val="single" w:color="auto" w:sz="4" w:space="0"/>
              <w:bottom w:val="single" w:color="auto" w:sz="4" w:space="0"/>
              <w:right w:val="single" w:color="auto" w:sz="12" w:space="0"/>
            </w:tcBorders>
            <w:vAlign w:val="center"/>
          </w:tcPr>
          <w:p w14:paraId="54E9E1FE">
            <w:pPr>
              <w:rPr>
                <w:szCs w:val="21"/>
              </w:rPr>
            </w:pPr>
            <w:r>
              <w:rPr>
                <w:rFonts w:hint="eastAsia"/>
                <w:szCs w:val="21"/>
              </w:rPr>
              <w:t>符合第一章</w:t>
            </w:r>
            <w:r>
              <w:rPr>
                <w:szCs w:val="21"/>
              </w:rPr>
              <w:t>“</w:t>
            </w:r>
            <w:r>
              <w:rPr>
                <w:rFonts w:hint="eastAsia"/>
                <w:szCs w:val="21"/>
              </w:rPr>
              <w:t>响应人须知</w:t>
            </w:r>
            <w:r>
              <w:rPr>
                <w:szCs w:val="21"/>
              </w:rPr>
              <w:t>”</w:t>
            </w:r>
            <w:r>
              <w:rPr>
                <w:rFonts w:hint="eastAsia"/>
                <w:szCs w:val="21"/>
              </w:rPr>
              <w:t>第</w:t>
            </w:r>
            <w:r>
              <w:rPr>
                <w:szCs w:val="21"/>
              </w:rPr>
              <w:t>1.8</w:t>
            </w:r>
            <w:r>
              <w:rPr>
                <w:rFonts w:hint="eastAsia"/>
                <w:szCs w:val="21"/>
              </w:rPr>
              <w:t>项规定</w:t>
            </w:r>
          </w:p>
          <w:p w14:paraId="2B8FAB3C">
            <w:pPr>
              <w:rPr>
                <w:szCs w:val="21"/>
              </w:rPr>
            </w:pPr>
            <w:r>
              <w:rPr>
                <w:szCs w:val="21"/>
              </w:rPr>
              <w:t>Conforme aux dispositions du Chapitre I, Instructions aux soumissionnaires, point 1.8.</w:t>
            </w:r>
          </w:p>
        </w:tc>
      </w:tr>
      <w:tr w14:paraId="606DB4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4" w:space="0"/>
              <w:right w:val="single" w:color="auto" w:sz="4" w:space="0"/>
            </w:tcBorders>
            <w:vAlign w:val="center"/>
          </w:tcPr>
          <w:p w14:paraId="08C2EBA2">
            <w:pPr>
              <w:widowControl/>
              <w:jc w:val="left"/>
              <w:rPr>
                <w:szCs w:val="21"/>
              </w:rPr>
            </w:pPr>
          </w:p>
        </w:tc>
        <w:tc>
          <w:tcPr>
            <w:tcW w:w="1122" w:type="dxa"/>
            <w:vMerge w:val="continue"/>
            <w:tcBorders>
              <w:top w:val="single" w:color="auto" w:sz="4" w:space="0"/>
              <w:left w:val="single" w:color="auto" w:sz="4" w:space="0"/>
              <w:bottom w:val="single" w:color="auto" w:sz="4" w:space="0"/>
              <w:right w:val="single" w:color="auto" w:sz="4" w:space="0"/>
            </w:tcBorders>
            <w:vAlign w:val="center"/>
          </w:tcPr>
          <w:p w14:paraId="38D66252">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1386ADAC">
            <w:pPr>
              <w:jc w:val="center"/>
              <w:rPr>
                <w:szCs w:val="21"/>
              </w:rPr>
            </w:pPr>
            <w:r>
              <w:rPr>
                <w:rFonts w:hint="eastAsia"/>
                <w:szCs w:val="21"/>
              </w:rPr>
              <w:t>信誉要求</w:t>
            </w:r>
          </w:p>
          <w:p w14:paraId="30C156B5">
            <w:pPr>
              <w:tabs>
                <w:tab w:val="center" w:pos="4153"/>
                <w:tab w:val="right" w:pos="8306"/>
              </w:tabs>
              <w:jc w:val="center"/>
              <w:rPr>
                <w:szCs w:val="21"/>
              </w:rPr>
            </w:pPr>
            <w:r>
              <w:rPr>
                <w:szCs w:val="21"/>
              </w:rPr>
              <w:t>Exigences en matière de réputation</w:t>
            </w:r>
          </w:p>
        </w:tc>
        <w:tc>
          <w:tcPr>
            <w:tcW w:w="5533" w:type="dxa"/>
            <w:tcBorders>
              <w:top w:val="single" w:color="auto" w:sz="4" w:space="0"/>
              <w:left w:val="single" w:color="auto" w:sz="4" w:space="0"/>
              <w:bottom w:val="single" w:color="auto" w:sz="4" w:space="0"/>
              <w:right w:val="single" w:color="auto" w:sz="12" w:space="0"/>
            </w:tcBorders>
            <w:vAlign w:val="center"/>
          </w:tcPr>
          <w:p w14:paraId="04283294">
            <w:pPr>
              <w:rPr>
                <w:szCs w:val="21"/>
              </w:rPr>
            </w:pPr>
            <w:r>
              <w:rPr>
                <w:rFonts w:hint="eastAsia"/>
                <w:szCs w:val="21"/>
              </w:rPr>
              <w:t>符合第一章</w:t>
            </w:r>
            <w:r>
              <w:rPr>
                <w:szCs w:val="21"/>
              </w:rPr>
              <w:t>“</w:t>
            </w:r>
            <w:r>
              <w:rPr>
                <w:rFonts w:hint="eastAsia"/>
                <w:szCs w:val="21"/>
              </w:rPr>
              <w:t>响应人须知</w:t>
            </w:r>
            <w:r>
              <w:rPr>
                <w:szCs w:val="21"/>
              </w:rPr>
              <w:t>”</w:t>
            </w:r>
            <w:r>
              <w:rPr>
                <w:rFonts w:hint="eastAsia"/>
                <w:szCs w:val="21"/>
              </w:rPr>
              <w:t>第</w:t>
            </w:r>
            <w:r>
              <w:rPr>
                <w:szCs w:val="21"/>
              </w:rPr>
              <w:t>1.8</w:t>
            </w:r>
            <w:r>
              <w:rPr>
                <w:rFonts w:hint="eastAsia"/>
                <w:szCs w:val="21"/>
              </w:rPr>
              <w:t>项规定</w:t>
            </w:r>
          </w:p>
          <w:p w14:paraId="1528FC8F">
            <w:pPr>
              <w:rPr>
                <w:szCs w:val="21"/>
              </w:rPr>
            </w:pPr>
            <w:r>
              <w:rPr>
                <w:szCs w:val="21"/>
              </w:rPr>
              <w:t>Conforme aux dispositions du Chapitre I, Instructions aux soumissionnaires, point 1.8.</w:t>
            </w:r>
          </w:p>
        </w:tc>
      </w:tr>
      <w:tr w14:paraId="2C57E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4" w:space="0"/>
              <w:right w:val="single" w:color="auto" w:sz="4" w:space="0"/>
            </w:tcBorders>
            <w:vAlign w:val="center"/>
          </w:tcPr>
          <w:p w14:paraId="6BB413FB">
            <w:pPr>
              <w:widowControl/>
              <w:jc w:val="left"/>
              <w:rPr>
                <w:szCs w:val="21"/>
              </w:rPr>
            </w:pPr>
          </w:p>
        </w:tc>
        <w:tc>
          <w:tcPr>
            <w:tcW w:w="1122" w:type="dxa"/>
            <w:vMerge w:val="continue"/>
            <w:tcBorders>
              <w:top w:val="single" w:color="auto" w:sz="4" w:space="0"/>
              <w:left w:val="single" w:color="auto" w:sz="4" w:space="0"/>
              <w:bottom w:val="single" w:color="auto" w:sz="4" w:space="0"/>
              <w:right w:val="single" w:color="auto" w:sz="4" w:space="0"/>
            </w:tcBorders>
            <w:vAlign w:val="center"/>
          </w:tcPr>
          <w:p w14:paraId="766F7C11">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2DF789FE">
            <w:pPr>
              <w:jc w:val="center"/>
              <w:rPr>
                <w:szCs w:val="21"/>
              </w:rPr>
            </w:pPr>
            <w:r>
              <w:rPr>
                <w:rFonts w:hint="eastAsia"/>
                <w:szCs w:val="21"/>
              </w:rPr>
              <w:t>其他要求</w:t>
            </w:r>
          </w:p>
          <w:p w14:paraId="0C75ABD2">
            <w:pPr>
              <w:jc w:val="center"/>
              <w:rPr>
                <w:szCs w:val="21"/>
              </w:rPr>
            </w:pPr>
            <w:r>
              <w:rPr>
                <w:szCs w:val="21"/>
              </w:rPr>
              <w:t>Autres exigences</w:t>
            </w:r>
          </w:p>
          <w:p w14:paraId="194D42E6">
            <w:pPr>
              <w:tabs>
                <w:tab w:val="center" w:pos="4153"/>
                <w:tab w:val="right" w:pos="8306"/>
              </w:tabs>
              <w:jc w:val="center"/>
              <w:rPr>
                <w:szCs w:val="21"/>
              </w:rPr>
            </w:pPr>
          </w:p>
        </w:tc>
        <w:tc>
          <w:tcPr>
            <w:tcW w:w="5533" w:type="dxa"/>
            <w:tcBorders>
              <w:top w:val="single" w:color="auto" w:sz="4" w:space="0"/>
              <w:left w:val="single" w:color="auto" w:sz="4" w:space="0"/>
              <w:bottom w:val="single" w:color="auto" w:sz="4" w:space="0"/>
              <w:right w:val="single" w:color="auto" w:sz="12" w:space="0"/>
            </w:tcBorders>
            <w:vAlign w:val="center"/>
          </w:tcPr>
          <w:p w14:paraId="440C4074">
            <w:pPr>
              <w:rPr>
                <w:szCs w:val="21"/>
              </w:rPr>
            </w:pPr>
            <w:r>
              <w:rPr>
                <w:rFonts w:hint="eastAsia"/>
                <w:szCs w:val="21"/>
              </w:rPr>
              <w:t>符合第一章</w:t>
            </w:r>
            <w:r>
              <w:rPr>
                <w:szCs w:val="21"/>
              </w:rPr>
              <w:t>“</w:t>
            </w:r>
            <w:r>
              <w:rPr>
                <w:rFonts w:hint="eastAsia"/>
                <w:szCs w:val="21"/>
              </w:rPr>
              <w:t>响应人须知</w:t>
            </w:r>
            <w:r>
              <w:rPr>
                <w:szCs w:val="21"/>
              </w:rPr>
              <w:t>”</w:t>
            </w:r>
            <w:r>
              <w:rPr>
                <w:rFonts w:hint="eastAsia"/>
                <w:szCs w:val="21"/>
              </w:rPr>
              <w:t>第</w:t>
            </w:r>
            <w:r>
              <w:rPr>
                <w:szCs w:val="21"/>
              </w:rPr>
              <w:t>1.8</w:t>
            </w:r>
            <w:r>
              <w:rPr>
                <w:rFonts w:hint="eastAsia"/>
                <w:szCs w:val="21"/>
              </w:rPr>
              <w:t>项规定</w:t>
            </w:r>
          </w:p>
          <w:p w14:paraId="2511863F">
            <w:pPr>
              <w:rPr>
                <w:szCs w:val="21"/>
              </w:rPr>
            </w:pPr>
            <w:r>
              <w:rPr>
                <w:szCs w:val="21"/>
              </w:rPr>
              <w:t>Conforme aux dispositions du Chapitre I, Instructions aux soumissionnaires, point 1.8.</w:t>
            </w:r>
          </w:p>
        </w:tc>
      </w:tr>
      <w:tr w14:paraId="75E5E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4" w:space="0"/>
              <w:right w:val="single" w:color="auto" w:sz="4" w:space="0"/>
            </w:tcBorders>
            <w:vAlign w:val="center"/>
          </w:tcPr>
          <w:p w14:paraId="440ADEF8">
            <w:pPr>
              <w:widowControl/>
              <w:jc w:val="left"/>
              <w:rPr>
                <w:szCs w:val="21"/>
              </w:rPr>
            </w:pPr>
          </w:p>
        </w:tc>
        <w:tc>
          <w:tcPr>
            <w:tcW w:w="1122" w:type="dxa"/>
            <w:vMerge w:val="continue"/>
            <w:tcBorders>
              <w:top w:val="single" w:color="auto" w:sz="4" w:space="0"/>
              <w:left w:val="single" w:color="auto" w:sz="4" w:space="0"/>
              <w:bottom w:val="single" w:color="auto" w:sz="4" w:space="0"/>
              <w:right w:val="single" w:color="auto" w:sz="4" w:space="0"/>
            </w:tcBorders>
            <w:vAlign w:val="center"/>
          </w:tcPr>
          <w:p w14:paraId="7018AB47">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7D6FC52A">
            <w:pPr>
              <w:jc w:val="center"/>
              <w:rPr>
                <w:szCs w:val="21"/>
              </w:rPr>
            </w:pPr>
            <w:r>
              <w:rPr>
                <w:rFonts w:hint="eastAsia"/>
                <w:szCs w:val="21"/>
              </w:rPr>
              <w:t>联合体响应人</w:t>
            </w:r>
          </w:p>
          <w:p w14:paraId="43EBDE8F">
            <w:pPr>
              <w:tabs>
                <w:tab w:val="center" w:pos="4153"/>
                <w:tab w:val="right" w:pos="8306"/>
              </w:tabs>
              <w:jc w:val="center"/>
              <w:rPr>
                <w:szCs w:val="21"/>
              </w:rPr>
            </w:pPr>
            <w:r>
              <w:rPr>
                <w:szCs w:val="21"/>
              </w:rPr>
              <w:t>Soumissionnaire en consortium</w:t>
            </w:r>
          </w:p>
        </w:tc>
        <w:tc>
          <w:tcPr>
            <w:tcW w:w="5533" w:type="dxa"/>
            <w:tcBorders>
              <w:top w:val="single" w:color="auto" w:sz="4" w:space="0"/>
              <w:left w:val="single" w:color="auto" w:sz="4" w:space="0"/>
              <w:bottom w:val="single" w:color="auto" w:sz="4" w:space="0"/>
              <w:right w:val="single" w:color="auto" w:sz="12" w:space="0"/>
            </w:tcBorders>
            <w:vAlign w:val="center"/>
          </w:tcPr>
          <w:p w14:paraId="4AC5E8FE">
            <w:pPr>
              <w:rPr>
                <w:szCs w:val="21"/>
              </w:rPr>
            </w:pPr>
            <w:r>
              <w:rPr>
                <w:rFonts w:hint="eastAsia"/>
                <w:szCs w:val="21"/>
              </w:rPr>
              <w:t>符合第一章</w:t>
            </w:r>
            <w:r>
              <w:rPr>
                <w:szCs w:val="21"/>
              </w:rPr>
              <w:t>“</w:t>
            </w:r>
            <w:r>
              <w:rPr>
                <w:rFonts w:hint="eastAsia"/>
                <w:szCs w:val="21"/>
              </w:rPr>
              <w:t>响应人须知</w:t>
            </w:r>
            <w:r>
              <w:rPr>
                <w:szCs w:val="21"/>
              </w:rPr>
              <w:t>”</w:t>
            </w:r>
            <w:r>
              <w:rPr>
                <w:rFonts w:hint="eastAsia"/>
                <w:szCs w:val="21"/>
              </w:rPr>
              <w:t>第</w:t>
            </w:r>
            <w:r>
              <w:rPr>
                <w:szCs w:val="21"/>
              </w:rPr>
              <w:t>1.9</w:t>
            </w:r>
            <w:r>
              <w:rPr>
                <w:rFonts w:hint="eastAsia"/>
                <w:szCs w:val="21"/>
              </w:rPr>
              <w:t>项规定</w:t>
            </w:r>
          </w:p>
          <w:p w14:paraId="25883855">
            <w:pPr>
              <w:tabs>
                <w:tab w:val="center" w:pos="4153"/>
                <w:tab w:val="right" w:pos="8306"/>
              </w:tabs>
              <w:rPr>
                <w:szCs w:val="21"/>
              </w:rPr>
            </w:pPr>
            <w:r>
              <w:rPr>
                <w:szCs w:val="21"/>
              </w:rPr>
              <w:t>Conforme aux dispositions du Chapitre I, Instructions aux soumissionnaires, point 1.9.</w:t>
            </w:r>
          </w:p>
        </w:tc>
      </w:tr>
      <w:tr w14:paraId="31A250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942" w:type="dxa"/>
            <w:vMerge w:val="continue"/>
            <w:tcBorders>
              <w:top w:val="single" w:color="auto" w:sz="4" w:space="0"/>
              <w:left w:val="single" w:color="auto" w:sz="12" w:space="0"/>
              <w:bottom w:val="single" w:color="auto" w:sz="4" w:space="0"/>
              <w:right w:val="single" w:color="auto" w:sz="4" w:space="0"/>
            </w:tcBorders>
            <w:vAlign w:val="center"/>
          </w:tcPr>
          <w:p w14:paraId="103AA392">
            <w:pPr>
              <w:widowControl/>
              <w:jc w:val="left"/>
              <w:rPr>
                <w:szCs w:val="21"/>
              </w:rPr>
            </w:pPr>
          </w:p>
        </w:tc>
        <w:tc>
          <w:tcPr>
            <w:tcW w:w="1122" w:type="dxa"/>
            <w:vMerge w:val="continue"/>
            <w:tcBorders>
              <w:top w:val="single" w:color="auto" w:sz="4" w:space="0"/>
              <w:left w:val="single" w:color="auto" w:sz="4" w:space="0"/>
              <w:bottom w:val="single" w:color="auto" w:sz="4" w:space="0"/>
              <w:right w:val="single" w:color="auto" w:sz="4" w:space="0"/>
            </w:tcBorders>
            <w:vAlign w:val="center"/>
          </w:tcPr>
          <w:p w14:paraId="34A1DEFF">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40F4B700">
            <w:pPr>
              <w:spacing w:line="240" w:lineRule="exact"/>
              <w:jc w:val="center"/>
              <w:rPr>
                <w:szCs w:val="21"/>
              </w:rPr>
            </w:pPr>
            <w:r>
              <w:rPr>
                <w:rFonts w:hint="eastAsia"/>
                <w:szCs w:val="21"/>
              </w:rPr>
              <w:t>响应人不得存在的情形</w:t>
            </w:r>
          </w:p>
          <w:p w14:paraId="071D5717">
            <w:pPr>
              <w:spacing w:line="240" w:lineRule="exact"/>
              <w:jc w:val="center"/>
              <w:rPr>
                <w:szCs w:val="21"/>
              </w:rPr>
            </w:pPr>
            <w:r>
              <w:rPr>
                <w:szCs w:val="21"/>
              </w:rPr>
              <w:t>Cas d’exclusion du Soumissionnaire</w:t>
            </w:r>
          </w:p>
          <w:p w14:paraId="0BA2C9E7">
            <w:pPr>
              <w:tabs>
                <w:tab w:val="center" w:pos="4153"/>
                <w:tab w:val="right" w:pos="8306"/>
              </w:tabs>
              <w:jc w:val="center"/>
              <w:rPr>
                <w:szCs w:val="21"/>
              </w:rPr>
            </w:pPr>
          </w:p>
        </w:tc>
        <w:tc>
          <w:tcPr>
            <w:tcW w:w="5533" w:type="dxa"/>
            <w:tcBorders>
              <w:top w:val="single" w:color="auto" w:sz="4" w:space="0"/>
              <w:left w:val="single" w:color="auto" w:sz="4" w:space="0"/>
              <w:bottom w:val="single" w:color="auto" w:sz="4" w:space="0"/>
              <w:right w:val="single" w:color="auto" w:sz="12" w:space="0"/>
            </w:tcBorders>
            <w:vAlign w:val="center"/>
          </w:tcPr>
          <w:p w14:paraId="7F284D66">
            <w:pPr>
              <w:spacing w:line="240" w:lineRule="exact"/>
              <w:rPr>
                <w:szCs w:val="21"/>
              </w:rPr>
            </w:pPr>
            <w:r>
              <w:rPr>
                <w:rFonts w:hint="eastAsia" w:cs="宋体"/>
                <w:szCs w:val="21"/>
              </w:rPr>
              <w:t>不符合询价文件规定</w:t>
            </w:r>
          </w:p>
          <w:p w14:paraId="482E41E2">
            <w:pPr>
              <w:tabs>
                <w:tab w:val="center" w:pos="4153"/>
                <w:tab w:val="right" w:pos="8306"/>
              </w:tabs>
              <w:rPr>
                <w:szCs w:val="21"/>
              </w:rPr>
            </w:pPr>
            <w:r>
              <w:rPr>
                <w:rFonts w:hint="eastAsia"/>
                <w:szCs w:val="21"/>
              </w:rPr>
              <w:t>Ê</w:t>
            </w:r>
            <w:r>
              <w:rPr>
                <w:szCs w:val="21"/>
              </w:rPr>
              <w:t>tre réputé non conforme aux prescriptions du dossier de consultation.</w:t>
            </w:r>
          </w:p>
        </w:tc>
      </w:tr>
      <w:tr w14:paraId="7E4AF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2" w:type="dxa"/>
            <w:vMerge w:val="restart"/>
            <w:tcBorders>
              <w:top w:val="single" w:color="auto" w:sz="4" w:space="0"/>
              <w:left w:val="single" w:color="auto" w:sz="12" w:space="0"/>
              <w:bottom w:val="single" w:color="auto" w:sz="12" w:space="0"/>
              <w:right w:val="single" w:color="auto" w:sz="4" w:space="0"/>
            </w:tcBorders>
            <w:vAlign w:val="center"/>
          </w:tcPr>
          <w:p w14:paraId="3AF4FAFC">
            <w:pPr>
              <w:jc w:val="center"/>
              <w:rPr>
                <w:szCs w:val="21"/>
              </w:rPr>
            </w:pPr>
            <w:r>
              <w:rPr>
                <w:szCs w:val="21"/>
              </w:rPr>
              <w:t>1.1.4</w:t>
            </w:r>
          </w:p>
        </w:tc>
        <w:tc>
          <w:tcPr>
            <w:tcW w:w="1122" w:type="dxa"/>
            <w:vMerge w:val="restart"/>
            <w:tcBorders>
              <w:top w:val="single" w:color="auto" w:sz="4" w:space="0"/>
              <w:left w:val="single" w:color="auto" w:sz="4" w:space="0"/>
              <w:bottom w:val="single" w:color="auto" w:sz="12" w:space="0"/>
              <w:right w:val="single" w:color="auto" w:sz="4" w:space="0"/>
            </w:tcBorders>
            <w:vAlign w:val="center"/>
          </w:tcPr>
          <w:p w14:paraId="634D59A8">
            <w:pPr>
              <w:jc w:val="center"/>
              <w:rPr>
                <w:szCs w:val="21"/>
              </w:rPr>
            </w:pPr>
            <w:r>
              <w:rPr>
                <w:rFonts w:hint="eastAsia"/>
                <w:szCs w:val="21"/>
              </w:rPr>
              <w:t>响应性评审标准</w:t>
            </w:r>
          </w:p>
        </w:tc>
        <w:tc>
          <w:tcPr>
            <w:tcW w:w="1974" w:type="dxa"/>
            <w:tcBorders>
              <w:top w:val="single" w:color="auto" w:sz="4" w:space="0"/>
              <w:left w:val="single" w:color="auto" w:sz="4" w:space="0"/>
              <w:bottom w:val="single" w:color="auto" w:sz="4" w:space="0"/>
              <w:right w:val="single" w:color="auto" w:sz="4" w:space="0"/>
            </w:tcBorders>
            <w:vAlign w:val="center"/>
          </w:tcPr>
          <w:p w14:paraId="29756025">
            <w:pPr>
              <w:jc w:val="center"/>
              <w:rPr>
                <w:szCs w:val="21"/>
              </w:rPr>
            </w:pPr>
            <w:r>
              <w:rPr>
                <w:rFonts w:hint="eastAsia"/>
                <w:szCs w:val="21"/>
              </w:rPr>
              <w:t>响应报价</w:t>
            </w:r>
          </w:p>
          <w:p w14:paraId="16F62451">
            <w:pPr>
              <w:tabs>
                <w:tab w:val="center" w:pos="4153"/>
                <w:tab w:val="right" w:pos="8306"/>
              </w:tabs>
              <w:jc w:val="center"/>
              <w:rPr>
                <w:szCs w:val="21"/>
              </w:rPr>
            </w:pPr>
            <w:r>
              <w:rPr>
                <w:szCs w:val="21"/>
              </w:rPr>
              <w:t>Répondre aux offres</w:t>
            </w:r>
          </w:p>
        </w:tc>
        <w:tc>
          <w:tcPr>
            <w:tcW w:w="5533" w:type="dxa"/>
            <w:tcBorders>
              <w:top w:val="single" w:color="auto" w:sz="4" w:space="0"/>
              <w:left w:val="single" w:color="auto" w:sz="4" w:space="0"/>
              <w:bottom w:val="single" w:color="auto" w:sz="4" w:space="0"/>
              <w:right w:val="single" w:color="auto" w:sz="12" w:space="0"/>
            </w:tcBorders>
            <w:vAlign w:val="center"/>
          </w:tcPr>
          <w:p w14:paraId="7BDBE5BA">
            <w:pPr>
              <w:rPr>
                <w:szCs w:val="21"/>
              </w:rPr>
            </w:pPr>
            <w:r>
              <w:rPr>
                <w:rFonts w:hint="eastAsia"/>
                <w:szCs w:val="21"/>
              </w:rPr>
              <w:t>符合询价文件规定</w:t>
            </w:r>
          </w:p>
          <w:p w14:paraId="3E091A84">
            <w:pPr>
              <w:tabs>
                <w:tab w:val="center" w:pos="4153"/>
                <w:tab w:val="right" w:pos="8306"/>
              </w:tabs>
              <w:rPr>
                <w:szCs w:val="21"/>
              </w:rPr>
            </w:pPr>
            <w:r>
              <w:rPr>
                <w:szCs w:val="21"/>
              </w:rPr>
              <w:t>Être conforme aux dispositions du dossier de consultation restreinte.</w:t>
            </w:r>
          </w:p>
        </w:tc>
      </w:tr>
      <w:tr w14:paraId="10F7BF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12" w:space="0"/>
              <w:right w:val="single" w:color="auto" w:sz="4" w:space="0"/>
            </w:tcBorders>
            <w:vAlign w:val="center"/>
          </w:tcPr>
          <w:p w14:paraId="1DD38BFE">
            <w:pPr>
              <w:widowControl/>
              <w:jc w:val="left"/>
              <w:rPr>
                <w:szCs w:val="21"/>
              </w:rPr>
            </w:pPr>
          </w:p>
        </w:tc>
        <w:tc>
          <w:tcPr>
            <w:tcW w:w="1122" w:type="dxa"/>
            <w:vMerge w:val="continue"/>
            <w:tcBorders>
              <w:top w:val="single" w:color="auto" w:sz="4" w:space="0"/>
              <w:left w:val="single" w:color="auto" w:sz="4" w:space="0"/>
              <w:bottom w:val="single" w:color="auto" w:sz="12" w:space="0"/>
              <w:right w:val="single" w:color="auto" w:sz="4" w:space="0"/>
            </w:tcBorders>
            <w:vAlign w:val="center"/>
          </w:tcPr>
          <w:p w14:paraId="57AE63B7">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58345884">
            <w:pPr>
              <w:jc w:val="center"/>
              <w:rPr>
                <w:szCs w:val="21"/>
              </w:rPr>
            </w:pPr>
            <w:r>
              <w:rPr>
                <w:rFonts w:hint="eastAsia"/>
                <w:szCs w:val="21"/>
              </w:rPr>
              <w:t>响应内容</w:t>
            </w:r>
          </w:p>
          <w:p w14:paraId="6B34B583">
            <w:pPr>
              <w:tabs>
                <w:tab w:val="center" w:pos="4153"/>
                <w:tab w:val="right" w:pos="8306"/>
              </w:tabs>
              <w:jc w:val="center"/>
              <w:rPr>
                <w:szCs w:val="21"/>
              </w:rPr>
            </w:pPr>
            <w:r>
              <w:rPr>
                <w:szCs w:val="21"/>
              </w:rPr>
              <w:t>Contenu de la réponse</w:t>
            </w:r>
          </w:p>
        </w:tc>
        <w:tc>
          <w:tcPr>
            <w:tcW w:w="5533" w:type="dxa"/>
            <w:tcBorders>
              <w:top w:val="single" w:color="auto" w:sz="4" w:space="0"/>
              <w:left w:val="single" w:color="auto" w:sz="4" w:space="0"/>
              <w:bottom w:val="single" w:color="auto" w:sz="4" w:space="0"/>
              <w:right w:val="single" w:color="auto" w:sz="12" w:space="0"/>
            </w:tcBorders>
            <w:vAlign w:val="center"/>
          </w:tcPr>
          <w:p w14:paraId="60246291">
            <w:pPr>
              <w:rPr>
                <w:szCs w:val="21"/>
              </w:rPr>
            </w:pPr>
            <w:r>
              <w:rPr>
                <w:rFonts w:hint="eastAsia"/>
                <w:szCs w:val="21"/>
              </w:rPr>
              <w:t>符合第一章</w:t>
            </w:r>
            <w:r>
              <w:rPr>
                <w:szCs w:val="21"/>
              </w:rPr>
              <w:t>“</w:t>
            </w:r>
            <w:r>
              <w:rPr>
                <w:rFonts w:hint="eastAsia"/>
                <w:szCs w:val="21"/>
              </w:rPr>
              <w:t>响应人须知</w:t>
            </w:r>
            <w:r>
              <w:rPr>
                <w:szCs w:val="21"/>
              </w:rPr>
              <w:t>”</w:t>
            </w:r>
            <w:r>
              <w:rPr>
                <w:rFonts w:hint="eastAsia"/>
                <w:szCs w:val="21"/>
              </w:rPr>
              <w:t>第</w:t>
            </w:r>
            <w:r>
              <w:rPr>
                <w:szCs w:val="21"/>
              </w:rPr>
              <w:t>1.3</w:t>
            </w:r>
            <w:r>
              <w:rPr>
                <w:rFonts w:hint="eastAsia"/>
                <w:szCs w:val="21"/>
              </w:rPr>
              <w:t>项规定</w:t>
            </w:r>
          </w:p>
          <w:p w14:paraId="6EE637CE">
            <w:pPr>
              <w:tabs>
                <w:tab w:val="center" w:pos="4153"/>
                <w:tab w:val="right" w:pos="8306"/>
              </w:tabs>
              <w:rPr>
                <w:szCs w:val="21"/>
              </w:rPr>
            </w:pPr>
            <w:r>
              <w:rPr>
                <w:szCs w:val="21"/>
              </w:rPr>
              <w:t>Conforme aux dispositions du chapitre I, Instructions aux soumissionnaires, point 1.3.</w:t>
            </w:r>
          </w:p>
        </w:tc>
      </w:tr>
      <w:tr w14:paraId="52668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12" w:space="0"/>
              <w:right w:val="single" w:color="auto" w:sz="4" w:space="0"/>
            </w:tcBorders>
            <w:vAlign w:val="center"/>
          </w:tcPr>
          <w:p w14:paraId="0B7DD11C">
            <w:pPr>
              <w:widowControl/>
              <w:jc w:val="left"/>
              <w:rPr>
                <w:szCs w:val="21"/>
              </w:rPr>
            </w:pPr>
          </w:p>
        </w:tc>
        <w:tc>
          <w:tcPr>
            <w:tcW w:w="1122" w:type="dxa"/>
            <w:vMerge w:val="continue"/>
            <w:tcBorders>
              <w:top w:val="single" w:color="auto" w:sz="4" w:space="0"/>
              <w:left w:val="single" w:color="auto" w:sz="4" w:space="0"/>
              <w:bottom w:val="single" w:color="auto" w:sz="12" w:space="0"/>
              <w:right w:val="single" w:color="auto" w:sz="4" w:space="0"/>
            </w:tcBorders>
            <w:vAlign w:val="center"/>
          </w:tcPr>
          <w:p w14:paraId="74CBDD0F">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4BEC8A00">
            <w:pPr>
              <w:adjustRightInd w:val="0"/>
              <w:snapToGrid w:val="0"/>
              <w:jc w:val="center"/>
              <w:rPr>
                <w:szCs w:val="21"/>
              </w:rPr>
            </w:pPr>
            <w:r>
              <w:rPr>
                <w:rFonts w:hint="eastAsia"/>
                <w:szCs w:val="21"/>
              </w:rPr>
              <w:t>服务期限</w:t>
            </w:r>
          </w:p>
          <w:p w14:paraId="4C76FE16">
            <w:pPr>
              <w:adjustRightInd w:val="0"/>
              <w:jc w:val="center"/>
              <w:rPr>
                <w:szCs w:val="21"/>
              </w:rPr>
            </w:pPr>
            <w:r>
              <w:rPr>
                <w:szCs w:val="21"/>
              </w:rPr>
              <w:t>Durée des services</w:t>
            </w:r>
          </w:p>
        </w:tc>
        <w:tc>
          <w:tcPr>
            <w:tcW w:w="5533" w:type="dxa"/>
            <w:tcBorders>
              <w:top w:val="single" w:color="auto" w:sz="4" w:space="0"/>
              <w:left w:val="single" w:color="auto" w:sz="4" w:space="0"/>
              <w:bottom w:val="single" w:color="auto" w:sz="4" w:space="0"/>
              <w:right w:val="single" w:color="auto" w:sz="12" w:space="0"/>
            </w:tcBorders>
            <w:vAlign w:val="center"/>
          </w:tcPr>
          <w:p w14:paraId="0BFE74E7">
            <w:pPr>
              <w:rPr>
                <w:szCs w:val="21"/>
              </w:rPr>
            </w:pPr>
            <w:r>
              <w:rPr>
                <w:rFonts w:hint="eastAsia"/>
                <w:szCs w:val="21"/>
              </w:rPr>
              <w:t>符合第一章</w:t>
            </w:r>
            <w:r>
              <w:rPr>
                <w:szCs w:val="21"/>
              </w:rPr>
              <w:t>“</w:t>
            </w:r>
            <w:r>
              <w:rPr>
                <w:rFonts w:hint="eastAsia"/>
                <w:szCs w:val="21"/>
              </w:rPr>
              <w:t>响应人须知</w:t>
            </w:r>
            <w:r>
              <w:rPr>
                <w:szCs w:val="21"/>
              </w:rPr>
              <w:t>”</w:t>
            </w:r>
            <w:r>
              <w:rPr>
                <w:rFonts w:hint="eastAsia"/>
                <w:szCs w:val="21"/>
              </w:rPr>
              <w:t>第</w:t>
            </w:r>
            <w:r>
              <w:rPr>
                <w:szCs w:val="21"/>
              </w:rPr>
              <w:t>1.4</w:t>
            </w:r>
            <w:r>
              <w:rPr>
                <w:rFonts w:hint="eastAsia"/>
                <w:szCs w:val="21"/>
              </w:rPr>
              <w:t>项规定</w:t>
            </w:r>
          </w:p>
          <w:p w14:paraId="3BD76C67">
            <w:pPr>
              <w:tabs>
                <w:tab w:val="center" w:pos="4153"/>
                <w:tab w:val="right" w:pos="8306"/>
              </w:tabs>
              <w:rPr>
                <w:szCs w:val="21"/>
              </w:rPr>
            </w:pPr>
            <w:r>
              <w:rPr>
                <w:szCs w:val="21"/>
              </w:rPr>
              <w:t>Conforme aux dispositions du Chapitre I, Instructions aux soumissionnaires, point 1.4.</w:t>
            </w:r>
          </w:p>
        </w:tc>
      </w:tr>
      <w:tr w14:paraId="7B2CF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12" w:space="0"/>
              <w:right w:val="single" w:color="auto" w:sz="4" w:space="0"/>
            </w:tcBorders>
            <w:vAlign w:val="center"/>
          </w:tcPr>
          <w:p w14:paraId="4204A74C">
            <w:pPr>
              <w:widowControl/>
              <w:jc w:val="left"/>
              <w:rPr>
                <w:szCs w:val="21"/>
              </w:rPr>
            </w:pPr>
          </w:p>
        </w:tc>
        <w:tc>
          <w:tcPr>
            <w:tcW w:w="1122" w:type="dxa"/>
            <w:vMerge w:val="continue"/>
            <w:tcBorders>
              <w:top w:val="single" w:color="auto" w:sz="4" w:space="0"/>
              <w:left w:val="single" w:color="auto" w:sz="4" w:space="0"/>
              <w:bottom w:val="single" w:color="auto" w:sz="12" w:space="0"/>
              <w:right w:val="single" w:color="auto" w:sz="4" w:space="0"/>
            </w:tcBorders>
            <w:vAlign w:val="center"/>
          </w:tcPr>
          <w:p w14:paraId="4792D63E">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6731D4E0">
            <w:pPr>
              <w:adjustRightInd w:val="0"/>
              <w:snapToGrid w:val="0"/>
              <w:jc w:val="center"/>
              <w:rPr>
                <w:szCs w:val="21"/>
              </w:rPr>
            </w:pPr>
            <w:r>
              <w:rPr>
                <w:rFonts w:hint="eastAsia"/>
                <w:szCs w:val="21"/>
              </w:rPr>
              <w:t>质量标准</w:t>
            </w:r>
          </w:p>
          <w:p w14:paraId="7DC072BB">
            <w:pPr>
              <w:tabs>
                <w:tab w:val="center" w:pos="4153"/>
                <w:tab w:val="right" w:pos="8306"/>
              </w:tabs>
              <w:jc w:val="center"/>
              <w:rPr>
                <w:szCs w:val="21"/>
              </w:rPr>
            </w:pPr>
            <w:r>
              <w:rPr>
                <w:szCs w:val="21"/>
              </w:rPr>
              <w:t>Normes de qualité</w:t>
            </w:r>
          </w:p>
        </w:tc>
        <w:tc>
          <w:tcPr>
            <w:tcW w:w="5533" w:type="dxa"/>
            <w:tcBorders>
              <w:top w:val="single" w:color="auto" w:sz="4" w:space="0"/>
              <w:left w:val="single" w:color="auto" w:sz="4" w:space="0"/>
              <w:bottom w:val="single" w:color="auto" w:sz="4" w:space="0"/>
              <w:right w:val="single" w:color="auto" w:sz="12" w:space="0"/>
            </w:tcBorders>
            <w:vAlign w:val="center"/>
          </w:tcPr>
          <w:p w14:paraId="5AFE7C93">
            <w:pPr>
              <w:rPr>
                <w:szCs w:val="21"/>
              </w:rPr>
            </w:pPr>
            <w:r>
              <w:rPr>
                <w:rFonts w:hint="eastAsia"/>
                <w:szCs w:val="21"/>
              </w:rPr>
              <w:t>符合第一章</w:t>
            </w:r>
            <w:r>
              <w:rPr>
                <w:szCs w:val="21"/>
              </w:rPr>
              <w:t>“</w:t>
            </w:r>
            <w:r>
              <w:rPr>
                <w:rFonts w:hint="eastAsia"/>
                <w:szCs w:val="21"/>
              </w:rPr>
              <w:t>响应人须知</w:t>
            </w:r>
            <w:r>
              <w:rPr>
                <w:szCs w:val="21"/>
              </w:rPr>
              <w:t>”</w:t>
            </w:r>
            <w:r>
              <w:rPr>
                <w:rFonts w:hint="eastAsia"/>
                <w:szCs w:val="21"/>
              </w:rPr>
              <w:t>第</w:t>
            </w:r>
            <w:r>
              <w:rPr>
                <w:szCs w:val="21"/>
              </w:rPr>
              <w:t>1.5</w:t>
            </w:r>
            <w:r>
              <w:rPr>
                <w:rFonts w:hint="eastAsia"/>
                <w:szCs w:val="21"/>
              </w:rPr>
              <w:t>项规定</w:t>
            </w:r>
          </w:p>
          <w:p w14:paraId="6FFDEAFE">
            <w:pPr>
              <w:tabs>
                <w:tab w:val="center" w:pos="4153"/>
                <w:tab w:val="right" w:pos="8306"/>
              </w:tabs>
              <w:rPr>
                <w:szCs w:val="21"/>
              </w:rPr>
            </w:pPr>
            <w:r>
              <w:rPr>
                <w:szCs w:val="21"/>
              </w:rPr>
              <w:t>Conforme aux dispositions du Chapitre I, Instructions aux soumissionnaires, point 1.5.</w:t>
            </w:r>
          </w:p>
        </w:tc>
      </w:tr>
      <w:tr w14:paraId="0D98FD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12" w:space="0"/>
              <w:right w:val="single" w:color="auto" w:sz="4" w:space="0"/>
            </w:tcBorders>
            <w:vAlign w:val="center"/>
          </w:tcPr>
          <w:p w14:paraId="075C2FD6">
            <w:pPr>
              <w:widowControl/>
              <w:jc w:val="left"/>
              <w:rPr>
                <w:szCs w:val="21"/>
              </w:rPr>
            </w:pPr>
          </w:p>
        </w:tc>
        <w:tc>
          <w:tcPr>
            <w:tcW w:w="1122" w:type="dxa"/>
            <w:vMerge w:val="continue"/>
            <w:tcBorders>
              <w:top w:val="single" w:color="auto" w:sz="4" w:space="0"/>
              <w:left w:val="single" w:color="auto" w:sz="4" w:space="0"/>
              <w:bottom w:val="single" w:color="auto" w:sz="12" w:space="0"/>
              <w:right w:val="single" w:color="auto" w:sz="4" w:space="0"/>
            </w:tcBorders>
            <w:vAlign w:val="center"/>
          </w:tcPr>
          <w:p w14:paraId="76A3E7CD">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0900931F">
            <w:pPr>
              <w:jc w:val="center"/>
              <w:rPr>
                <w:szCs w:val="21"/>
              </w:rPr>
            </w:pPr>
            <w:r>
              <w:rPr>
                <w:rFonts w:hint="eastAsia"/>
                <w:szCs w:val="21"/>
              </w:rPr>
              <w:t>报价有效期</w:t>
            </w:r>
          </w:p>
          <w:p w14:paraId="7618B23F">
            <w:pPr>
              <w:tabs>
                <w:tab w:val="center" w:pos="4153"/>
                <w:tab w:val="right" w:pos="8306"/>
              </w:tabs>
              <w:jc w:val="center"/>
              <w:rPr>
                <w:szCs w:val="21"/>
              </w:rPr>
            </w:pPr>
            <w:r>
              <w:rPr>
                <w:szCs w:val="21"/>
              </w:rPr>
              <w:t>Période de validité du Offre</w:t>
            </w:r>
          </w:p>
        </w:tc>
        <w:tc>
          <w:tcPr>
            <w:tcW w:w="5533" w:type="dxa"/>
            <w:tcBorders>
              <w:top w:val="single" w:color="auto" w:sz="4" w:space="0"/>
              <w:left w:val="single" w:color="auto" w:sz="4" w:space="0"/>
              <w:bottom w:val="single" w:color="auto" w:sz="4" w:space="0"/>
              <w:right w:val="single" w:color="auto" w:sz="12" w:space="0"/>
            </w:tcBorders>
            <w:vAlign w:val="center"/>
          </w:tcPr>
          <w:p w14:paraId="2C7B1E9D">
            <w:pPr>
              <w:rPr>
                <w:szCs w:val="21"/>
              </w:rPr>
            </w:pPr>
            <w:r>
              <w:rPr>
                <w:rFonts w:hint="eastAsia"/>
                <w:szCs w:val="21"/>
              </w:rPr>
              <w:t>符合第一章</w:t>
            </w:r>
            <w:r>
              <w:rPr>
                <w:szCs w:val="21"/>
              </w:rPr>
              <w:t>“</w:t>
            </w:r>
            <w:r>
              <w:rPr>
                <w:rFonts w:hint="eastAsia"/>
                <w:szCs w:val="21"/>
              </w:rPr>
              <w:t>响应人须知</w:t>
            </w:r>
            <w:r>
              <w:rPr>
                <w:szCs w:val="21"/>
              </w:rPr>
              <w:t>”</w:t>
            </w:r>
            <w:r>
              <w:rPr>
                <w:rFonts w:hint="eastAsia"/>
                <w:szCs w:val="21"/>
              </w:rPr>
              <w:t>规定</w:t>
            </w:r>
          </w:p>
          <w:p w14:paraId="0A522D1A">
            <w:pPr>
              <w:tabs>
                <w:tab w:val="center" w:pos="4153"/>
                <w:tab w:val="right" w:pos="8306"/>
              </w:tabs>
              <w:rPr>
                <w:szCs w:val="21"/>
              </w:rPr>
            </w:pPr>
            <w:r>
              <w:rPr>
                <w:szCs w:val="21"/>
              </w:rPr>
              <w:t>Conforme aux dispositions du Chapitre I, Instructions aux soumissionnaires</w:t>
            </w:r>
          </w:p>
        </w:tc>
      </w:tr>
      <w:tr w14:paraId="5EA18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12" w:space="0"/>
              <w:right w:val="single" w:color="auto" w:sz="4" w:space="0"/>
            </w:tcBorders>
            <w:vAlign w:val="center"/>
          </w:tcPr>
          <w:p w14:paraId="4143485C">
            <w:pPr>
              <w:widowControl/>
              <w:jc w:val="left"/>
              <w:rPr>
                <w:szCs w:val="21"/>
              </w:rPr>
            </w:pPr>
          </w:p>
        </w:tc>
        <w:tc>
          <w:tcPr>
            <w:tcW w:w="1122" w:type="dxa"/>
            <w:vMerge w:val="continue"/>
            <w:tcBorders>
              <w:top w:val="single" w:color="auto" w:sz="4" w:space="0"/>
              <w:left w:val="single" w:color="auto" w:sz="4" w:space="0"/>
              <w:bottom w:val="single" w:color="auto" w:sz="12" w:space="0"/>
              <w:right w:val="single" w:color="auto" w:sz="4" w:space="0"/>
            </w:tcBorders>
            <w:vAlign w:val="center"/>
          </w:tcPr>
          <w:p w14:paraId="4D3BD839">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0BE2E4A4">
            <w:pPr>
              <w:adjustRightInd w:val="0"/>
              <w:snapToGrid w:val="0"/>
              <w:jc w:val="center"/>
              <w:rPr>
                <w:szCs w:val="21"/>
              </w:rPr>
            </w:pPr>
            <w:r>
              <w:rPr>
                <w:rFonts w:hint="eastAsia"/>
                <w:szCs w:val="21"/>
              </w:rPr>
              <w:t>人员要求</w:t>
            </w:r>
          </w:p>
          <w:p w14:paraId="1A6A2A91">
            <w:pPr>
              <w:tabs>
                <w:tab w:val="center" w:pos="4153"/>
                <w:tab w:val="right" w:pos="8306"/>
              </w:tabs>
              <w:jc w:val="center"/>
              <w:rPr>
                <w:szCs w:val="21"/>
              </w:rPr>
            </w:pPr>
            <w:r>
              <w:rPr>
                <w:szCs w:val="21"/>
              </w:rPr>
              <w:t>Exigences concernant le personnel</w:t>
            </w:r>
          </w:p>
        </w:tc>
        <w:tc>
          <w:tcPr>
            <w:tcW w:w="5533" w:type="dxa"/>
            <w:tcBorders>
              <w:top w:val="single" w:color="auto" w:sz="4" w:space="0"/>
              <w:left w:val="single" w:color="auto" w:sz="4" w:space="0"/>
              <w:bottom w:val="single" w:color="auto" w:sz="4" w:space="0"/>
              <w:right w:val="single" w:color="auto" w:sz="12" w:space="0"/>
            </w:tcBorders>
            <w:vAlign w:val="center"/>
          </w:tcPr>
          <w:p w14:paraId="75EFBEFC">
            <w:pPr>
              <w:rPr>
                <w:szCs w:val="21"/>
              </w:rPr>
            </w:pPr>
            <w:r>
              <w:rPr>
                <w:rFonts w:hint="eastAsia"/>
                <w:szCs w:val="21"/>
              </w:rPr>
              <w:t>符合第二章</w:t>
            </w:r>
            <w:r>
              <w:rPr>
                <w:szCs w:val="21"/>
              </w:rPr>
              <w:t>“</w:t>
            </w:r>
            <w:r>
              <w:rPr>
                <w:rFonts w:hint="eastAsia"/>
                <w:szCs w:val="21"/>
              </w:rPr>
              <w:t>发包人要求</w:t>
            </w:r>
            <w:r>
              <w:rPr>
                <w:szCs w:val="21"/>
              </w:rPr>
              <w:t>”</w:t>
            </w:r>
            <w:r>
              <w:rPr>
                <w:rFonts w:hint="eastAsia"/>
                <w:szCs w:val="21"/>
              </w:rPr>
              <w:t>规定</w:t>
            </w:r>
          </w:p>
          <w:p w14:paraId="097EC03D">
            <w:pPr>
              <w:tabs>
                <w:tab w:val="center" w:pos="4153"/>
                <w:tab w:val="right" w:pos="8306"/>
              </w:tabs>
              <w:rPr>
                <w:szCs w:val="21"/>
              </w:rPr>
            </w:pPr>
            <w:r>
              <w:rPr>
                <w:szCs w:val="21"/>
              </w:rPr>
              <w:t>Conforme aux dispositions du Chapitre Ⅱ, Exigences du Mandant</w:t>
            </w:r>
          </w:p>
        </w:tc>
      </w:tr>
      <w:tr w14:paraId="354C7D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12" w:space="0"/>
              <w:right w:val="single" w:color="auto" w:sz="4" w:space="0"/>
            </w:tcBorders>
            <w:vAlign w:val="center"/>
          </w:tcPr>
          <w:p w14:paraId="76A52C82">
            <w:pPr>
              <w:widowControl/>
              <w:jc w:val="left"/>
              <w:rPr>
                <w:szCs w:val="21"/>
              </w:rPr>
            </w:pPr>
          </w:p>
        </w:tc>
        <w:tc>
          <w:tcPr>
            <w:tcW w:w="1122" w:type="dxa"/>
            <w:vMerge w:val="continue"/>
            <w:tcBorders>
              <w:top w:val="single" w:color="auto" w:sz="4" w:space="0"/>
              <w:left w:val="single" w:color="auto" w:sz="4" w:space="0"/>
              <w:bottom w:val="single" w:color="auto" w:sz="12" w:space="0"/>
              <w:right w:val="single" w:color="auto" w:sz="4" w:space="0"/>
            </w:tcBorders>
            <w:vAlign w:val="center"/>
          </w:tcPr>
          <w:p w14:paraId="39A96299">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32386CA9">
            <w:pPr>
              <w:jc w:val="center"/>
              <w:rPr>
                <w:szCs w:val="21"/>
              </w:rPr>
            </w:pPr>
            <w:r>
              <w:rPr>
                <w:rFonts w:hint="eastAsia"/>
                <w:szCs w:val="21"/>
              </w:rPr>
              <w:t>服务所需设备、材料或所需检测仪器设备</w:t>
            </w:r>
          </w:p>
          <w:p w14:paraId="39AD6A82">
            <w:pPr>
              <w:tabs>
                <w:tab w:val="center" w:pos="4153"/>
                <w:tab w:val="right" w:pos="8306"/>
              </w:tabs>
              <w:jc w:val="center"/>
              <w:rPr>
                <w:szCs w:val="21"/>
              </w:rPr>
            </w:pPr>
            <w:r>
              <w:rPr>
                <w:szCs w:val="21"/>
              </w:rPr>
              <w:t>Équipements, matériels ou instruments de contrôle nécessaires</w:t>
            </w:r>
          </w:p>
        </w:tc>
        <w:tc>
          <w:tcPr>
            <w:tcW w:w="5533" w:type="dxa"/>
            <w:tcBorders>
              <w:top w:val="single" w:color="auto" w:sz="4" w:space="0"/>
              <w:left w:val="single" w:color="auto" w:sz="4" w:space="0"/>
              <w:bottom w:val="single" w:color="auto" w:sz="4" w:space="0"/>
              <w:right w:val="single" w:color="auto" w:sz="12" w:space="0"/>
            </w:tcBorders>
            <w:vAlign w:val="center"/>
          </w:tcPr>
          <w:p w14:paraId="4CDBD245">
            <w:pPr>
              <w:rPr>
                <w:szCs w:val="21"/>
              </w:rPr>
            </w:pPr>
            <w:r>
              <w:rPr>
                <w:rFonts w:hint="eastAsia"/>
                <w:szCs w:val="21"/>
              </w:rPr>
              <w:t>符合第二章</w:t>
            </w:r>
            <w:r>
              <w:rPr>
                <w:szCs w:val="21"/>
              </w:rPr>
              <w:t>“</w:t>
            </w:r>
            <w:r>
              <w:rPr>
                <w:rFonts w:hint="eastAsia"/>
                <w:szCs w:val="21"/>
              </w:rPr>
              <w:t>发包人要求</w:t>
            </w:r>
            <w:r>
              <w:rPr>
                <w:szCs w:val="21"/>
              </w:rPr>
              <w:t>”</w:t>
            </w:r>
            <w:r>
              <w:rPr>
                <w:rFonts w:hint="eastAsia"/>
                <w:szCs w:val="21"/>
              </w:rPr>
              <w:t>规定</w:t>
            </w:r>
          </w:p>
          <w:p w14:paraId="281E8120">
            <w:pPr>
              <w:tabs>
                <w:tab w:val="center" w:pos="4153"/>
                <w:tab w:val="right" w:pos="8306"/>
              </w:tabs>
              <w:rPr>
                <w:szCs w:val="21"/>
              </w:rPr>
            </w:pPr>
            <w:r>
              <w:rPr>
                <w:szCs w:val="21"/>
              </w:rPr>
              <w:t>Conforme aux dispositions du ChapitreⅡ, Exigences du Mandant</w:t>
            </w:r>
          </w:p>
        </w:tc>
      </w:tr>
      <w:tr w14:paraId="19B051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12" w:space="0"/>
              <w:right w:val="single" w:color="auto" w:sz="4" w:space="0"/>
            </w:tcBorders>
            <w:vAlign w:val="center"/>
          </w:tcPr>
          <w:p w14:paraId="526CA9F4">
            <w:pPr>
              <w:widowControl/>
              <w:jc w:val="left"/>
              <w:rPr>
                <w:szCs w:val="21"/>
              </w:rPr>
            </w:pPr>
          </w:p>
        </w:tc>
        <w:tc>
          <w:tcPr>
            <w:tcW w:w="1122" w:type="dxa"/>
            <w:vMerge w:val="continue"/>
            <w:tcBorders>
              <w:top w:val="single" w:color="auto" w:sz="4" w:space="0"/>
              <w:left w:val="single" w:color="auto" w:sz="4" w:space="0"/>
              <w:bottom w:val="single" w:color="auto" w:sz="12" w:space="0"/>
              <w:right w:val="single" w:color="auto" w:sz="4" w:space="0"/>
            </w:tcBorders>
            <w:vAlign w:val="center"/>
          </w:tcPr>
          <w:p w14:paraId="2DC0E2F6">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5BCFD1BB">
            <w:pPr>
              <w:jc w:val="center"/>
              <w:rPr>
                <w:szCs w:val="21"/>
              </w:rPr>
            </w:pPr>
            <w:r>
              <w:rPr>
                <w:rFonts w:hint="eastAsia"/>
                <w:szCs w:val="21"/>
              </w:rPr>
              <w:t>权利义务</w:t>
            </w:r>
          </w:p>
          <w:p w14:paraId="4EADCF05">
            <w:pPr>
              <w:jc w:val="center"/>
              <w:rPr>
                <w:szCs w:val="21"/>
              </w:rPr>
            </w:pPr>
            <w:r>
              <w:rPr>
                <w:szCs w:val="21"/>
              </w:rPr>
              <w:t>Droits et obligations</w:t>
            </w:r>
          </w:p>
        </w:tc>
        <w:tc>
          <w:tcPr>
            <w:tcW w:w="5533" w:type="dxa"/>
            <w:tcBorders>
              <w:top w:val="single" w:color="auto" w:sz="4" w:space="0"/>
              <w:left w:val="single" w:color="auto" w:sz="4" w:space="0"/>
              <w:bottom w:val="single" w:color="auto" w:sz="4" w:space="0"/>
              <w:right w:val="single" w:color="auto" w:sz="12" w:space="0"/>
            </w:tcBorders>
            <w:vAlign w:val="center"/>
          </w:tcPr>
          <w:p w14:paraId="7CEBD5B8">
            <w:pPr>
              <w:adjustRightInd w:val="0"/>
              <w:snapToGrid w:val="0"/>
              <w:rPr>
                <w:szCs w:val="21"/>
              </w:rPr>
            </w:pPr>
            <w:r>
              <w:rPr>
                <w:rFonts w:hint="eastAsia"/>
                <w:szCs w:val="21"/>
              </w:rPr>
              <w:t>符合第三章</w:t>
            </w:r>
            <w:r>
              <w:rPr>
                <w:szCs w:val="21"/>
              </w:rPr>
              <w:t>“</w:t>
            </w:r>
            <w:r>
              <w:rPr>
                <w:rFonts w:hint="eastAsia"/>
                <w:szCs w:val="21"/>
              </w:rPr>
              <w:t>合同条款</w:t>
            </w:r>
            <w:r>
              <w:rPr>
                <w:szCs w:val="21"/>
              </w:rPr>
              <w:t>”</w:t>
            </w:r>
            <w:r>
              <w:rPr>
                <w:rFonts w:hint="eastAsia"/>
                <w:szCs w:val="21"/>
              </w:rPr>
              <w:t>规定</w:t>
            </w:r>
          </w:p>
          <w:p w14:paraId="7E72EB0D">
            <w:pPr>
              <w:tabs>
                <w:tab w:val="center" w:pos="4153"/>
                <w:tab w:val="right" w:pos="8306"/>
              </w:tabs>
              <w:rPr>
                <w:szCs w:val="21"/>
              </w:rPr>
            </w:pPr>
            <w:r>
              <w:rPr>
                <w:szCs w:val="21"/>
              </w:rPr>
              <w:t>Conforme aux dispositions du Chapitre Ⅲ : Contrat</w:t>
            </w:r>
          </w:p>
        </w:tc>
      </w:tr>
      <w:tr w14:paraId="190515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12" w:space="0"/>
              <w:right w:val="single" w:color="auto" w:sz="4" w:space="0"/>
            </w:tcBorders>
            <w:vAlign w:val="center"/>
          </w:tcPr>
          <w:p w14:paraId="1C38435D">
            <w:pPr>
              <w:widowControl/>
              <w:jc w:val="left"/>
              <w:rPr>
                <w:szCs w:val="21"/>
              </w:rPr>
            </w:pPr>
          </w:p>
        </w:tc>
        <w:tc>
          <w:tcPr>
            <w:tcW w:w="1122" w:type="dxa"/>
            <w:vMerge w:val="continue"/>
            <w:tcBorders>
              <w:top w:val="single" w:color="auto" w:sz="4" w:space="0"/>
              <w:left w:val="single" w:color="auto" w:sz="4" w:space="0"/>
              <w:bottom w:val="single" w:color="auto" w:sz="12" w:space="0"/>
              <w:right w:val="single" w:color="auto" w:sz="4" w:space="0"/>
            </w:tcBorders>
            <w:vAlign w:val="center"/>
          </w:tcPr>
          <w:p w14:paraId="357D1144">
            <w:pPr>
              <w:widowControl/>
              <w:jc w:val="left"/>
              <w:rPr>
                <w:szCs w:val="21"/>
              </w:rPr>
            </w:pPr>
          </w:p>
        </w:tc>
        <w:tc>
          <w:tcPr>
            <w:tcW w:w="1974" w:type="dxa"/>
            <w:tcBorders>
              <w:top w:val="single" w:color="auto" w:sz="4" w:space="0"/>
              <w:left w:val="single" w:color="auto" w:sz="4" w:space="0"/>
              <w:bottom w:val="single" w:color="auto" w:sz="4" w:space="0"/>
              <w:right w:val="single" w:color="auto" w:sz="4" w:space="0"/>
            </w:tcBorders>
            <w:vAlign w:val="center"/>
          </w:tcPr>
          <w:p w14:paraId="1A0C2650">
            <w:pPr>
              <w:jc w:val="center"/>
              <w:rPr>
                <w:szCs w:val="21"/>
              </w:rPr>
            </w:pPr>
            <w:r>
              <w:rPr>
                <w:rFonts w:hint="eastAsia"/>
                <w:szCs w:val="21"/>
              </w:rPr>
              <w:t>服务大纲</w:t>
            </w:r>
          </w:p>
          <w:p w14:paraId="5F267EE9">
            <w:pPr>
              <w:tabs>
                <w:tab w:val="center" w:pos="4153"/>
                <w:tab w:val="right" w:pos="8306"/>
              </w:tabs>
              <w:jc w:val="center"/>
              <w:rPr>
                <w:szCs w:val="21"/>
              </w:rPr>
            </w:pPr>
            <w:r>
              <w:rPr>
                <w:szCs w:val="21"/>
              </w:rPr>
              <w:t>Programme des services</w:t>
            </w:r>
          </w:p>
        </w:tc>
        <w:tc>
          <w:tcPr>
            <w:tcW w:w="5533" w:type="dxa"/>
            <w:tcBorders>
              <w:top w:val="single" w:color="auto" w:sz="4" w:space="0"/>
              <w:left w:val="single" w:color="auto" w:sz="4" w:space="0"/>
              <w:bottom w:val="single" w:color="auto" w:sz="4" w:space="0"/>
              <w:right w:val="single" w:color="auto" w:sz="12" w:space="0"/>
            </w:tcBorders>
            <w:vAlign w:val="center"/>
          </w:tcPr>
          <w:p w14:paraId="62DFA528">
            <w:pPr>
              <w:adjustRightInd w:val="0"/>
              <w:snapToGrid w:val="0"/>
              <w:rPr>
                <w:szCs w:val="21"/>
              </w:rPr>
            </w:pPr>
            <w:r>
              <w:rPr>
                <w:rFonts w:hint="eastAsia"/>
                <w:szCs w:val="21"/>
              </w:rPr>
              <w:t>符合第二章</w:t>
            </w:r>
            <w:r>
              <w:rPr>
                <w:szCs w:val="21"/>
              </w:rPr>
              <w:t>“</w:t>
            </w:r>
            <w:r>
              <w:rPr>
                <w:rFonts w:hint="eastAsia"/>
                <w:szCs w:val="21"/>
              </w:rPr>
              <w:t>发包人要求</w:t>
            </w:r>
            <w:r>
              <w:rPr>
                <w:szCs w:val="21"/>
              </w:rPr>
              <w:t>”</w:t>
            </w:r>
            <w:r>
              <w:rPr>
                <w:rFonts w:hint="eastAsia"/>
                <w:szCs w:val="21"/>
              </w:rPr>
              <w:t>中的实质性要求和条件</w:t>
            </w:r>
          </w:p>
          <w:p w14:paraId="38CFDAAE">
            <w:pPr>
              <w:tabs>
                <w:tab w:val="center" w:pos="4153"/>
                <w:tab w:val="right" w:pos="8306"/>
              </w:tabs>
              <w:rPr>
                <w:szCs w:val="21"/>
              </w:rPr>
            </w:pPr>
            <w:r>
              <w:rPr>
                <w:szCs w:val="21"/>
              </w:rPr>
              <w:t xml:space="preserve">Conforme aux dispositions du chapitre Ⅱ, </w:t>
            </w:r>
            <w:r>
              <w:rPr>
                <w:kern w:val="13"/>
                <w:szCs w:val="21"/>
              </w:rPr>
              <w:t xml:space="preserve">Procuration pour le représentant légal de la soumissionnaire </w:t>
            </w:r>
          </w:p>
        </w:tc>
      </w:tr>
      <w:tr w14:paraId="5C15B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tcBorders>
              <w:top w:val="single" w:color="auto" w:sz="4" w:space="0"/>
              <w:left w:val="single" w:color="auto" w:sz="12" w:space="0"/>
              <w:bottom w:val="single" w:color="auto" w:sz="12" w:space="0"/>
              <w:right w:val="single" w:color="auto" w:sz="4" w:space="0"/>
            </w:tcBorders>
            <w:vAlign w:val="center"/>
          </w:tcPr>
          <w:p w14:paraId="730F5834">
            <w:pPr>
              <w:widowControl/>
              <w:jc w:val="left"/>
              <w:rPr>
                <w:szCs w:val="21"/>
              </w:rPr>
            </w:pPr>
          </w:p>
        </w:tc>
        <w:tc>
          <w:tcPr>
            <w:tcW w:w="1122" w:type="dxa"/>
            <w:vMerge w:val="continue"/>
            <w:tcBorders>
              <w:top w:val="single" w:color="auto" w:sz="4" w:space="0"/>
              <w:left w:val="single" w:color="auto" w:sz="4" w:space="0"/>
              <w:bottom w:val="single" w:color="auto" w:sz="12" w:space="0"/>
              <w:right w:val="single" w:color="auto" w:sz="4" w:space="0"/>
            </w:tcBorders>
            <w:vAlign w:val="center"/>
          </w:tcPr>
          <w:p w14:paraId="2EB7C14C">
            <w:pPr>
              <w:widowControl/>
              <w:jc w:val="left"/>
              <w:rPr>
                <w:szCs w:val="21"/>
              </w:rPr>
            </w:pPr>
          </w:p>
        </w:tc>
        <w:tc>
          <w:tcPr>
            <w:tcW w:w="1974" w:type="dxa"/>
            <w:tcBorders>
              <w:top w:val="single" w:color="auto" w:sz="4" w:space="0"/>
              <w:left w:val="single" w:color="auto" w:sz="4" w:space="0"/>
              <w:bottom w:val="single" w:color="auto" w:sz="12" w:space="0"/>
              <w:right w:val="single" w:color="auto" w:sz="4" w:space="0"/>
            </w:tcBorders>
            <w:vAlign w:val="center"/>
          </w:tcPr>
          <w:p w14:paraId="5A7F4491">
            <w:pPr>
              <w:jc w:val="center"/>
              <w:rPr>
                <w:szCs w:val="21"/>
              </w:rPr>
            </w:pPr>
            <w:r>
              <w:rPr>
                <w:szCs w:val="21"/>
              </w:rPr>
              <w:t>……</w:t>
            </w:r>
          </w:p>
        </w:tc>
        <w:tc>
          <w:tcPr>
            <w:tcW w:w="5533" w:type="dxa"/>
            <w:tcBorders>
              <w:top w:val="single" w:color="auto" w:sz="4" w:space="0"/>
              <w:left w:val="single" w:color="auto" w:sz="4" w:space="0"/>
              <w:bottom w:val="single" w:color="auto" w:sz="12" w:space="0"/>
              <w:right w:val="single" w:color="auto" w:sz="12" w:space="0"/>
            </w:tcBorders>
            <w:vAlign w:val="center"/>
          </w:tcPr>
          <w:p w14:paraId="5F766536">
            <w:pPr>
              <w:jc w:val="center"/>
              <w:rPr>
                <w:szCs w:val="21"/>
              </w:rPr>
            </w:pPr>
            <w:r>
              <w:rPr>
                <w:szCs w:val="21"/>
              </w:rPr>
              <w:t>……</w:t>
            </w:r>
          </w:p>
        </w:tc>
      </w:tr>
    </w:tbl>
    <w:p w14:paraId="47115CA3">
      <w:pPr>
        <w:spacing w:line="360" w:lineRule="auto"/>
        <w:outlineLvl w:val="1"/>
        <w:rPr>
          <w:b/>
          <w:kern w:val="0"/>
          <w:szCs w:val="21"/>
        </w:rPr>
      </w:pPr>
      <w:bookmarkStart w:id="53" w:name="_Toc10361"/>
      <w:r>
        <w:rPr>
          <w:b/>
          <w:kern w:val="0"/>
          <w:szCs w:val="21"/>
        </w:rPr>
        <w:t>4.</w:t>
      </w:r>
      <w:r>
        <w:rPr>
          <w:rFonts w:hint="eastAsia"/>
          <w:b/>
          <w:kern w:val="0"/>
          <w:szCs w:val="21"/>
        </w:rPr>
        <w:t>合同签订</w:t>
      </w:r>
      <w:bookmarkEnd w:id="50"/>
      <w:bookmarkEnd w:id="51"/>
      <w:bookmarkEnd w:id="52"/>
      <w:bookmarkEnd w:id="53"/>
      <w:r>
        <w:rPr>
          <w:rFonts w:hint="eastAsia"/>
          <w:b/>
          <w:kern w:val="0"/>
          <w:szCs w:val="21"/>
        </w:rPr>
        <w:t xml:space="preserve"> </w:t>
      </w:r>
      <w:r>
        <w:rPr>
          <w:szCs w:val="21"/>
          <w:lang w:bidi="ar"/>
        </w:rPr>
        <w:t>Signature du contrat</w:t>
      </w:r>
    </w:p>
    <w:p w14:paraId="001BC3D8">
      <w:pPr>
        <w:spacing w:line="360" w:lineRule="auto"/>
        <w:ind w:firstLine="420" w:firstLineChars="200"/>
        <w:jc w:val="left"/>
        <w:rPr>
          <w:szCs w:val="21"/>
        </w:rPr>
      </w:pPr>
      <w:r>
        <w:rPr>
          <w:rFonts w:hint="eastAsia"/>
          <w:szCs w:val="21"/>
        </w:rPr>
        <w:t>评审小组完成询价采购情况的书面报告，经相应管理机构批准后，由采购机构通过采购平台向成交供应商发出成交通知。成交通知作为合同的一个组成部分，对采购人和成交供应商均具有法律约束力。</w:t>
      </w:r>
    </w:p>
    <w:p w14:paraId="4434D4CA">
      <w:pPr>
        <w:spacing w:line="360" w:lineRule="auto"/>
        <w:ind w:firstLine="420" w:firstLineChars="200"/>
        <w:jc w:val="left"/>
        <w:rPr>
          <w:szCs w:val="21"/>
        </w:rPr>
      </w:pPr>
      <w:r>
        <w:rPr>
          <w:rFonts w:hint="eastAsia"/>
          <w:szCs w:val="21"/>
        </w:rPr>
        <w:t>成交通知发出后，成交供应商放弃成交项目的，依据铝电公司供应商管理办法处理。</w:t>
      </w:r>
    </w:p>
    <w:p w14:paraId="39D42060">
      <w:pPr>
        <w:tabs>
          <w:tab w:val="left" w:pos="993"/>
          <w:tab w:val="left" w:pos="1135"/>
        </w:tabs>
        <w:spacing w:line="360" w:lineRule="auto"/>
        <w:ind w:firstLine="420" w:firstLineChars="200"/>
        <w:rPr>
          <w:szCs w:val="21"/>
          <w:lang w:bidi="ar"/>
        </w:rPr>
      </w:pPr>
      <w:r>
        <w:rPr>
          <w:szCs w:val="21"/>
          <w:lang w:bidi="ar"/>
        </w:rPr>
        <w:t>Une fois le groupe d’évaluation établi le rapport écrit sur le déroulement de la consultation restreinte et que celui-ci a été approuvé par l’autorité administrative compétente, l’organisme de passation procède, via la plateforme de marchés publics, à l’émission de la notification d’attribution au soumissionnaire retenu. Cette notification fait partie intégrante du contrat et a force obligatoire à la fois pour l’Acheteur et pour le soumissionnaire attributaire.</w:t>
      </w:r>
    </w:p>
    <w:p w14:paraId="19EAE6AF">
      <w:pPr>
        <w:tabs>
          <w:tab w:val="left" w:pos="993"/>
          <w:tab w:val="left" w:pos="1135"/>
        </w:tabs>
        <w:spacing w:line="360" w:lineRule="auto"/>
        <w:ind w:firstLine="420" w:firstLineChars="200"/>
        <w:rPr>
          <w:szCs w:val="21"/>
          <w:lang w:bidi="ar"/>
        </w:rPr>
      </w:pPr>
      <w:r>
        <w:rPr>
          <w:szCs w:val="21"/>
          <w:lang w:bidi="ar"/>
        </w:rPr>
        <w:t>En cas de renonciation du soumissionnaire attributaire après l’émission de la notification d’attribution, les dispositions applicables seront celles prévues par les règles de gestion des fournisseurs de SPIC Aluminum &amp; Power Investment Co., Ltd.</w:t>
      </w:r>
    </w:p>
    <w:p w14:paraId="63A078F3">
      <w:pPr>
        <w:spacing w:line="360" w:lineRule="auto"/>
        <w:ind w:firstLine="420" w:firstLineChars="200"/>
        <w:jc w:val="left"/>
        <w:rPr>
          <w:szCs w:val="21"/>
        </w:rPr>
      </w:pPr>
    </w:p>
    <w:p w14:paraId="1E4CF705">
      <w:pPr>
        <w:pStyle w:val="3"/>
        <w:snapToGrid w:val="0"/>
        <w:spacing w:before="0" w:after="0" w:line="360" w:lineRule="auto"/>
        <w:jc w:val="left"/>
        <w:rPr>
          <w:szCs w:val="28"/>
        </w:rPr>
        <w:sectPr>
          <w:headerReference r:id="rId4" w:type="first"/>
          <w:headerReference r:id="rId3" w:type="default"/>
          <w:footerReference r:id="rId5" w:type="default"/>
          <w:pgSz w:w="11906" w:h="16838"/>
          <w:pgMar w:top="1417" w:right="1134" w:bottom="1134" w:left="1417" w:header="851" w:footer="850" w:gutter="0"/>
          <w:cols w:space="720" w:num="1"/>
          <w:docGrid w:linePitch="312" w:charSpace="0"/>
        </w:sectPr>
      </w:pPr>
    </w:p>
    <w:bookmarkEnd w:id="19"/>
    <w:p w14:paraId="09AD2E25">
      <w:pPr>
        <w:pStyle w:val="2"/>
        <w:numPr>
          <w:ilvl w:val="0"/>
          <w:numId w:val="2"/>
        </w:numPr>
        <w:adjustRightInd w:val="0"/>
        <w:snapToGrid w:val="0"/>
        <w:spacing w:before="0" w:after="0" w:line="360" w:lineRule="auto"/>
        <w:jc w:val="center"/>
        <w:rPr>
          <w:sz w:val="28"/>
          <w:szCs w:val="28"/>
        </w:rPr>
      </w:pPr>
      <w:bookmarkStart w:id="54" w:name="_Toc19224"/>
      <w:r>
        <w:rPr>
          <w:rFonts w:hint="eastAsia"/>
          <w:sz w:val="28"/>
          <w:szCs w:val="28"/>
        </w:rPr>
        <w:t>发包人要求</w:t>
      </w:r>
      <w:bookmarkEnd w:id="54"/>
    </w:p>
    <w:p w14:paraId="53D0052D">
      <w:pPr>
        <w:jc w:val="center"/>
        <w:rPr>
          <w:b/>
          <w:bCs/>
          <w:sz w:val="28"/>
          <w:szCs w:val="28"/>
        </w:rPr>
      </w:pPr>
      <w:r>
        <w:rPr>
          <w:rFonts w:hint="eastAsia"/>
          <w:b/>
          <w:bCs/>
          <w:sz w:val="28"/>
          <w:szCs w:val="28"/>
        </w:rPr>
        <w:t xml:space="preserve">Chapitre II - Exigences du </w:t>
      </w:r>
      <w:r>
        <w:rPr>
          <w:b/>
          <w:bCs/>
          <w:sz w:val="28"/>
          <w:szCs w:val="28"/>
        </w:rPr>
        <w:t>mandat</w:t>
      </w:r>
    </w:p>
    <w:p w14:paraId="6E6370FA">
      <w:pPr>
        <w:jc w:val="center"/>
        <w:rPr>
          <w:b/>
          <w:bCs/>
          <w:sz w:val="28"/>
          <w:szCs w:val="28"/>
        </w:rPr>
      </w:pPr>
    </w:p>
    <w:p w14:paraId="77F21AA8">
      <w:pPr>
        <w:numPr>
          <w:ilvl w:val="0"/>
          <w:numId w:val="3"/>
        </w:numPr>
        <w:spacing w:line="360" w:lineRule="auto"/>
        <w:ind w:firstLine="420"/>
        <w:rPr>
          <w:rFonts w:cs="宋体"/>
          <w:b/>
          <w:kern w:val="0"/>
          <w:szCs w:val="21"/>
        </w:rPr>
      </w:pPr>
      <w:bookmarkStart w:id="55" w:name="_Hlk181809643"/>
      <w:r>
        <w:rPr>
          <w:rFonts w:hint="eastAsia" w:cs="宋体"/>
          <w:b/>
          <w:kern w:val="0"/>
          <w:szCs w:val="21"/>
        </w:rPr>
        <w:t>工程概况</w:t>
      </w:r>
      <w:r>
        <w:rPr>
          <w:rFonts w:cs="宋体"/>
          <w:b/>
          <w:kern w:val="0"/>
          <w:szCs w:val="21"/>
        </w:rPr>
        <w:t xml:space="preserve"> Aperçu du projet</w:t>
      </w:r>
    </w:p>
    <w:p w14:paraId="1DF59858">
      <w:pPr>
        <w:spacing w:line="360" w:lineRule="auto"/>
        <w:ind w:firstLine="369" w:firstLineChars="176"/>
        <w:rPr>
          <w:szCs w:val="21"/>
        </w:rPr>
      </w:pPr>
      <w:r>
        <w:rPr>
          <w:rFonts w:hint="eastAsia"/>
          <w:szCs w:val="21"/>
        </w:rPr>
        <w:t>几内亚高丽亚矿山股份有限公司为落实企业社会责任、支持项目周边社区发展、融洽社企关系。结合《支持当地社区发展规划》对项目周边受影响社社区实施道路修复和足球场修缮工作。</w:t>
      </w:r>
    </w:p>
    <w:p w14:paraId="71E21E70">
      <w:pPr>
        <w:spacing w:line="360" w:lineRule="auto"/>
        <w:ind w:firstLine="420" w:firstLineChars="200"/>
        <w:rPr>
          <w:szCs w:val="21"/>
        </w:rPr>
      </w:pPr>
      <w:r>
        <w:t>Guinea Colia Mining S.A.</w:t>
      </w:r>
      <w:r>
        <w:rPr>
          <w:rFonts w:hint="eastAsia"/>
        </w:rPr>
        <w:t xml:space="preserve"> </w:t>
      </w:r>
      <w:r>
        <w:rPr>
          <w:szCs w:val="21"/>
        </w:rPr>
        <w:t>s’engage à remplir sa responsabilité sociétale d’entreprise en soutenant le développement et en entretenant des relations harmonieuses avec les communautés riveraines.</w:t>
      </w:r>
      <w:r>
        <w:rPr>
          <w:rFonts w:hint="eastAsia"/>
          <w:szCs w:val="21"/>
        </w:rPr>
        <w:t xml:space="preserve"> </w:t>
      </w:r>
      <w:r>
        <w:rPr>
          <w:szCs w:val="21"/>
        </w:rPr>
        <w:t xml:space="preserve">Dans le cadre du </w:t>
      </w:r>
      <w:r>
        <w:rPr>
          <w:b/>
          <w:bCs/>
          <w:i/>
          <w:iCs/>
          <w:szCs w:val="21"/>
        </w:rPr>
        <w:t>Plan d’Appui au Développement des Communautés Locales</w:t>
      </w:r>
      <w:r>
        <w:rPr>
          <w:szCs w:val="21"/>
        </w:rPr>
        <w:t>, elle a réalisé des travaux de ré</w:t>
      </w:r>
      <w:r>
        <w:rPr>
          <w:rFonts w:hint="eastAsia"/>
          <w:szCs w:val="21"/>
        </w:rPr>
        <w:t>habilitation</w:t>
      </w:r>
      <w:r>
        <w:rPr>
          <w:szCs w:val="21"/>
        </w:rPr>
        <w:t xml:space="preserve"> de </w:t>
      </w:r>
      <w:r>
        <w:rPr>
          <w:rFonts w:hint="eastAsia"/>
          <w:szCs w:val="21"/>
        </w:rPr>
        <w:t>la route</w:t>
      </w:r>
      <w:r>
        <w:rPr>
          <w:szCs w:val="21"/>
        </w:rPr>
        <w:t xml:space="preserve"> et de terrains de football pour les communautés affectées autour du projet.</w:t>
      </w:r>
    </w:p>
    <w:p w14:paraId="0AB6B0EB">
      <w:pPr>
        <w:spacing w:line="360" w:lineRule="auto"/>
        <w:ind w:left="420"/>
        <w:rPr>
          <w:rFonts w:cs="宋体"/>
          <w:b/>
          <w:kern w:val="0"/>
          <w:szCs w:val="21"/>
        </w:rPr>
      </w:pPr>
      <w:r>
        <w:rPr>
          <w:rFonts w:hint="eastAsia" w:cs="宋体"/>
          <w:b/>
          <w:kern w:val="0"/>
          <w:szCs w:val="21"/>
        </w:rPr>
        <w:t>二、工程规模和主要</w:t>
      </w:r>
      <w:r>
        <w:rPr>
          <w:rFonts w:hint="eastAsia" w:cs="宋体"/>
          <w:b/>
          <w:kern w:val="0"/>
          <w:szCs w:val="21"/>
          <w:lang w:val="en-US"/>
        </w:rPr>
        <w:t>特征</w:t>
      </w:r>
      <w:r>
        <w:rPr>
          <w:rFonts w:cs="宋体"/>
          <w:b/>
          <w:kern w:val="0"/>
          <w:szCs w:val="21"/>
        </w:rPr>
        <w:t xml:space="preserve"> </w:t>
      </w:r>
      <w:r>
        <w:rPr>
          <w:b/>
          <w:kern w:val="0"/>
          <w:szCs w:val="21"/>
        </w:rPr>
        <w:t>é</w:t>
      </w:r>
      <w:r>
        <w:rPr>
          <w:b/>
          <w:szCs w:val="21"/>
        </w:rPr>
        <w:t>chelle et principales caractéristiques du projet</w:t>
      </w:r>
    </w:p>
    <w:p w14:paraId="1DADCF29">
      <w:pPr>
        <w:spacing w:line="360" w:lineRule="auto"/>
        <w:ind w:firstLine="369" w:firstLineChars="176"/>
        <w:rPr>
          <w:szCs w:val="21"/>
        </w:rPr>
      </w:pPr>
      <w:r>
        <w:rPr>
          <w:szCs w:val="21"/>
        </w:rPr>
        <w:t>为</w:t>
      </w:r>
      <w:r>
        <w:rPr>
          <w:rFonts w:hint="eastAsia"/>
          <w:szCs w:val="21"/>
        </w:rPr>
        <w:t>响应</w:t>
      </w:r>
      <w:r>
        <w:rPr>
          <w:szCs w:val="21"/>
        </w:rPr>
        <w:t>Thimmewi - Konsatamy Centre</w:t>
      </w:r>
      <w:r>
        <w:rPr>
          <w:rFonts w:hint="eastAsia"/>
          <w:szCs w:val="21"/>
        </w:rPr>
        <w:t>（</w:t>
      </w:r>
      <w:r>
        <w:rPr>
          <w:rFonts w:hint="eastAsia"/>
          <w:szCs w:val="21"/>
          <w:lang w:val="en-US"/>
        </w:rPr>
        <w:t>蒂美伟</w:t>
      </w:r>
      <w:r>
        <w:rPr>
          <w:rFonts w:hint="eastAsia"/>
          <w:szCs w:val="21"/>
        </w:rPr>
        <w:t>-</w:t>
      </w:r>
      <w:r>
        <w:rPr>
          <w:szCs w:val="21"/>
        </w:rPr>
        <w:t>孔苏达米</w:t>
      </w:r>
      <w:r>
        <w:rPr>
          <w:rFonts w:hint="eastAsia"/>
          <w:szCs w:val="21"/>
        </w:rPr>
        <w:t>）</w:t>
      </w:r>
      <w:r>
        <w:rPr>
          <w:szCs w:val="21"/>
        </w:rPr>
        <w:t>道路</w:t>
      </w:r>
      <w:r>
        <w:rPr>
          <w:rFonts w:hint="eastAsia"/>
          <w:szCs w:val="21"/>
        </w:rPr>
        <w:t>（</w:t>
      </w:r>
      <w:r>
        <w:rPr>
          <w:rFonts w:hint="eastAsia"/>
          <w:szCs w:val="21"/>
          <w:lang w:val="en-US"/>
        </w:rPr>
        <w:t>起点坐标</w:t>
      </w:r>
      <w:r>
        <w:rPr>
          <w:rFonts w:hint="eastAsia"/>
          <w:szCs w:val="21"/>
        </w:rPr>
        <w:t>：</w:t>
      </w:r>
      <w:r>
        <w:rPr>
          <w:rFonts w:hint="eastAsia"/>
          <w:szCs w:val="21"/>
          <w:lang w:val="en-US"/>
        </w:rPr>
        <w:t>经度</w:t>
      </w:r>
      <w:r>
        <w:rPr>
          <w:szCs w:val="21"/>
        </w:rPr>
        <w:t>-13°34′10.4097</w:t>
      </w:r>
      <w:r>
        <w:rPr>
          <w:rFonts w:hint="eastAsia"/>
          <w:szCs w:val="21"/>
        </w:rPr>
        <w:t>，</w:t>
      </w:r>
      <w:r>
        <w:rPr>
          <w:rFonts w:hint="eastAsia"/>
          <w:szCs w:val="21"/>
          <w:lang w:val="en-US"/>
        </w:rPr>
        <w:t>纬度</w:t>
      </w:r>
      <w:r>
        <w:rPr>
          <w:szCs w:val="21"/>
        </w:rPr>
        <w:t>10°52′16.7071</w:t>
      </w:r>
      <w:r>
        <w:rPr>
          <w:rFonts w:hint="eastAsia"/>
          <w:szCs w:val="21"/>
        </w:rPr>
        <w:t>；</w:t>
      </w:r>
      <w:r>
        <w:rPr>
          <w:rFonts w:hint="eastAsia"/>
          <w:szCs w:val="21"/>
          <w:lang w:val="en-US"/>
        </w:rPr>
        <w:t>终点坐标</w:t>
      </w:r>
      <w:r>
        <w:rPr>
          <w:rFonts w:hint="eastAsia"/>
          <w:szCs w:val="21"/>
        </w:rPr>
        <w:t>：</w:t>
      </w:r>
      <w:r>
        <w:rPr>
          <w:rFonts w:hint="eastAsia"/>
          <w:szCs w:val="21"/>
          <w:lang w:val="en-US"/>
        </w:rPr>
        <w:t>经度</w:t>
      </w:r>
      <w:r>
        <w:rPr>
          <w:szCs w:val="21"/>
        </w:rPr>
        <w:t>-13°29′59.0689</w:t>
      </w:r>
      <w:r>
        <w:rPr>
          <w:rFonts w:hint="eastAsia"/>
          <w:szCs w:val="21"/>
        </w:rPr>
        <w:t>，</w:t>
      </w:r>
      <w:r>
        <w:rPr>
          <w:rFonts w:hint="eastAsia"/>
          <w:szCs w:val="21"/>
          <w:lang w:val="en-US"/>
        </w:rPr>
        <w:t>纬度</w:t>
      </w:r>
      <w:r>
        <w:rPr>
          <w:szCs w:val="21"/>
        </w:rPr>
        <w:t>10°56′04.1951</w:t>
      </w:r>
      <w:r>
        <w:rPr>
          <w:rFonts w:hint="eastAsia"/>
          <w:szCs w:val="21"/>
        </w:rPr>
        <w:t>）</w:t>
      </w:r>
      <w:r>
        <w:rPr>
          <w:szCs w:val="21"/>
        </w:rPr>
        <w:t>沿线民众及地方当局的长期诉求，履行企业社会责任，本公司决定对该路段基础设施实施修缮，以提升民生福祉、促进区域和谐发展。具体工程包括：</w:t>
      </w:r>
    </w:p>
    <w:p w14:paraId="2FF11CAE">
      <w:pPr>
        <w:spacing w:line="360" w:lineRule="auto"/>
        <w:ind w:firstLine="369" w:firstLineChars="176"/>
        <w:rPr>
          <w:szCs w:val="21"/>
        </w:rPr>
      </w:pPr>
      <w:r>
        <w:rPr>
          <w:rFonts w:hint="eastAsia"/>
          <w:szCs w:val="21"/>
        </w:rPr>
        <w:t>道路修缮工程：</w:t>
      </w:r>
      <w:r>
        <w:rPr>
          <w:szCs w:val="21"/>
        </w:rPr>
        <w:t>对约</w:t>
      </w:r>
      <w:r>
        <w:rPr>
          <w:rFonts w:hint="eastAsia"/>
          <w:szCs w:val="21"/>
        </w:rPr>
        <w:t>12.5</w:t>
      </w:r>
      <w:r>
        <w:rPr>
          <w:szCs w:val="21"/>
        </w:rPr>
        <w:t>公里受损严重的核心路段进行修复</w:t>
      </w:r>
      <w:r>
        <w:rPr>
          <w:rFonts w:hint="eastAsia"/>
          <w:szCs w:val="21"/>
        </w:rPr>
        <w:t>（</w:t>
      </w:r>
      <w:r>
        <w:rPr>
          <w:rFonts w:hint="eastAsia"/>
          <w:szCs w:val="21"/>
          <w:lang w:val="en-US"/>
        </w:rPr>
        <w:t>标准及质量详见</w:t>
      </w:r>
      <w:r>
        <w:rPr>
          <w:rFonts w:hint="eastAsia" w:ascii="宋体" w:hAnsi="宋体" w:cs="宋体"/>
          <w:szCs w:val="21"/>
          <w:lang w:val="en-US"/>
        </w:rPr>
        <w:t>技术规范书要求</w:t>
      </w:r>
      <w:r>
        <w:rPr>
          <w:rFonts w:hint="eastAsia"/>
          <w:szCs w:val="21"/>
        </w:rPr>
        <w:t>）</w:t>
      </w:r>
      <w:r>
        <w:rPr>
          <w:szCs w:val="21"/>
        </w:rPr>
        <w:t>，以解决居民出行难题，保障通行安全与顺畅。</w:t>
      </w:r>
    </w:p>
    <w:p w14:paraId="4FE60F4F">
      <w:pPr>
        <w:spacing w:line="360" w:lineRule="auto"/>
        <w:ind w:firstLine="369" w:firstLineChars="176"/>
        <w:rPr>
          <w:szCs w:val="21"/>
        </w:rPr>
      </w:pPr>
      <w:r>
        <w:rPr>
          <w:rFonts w:hint="eastAsia"/>
          <w:szCs w:val="21"/>
          <w:lang w:val="en-US"/>
        </w:rPr>
        <w:drawing>
          <wp:inline distT="0" distB="0" distL="114300" distR="114300">
            <wp:extent cx="5445125" cy="3710305"/>
            <wp:effectExtent l="0" t="0" r="3175" b="10795"/>
            <wp:docPr id="9" name="图片 9" descr="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线路图"/>
                    <pic:cNvPicPr>
                      <a:picLocks noChangeAspect="1"/>
                    </pic:cNvPicPr>
                  </pic:nvPicPr>
                  <pic:blipFill>
                    <a:blip r:embed="rId15"/>
                    <a:stretch>
                      <a:fillRect/>
                    </a:stretch>
                  </pic:blipFill>
                  <pic:spPr>
                    <a:xfrm>
                      <a:off x="0" y="0"/>
                      <a:ext cx="5445125" cy="3710305"/>
                    </a:xfrm>
                    <a:prstGeom prst="rect">
                      <a:avLst/>
                    </a:prstGeom>
                  </pic:spPr>
                </pic:pic>
              </a:graphicData>
            </a:graphic>
          </wp:inline>
        </w:drawing>
      </w:r>
    </w:p>
    <w:p w14:paraId="47E62A35">
      <w:pPr>
        <w:spacing w:line="360" w:lineRule="auto"/>
        <w:ind w:firstLine="420" w:firstLineChars="200"/>
        <w:rPr>
          <w:szCs w:val="21"/>
        </w:rPr>
      </w:pPr>
      <w:r>
        <w:rPr>
          <w:rFonts w:hint="eastAsia"/>
          <w:szCs w:val="21"/>
        </w:rPr>
        <w:t>足球场修复工程：</w:t>
      </w:r>
      <w:r>
        <w:rPr>
          <w:szCs w:val="21"/>
        </w:rPr>
        <w:t>对Konsatamy Centre足球场进行系统性修缮，包括场地平整、看台加固及配套设施更新，以丰富社区居民文体生活，提升社区凝聚力。</w:t>
      </w:r>
    </w:p>
    <w:p w14:paraId="63EE0B4B">
      <w:pPr>
        <w:widowControl/>
        <w:spacing w:line="360" w:lineRule="auto"/>
        <w:ind w:firstLine="567" w:firstLineChars="270"/>
        <w:rPr>
          <w:rFonts w:cs="宋体"/>
          <w:kern w:val="0"/>
          <w:szCs w:val="21"/>
        </w:rPr>
      </w:pPr>
      <w:r>
        <w:rPr>
          <w:rFonts w:cs="宋体"/>
          <w:kern w:val="0"/>
          <w:szCs w:val="21"/>
        </w:rPr>
        <w:t>Pour répondre aux demandes de longue date des résidents et des autorités locales le long de la route existante reliant Thimmewi - Konsatamy Centre</w:t>
      </w:r>
      <w:r>
        <w:rPr>
          <w:rFonts w:hint="eastAsia" w:cs="宋体"/>
          <w:kern w:val="0"/>
          <w:szCs w:val="21"/>
          <w:lang w:val="en-US"/>
        </w:rPr>
        <w:t>(Coordonnées de départ : longitude -13°34′10.4097, latitude 10°52′16.7071 ; coordonnées d'arrivée : longitude -13°29′59.0689, latitude 10°56′04.1951")</w:t>
      </w:r>
      <w:r>
        <w:rPr>
          <w:rFonts w:cs="宋体"/>
          <w:kern w:val="0"/>
          <w:szCs w:val="21"/>
        </w:rPr>
        <w:t>, et pour remplir notre responsabilité sociale d’entreprise, notre société a décidé de procéder à la rénovation des infrastructures de cette voie, afin d’améliorer le bien-être de la population et de favoriser un développement harmonieux de la région. Les travaux spécifiques comprennent :</w:t>
      </w:r>
    </w:p>
    <w:p w14:paraId="3E34267F">
      <w:pPr>
        <w:widowControl/>
        <w:spacing w:line="360" w:lineRule="auto"/>
        <w:ind w:firstLine="567" w:firstLineChars="270"/>
        <w:rPr>
          <w:rFonts w:cs="宋体"/>
          <w:kern w:val="0"/>
          <w:szCs w:val="21"/>
        </w:rPr>
      </w:pPr>
      <w:r>
        <w:rPr>
          <w:rFonts w:cs="宋体"/>
          <w:kern w:val="0"/>
          <w:szCs w:val="21"/>
        </w:rPr>
        <w:t>Réhabilitation de la route :</w:t>
      </w:r>
    </w:p>
    <w:p w14:paraId="71B59F57">
      <w:pPr>
        <w:widowControl/>
        <w:spacing w:line="360" w:lineRule="auto"/>
        <w:ind w:firstLine="567" w:firstLineChars="270"/>
        <w:rPr>
          <w:rFonts w:cs="宋体"/>
          <w:kern w:val="0"/>
          <w:szCs w:val="21"/>
        </w:rPr>
      </w:pPr>
      <w:r>
        <w:rPr>
          <w:rFonts w:cs="宋体"/>
          <w:kern w:val="0"/>
          <w:szCs w:val="21"/>
        </w:rPr>
        <w:t xml:space="preserve">Réhabilitation </w:t>
      </w:r>
      <w:r>
        <w:rPr>
          <w:rFonts w:hint="eastAsia" w:cs="宋体"/>
          <w:kern w:val="0"/>
          <w:szCs w:val="21"/>
        </w:rPr>
        <w:t xml:space="preserve"> d'environ 12,5 kilomètres gravement endommagé (</w:t>
      </w:r>
      <w:r>
        <w:rPr>
          <w:rFonts w:cs="宋体"/>
          <w:kern w:val="0"/>
          <w:szCs w:val="21"/>
        </w:rPr>
        <w:t>selon</w:t>
      </w:r>
      <w:r>
        <w:rPr>
          <w:rFonts w:hint="eastAsia" w:cs="宋体"/>
          <w:kern w:val="0"/>
          <w:szCs w:val="21"/>
        </w:rPr>
        <w:t xml:space="preserve"> les normes et la qualité, veuillez vous référer aux exigences du cahier des charges techniques).</w:t>
      </w:r>
      <w:r>
        <w:rPr>
          <w:rFonts w:cs="宋体"/>
          <w:kern w:val="0"/>
          <w:szCs w:val="21"/>
        </w:rPr>
        <w:t>, afin de résoudre les problèmes de déplacement des habitants et de garantir la sécurité et la fluidité du trafic.</w:t>
      </w:r>
    </w:p>
    <w:p w14:paraId="5FAEB833">
      <w:pPr>
        <w:widowControl/>
        <w:spacing w:line="360" w:lineRule="auto"/>
        <w:ind w:firstLine="567" w:firstLineChars="270"/>
        <w:rPr>
          <w:rFonts w:cs="宋体"/>
          <w:kern w:val="0"/>
          <w:szCs w:val="21"/>
        </w:rPr>
      </w:pPr>
      <w:r>
        <w:rPr>
          <w:rFonts w:cs="宋体"/>
          <w:kern w:val="0"/>
          <w:szCs w:val="21"/>
        </w:rPr>
        <w:t>Réhabilitation du terrain de football de Konsatamy :</w:t>
      </w:r>
    </w:p>
    <w:p w14:paraId="4CDD766F">
      <w:pPr>
        <w:widowControl/>
        <w:spacing w:line="360" w:lineRule="auto"/>
        <w:ind w:firstLine="567" w:firstLineChars="270"/>
        <w:rPr>
          <w:rFonts w:cs="宋体"/>
          <w:kern w:val="0"/>
          <w:szCs w:val="21"/>
        </w:rPr>
      </w:pPr>
      <w:r>
        <w:rPr>
          <w:rFonts w:cs="宋体"/>
          <w:kern w:val="0"/>
          <w:szCs w:val="21"/>
        </w:rPr>
        <w:t>Remise en état complète des installations, comprenant le nivellement du sol, le renforcement des tribunes et la modernisation des équipements annexes, dans l’objectif d’enrichir l’offre culturelle et sportive locale et de renforcer la cohésion communautaire.</w:t>
      </w:r>
    </w:p>
    <w:p w14:paraId="67156E77">
      <w:pPr>
        <w:spacing w:line="360" w:lineRule="auto"/>
        <w:ind w:left="420"/>
        <w:rPr>
          <w:rFonts w:cs="宋体"/>
          <w:b/>
          <w:kern w:val="0"/>
          <w:szCs w:val="21"/>
        </w:rPr>
      </w:pPr>
      <w:r>
        <w:rPr>
          <w:rFonts w:hint="eastAsia" w:cs="宋体"/>
          <w:b/>
          <w:kern w:val="0"/>
          <w:szCs w:val="21"/>
        </w:rPr>
        <w:t>三、采购范围</w:t>
      </w:r>
      <w:r>
        <w:rPr>
          <w:rFonts w:cs="宋体"/>
          <w:b/>
          <w:kern w:val="0"/>
          <w:szCs w:val="21"/>
        </w:rPr>
        <w:t xml:space="preserve"> Champ d’application de ce marché</w:t>
      </w:r>
    </w:p>
    <w:p w14:paraId="3C3BCBE2">
      <w:pPr>
        <w:widowControl/>
        <w:numPr>
          <w:ilvl w:val="0"/>
          <w:numId w:val="4"/>
        </w:numPr>
        <w:spacing w:line="360" w:lineRule="auto"/>
        <w:rPr>
          <w:bCs/>
          <w:szCs w:val="21"/>
        </w:rPr>
      </w:pPr>
      <w:r>
        <w:rPr>
          <w:rFonts w:hint="eastAsia"/>
          <w:bCs/>
          <w:szCs w:val="21"/>
        </w:rPr>
        <w:t>社区道路修缮：</w:t>
      </w:r>
    </w:p>
    <w:p w14:paraId="5D097238">
      <w:pPr>
        <w:widowControl/>
        <w:spacing w:line="360" w:lineRule="auto"/>
        <w:ind w:firstLine="420"/>
        <w:rPr>
          <w:rFonts w:cs="宋体"/>
          <w:kern w:val="0"/>
          <w:szCs w:val="21"/>
        </w:rPr>
      </w:pPr>
      <w:r>
        <w:rPr>
          <w:rFonts w:hint="eastAsia"/>
          <w:bCs/>
          <w:szCs w:val="21"/>
        </w:rPr>
        <w:t>对</w:t>
      </w:r>
      <w:r>
        <w:rPr>
          <w:rFonts w:cs="宋体"/>
          <w:kern w:val="0"/>
          <w:szCs w:val="21"/>
        </w:rPr>
        <w:t>Thimmewi - Konsatamy Centre</w:t>
      </w:r>
      <w:r>
        <w:rPr>
          <w:rFonts w:hint="eastAsia" w:cs="宋体"/>
          <w:kern w:val="0"/>
          <w:szCs w:val="21"/>
        </w:rPr>
        <w:t>专区政府</w:t>
      </w:r>
      <w:r>
        <w:rPr>
          <w:rFonts w:hint="eastAsia"/>
          <w:kern w:val="0"/>
          <w:szCs w:val="21"/>
        </w:rPr>
        <w:t>之间</w:t>
      </w:r>
      <w:r>
        <w:rPr>
          <w:rFonts w:hint="eastAsia"/>
          <w:bCs/>
          <w:szCs w:val="21"/>
        </w:rPr>
        <w:t>的已损坏的道路进行</w:t>
      </w:r>
      <w:r>
        <w:rPr>
          <w:rFonts w:hint="eastAsia" w:cs="宋体"/>
          <w:kern w:val="0"/>
          <w:szCs w:val="21"/>
        </w:rPr>
        <w:t>基层作业面清理（即对原有路面进行平整、清理道路两侧杂草与植被）、保障排水与视线。</w:t>
      </w:r>
    </w:p>
    <w:p w14:paraId="4E6FB55F">
      <w:pPr>
        <w:widowControl/>
        <w:spacing w:line="360" w:lineRule="auto"/>
        <w:ind w:firstLine="420"/>
        <w:rPr>
          <w:rFonts w:cs="宋体"/>
          <w:kern w:val="0"/>
          <w:szCs w:val="21"/>
        </w:rPr>
      </w:pPr>
      <w:r>
        <w:rPr>
          <w:rFonts w:hint="eastAsia" w:cs="宋体"/>
          <w:kern w:val="0"/>
          <w:szCs w:val="21"/>
        </w:rPr>
        <w:t>路面修复：</w:t>
      </w:r>
      <w:r>
        <w:rPr>
          <w:rFonts w:cs="宋体"/>
          <w:kern w:val="0"/>
          <w:szCs w:val="21"/>
        </w:rPr>
        <w:t>采用红土粒料摊铺压实。压实后平均厚度不低于</w:t>
      </w:r>
      <w:r>
        <w:rPr>
          <w:rFonts w:hint="eastAsia" w:cs="宋体"/>
          <w:kern w:val="0"/>
          <w:szCs w:val="21"/>
          <w:lang w:val="en-US"/>
        </w:rPr>
        <w:t>30</w:t>
      </w:r>
      <w:r>
        <w:rPr>
          <w:rFonts w:cs="宋体"/>
          <w:kern w:val="0"/>
          <w:szCs w:val="21"/>
        </w:rPr>
        <w:t>厘米，局部坑洼地段应适当加厚，压实度不低于95%。修复后道路全线</w:t>
      </w:r>
      <w:bookmarkStart w:id="281" w:name="_GoBack"/>
      <w:bookmarkEnd w:id="281"/>
      <w:r>
        <w:rPr>
          <w:rFonts w:cs="宋体"/>
          <w:kern w:val="0"/>
          <w:szCs w:val="21"/>
        </w:rPr>
        <w:t>有效宽度应恢复至</w:t>
      </w:r>
      <w:r>
        <w:rPr>
          <w:rFonts w:hint="eastAsia" w:cs="宋体"/>
          <w:kern w:val="0"/>
          <w:szCs w:val="21"/>
          <w:lang w:val="en-US"/>
        </w:rPr>
        <w:t>8</w:t>
      </w:r>
      <w:r>
        <w:rPr>
          <w:rFonts w:cs="宋体"/>
          <w:kern w:val="0"/>
          <w:szCs w:val="21"/>
        </w:rPr>
        <w:t>米宽</w:t>
      </w:r>
      <w:r>
        <w:rPr>
          <w:rFonts w:hint="eastAsia" w:cs="宋体"/>
          <w:color w:val="auto"/>
          <w:kern w:val="0"/>
          <w:szCs w:val="21"/>
          <w:lang w:eastAsia="zh-CN"/>
        </w:rPr>
        <w:t>（</w:t>
      </w:r>
      <w:r>
        <w:rPr>
          <w:rFonts w:hint="eastAsia" w:cs="宋体"/>
          <w:color w:val="auto"/>
          <w:kern w:val="0"/>
          <w:szCs w:val="21"/>
          <w:lang w:val="en-US" w:eastAsia="zh-CN"/>
        </w:rPr>
        <w:t>不含路肩</w:t>
      </w:r>
      <w:r>
        <w:rPr>
          <w:rFonts w:hint="eastAsia" w:cs="宋体"/>
          <w:color w:val="auto"/>
          <w:kern w:val="0"/>
          <w:szCs w:val="21"/>
          <w:lang w:eastAsia="zh-CN"/>
        </w:rPr>
        <w:t>）</w:t>
      </w:r>
      <w:r>
        <w:rPr>
          <w:rFonts w:cs="宋体"/>
          <w:kern w:val="0"/>
          <w:szCs w:val="21"/>
        </w:rPr>
        <w:t>，其中原狭窄路段（如入口下坡处）须进行针对性</w:t>
      </w:r>
      <w:r>
        <w:rPr>
          <w:rFonts w:hint="eastAsia" w:cs="宋体"/>
          <w:kern w:val="0"/>
          <w:szCs w:val="21"/>
        </w:rPr>
        <w:t>局部</w:t>
      </w:r>
      <w:r>
        <w:rPr>
          <w:rFonts w:cs="宋体"/>
          <w:kern w:val="0"/>
          <w:szCs w:val="21"/>
        </w:rPr>
        <w:t>拓宽。</w:t>
      </w:r>
    </w:p>
    <w:p w14:paraId="2E8DCDFC">
      <w:pPr>
        <w:widowControl/>
        <w:spacing w:line="360" w:lineRule="auto"/>
        <w:ind w:firstLine="420" w:firstLineChars="200"/>
        <w:rPr>
          <w:rFonts w:cs="宋体"/>
          <w:kern w:val="0"/>
          <w:szCs w:val="21"/>
        </w:rPr>
      </w:pPr>
      <w:r>
        <w:rPr>
          <w:rFonts w:hint="eastAsia" w:cs="宋体"/>
          <w:kern w:val="0"/>
          <w:szCs w:val="21"/>
        </w:rPr>
        <w:t>排水修整：清理并修整两侧边沟，确保</w:t>
      </w:r>
      <w:r>
        <w:rPr>
          <w:rFonts w:cs="宋体"/>
          <w:kern w:val="0"/>
          <w:szCs w:val="21"/>
        </w:rPr>
        <w:t>修整后边沟断面净宽</w:t>
      </w:r>
      <w:r>
        <w:rPr>
          <w:rFonts w:hint="eastAsia" w:cs="宋体"/>
          <w:kern w:val="0"/>
          <w:szCs w:val="21"/>
        </w:rPr>
        <w:t>不小于</w:t>
      </w:r>
      <w:r>
        <w:rPr>
          <w:rFonts w:hint="eastAsia" w:cs="宋体"/>
          <w:kern w:val="0"/>
          <w:szCs w:val="21"/>
          <w:lang w:val="en-US"/>
        </w:rPr>
        <w:t>1</w:t>
      </w:r>
      <w:r>
        <w:rPr>
          <w:rFonts w:hint="eastAsia" w:cs="宋体"/>
          <w:kern w:val="0"/>
          <w:szCs w:val="21"/>
        </w:rPr>
        <w:t>米，深度不小于</w:t>
      </w:r>
      <w:r>
        <w:rPr>
          <w:rFonts w:hint="eastAsia" w:cs="宋体"/>
          <w:kern w:val="0"/>
          <w:szCs w:val="21"/>
          <w:lang w:val="en-US"/>
        </w:rPr>
        <w:t>0.5</w:t>
      </w:r>
      <w:r>
        <w:rPr>
          <w:rFonts w:hint="eastAsia" w:cs="宋体"/>
          <w:kern w:val="0"/>
          <w:szCs w:val="21"/>
        </w:rPr>
        <w:t>米，沟底纵坡不小于0.5%，以保障雨季排水顺畅。</w:t>
      </w:r>
    </w:p>
    <w:p w14:paraId="11241989">
      <w:pPr>
        <w:widowControl/>
        <w:spacing w:line="360" w:lineRule="auto"/>
        <w:ind w:firstLine="420"/>
        <w:rPr>
          <w:rFonts w:cs="宋体"/>
          <w:kern w:val="0"/>
          <w:szCs w:val="21"/>
        </w:rPr>
      </w:pPr>
      <w:r>
        <w:rPr>
          <w:rFonts w:hint="eastAsia" w:cs="宋体"/>
          <w:kern w:val="0"/>
          <w:szCs w:val="21"/>
        </w:rPr>
        <w:t>施工公示：在施工现场醒目位置设立双语（中/法）铁质告示牌，明确标注建设单位、施工单位及计划完工日期。</w:t>
      </w:r>
    </w:p>
    <w:p w14:paraId="30F46035">
      <w:pPr>
        <w:widowControl/>
        <w:spacing w:line="360" w:lineRule="auto"/>
        <w:ind w:firstLine="420"/>
        <w:rPr>
          <w:rFonts w:cs="宋体"/>
          <w:kern w:val="0"/>
          <w:szCs w:val="21"/>
        </w:rPr>
      </w:pPr>
      <w:r>
        <w:rPr>
          <w:rFonts w:hint="eastAsia" w:cs="宋体"/>
          <w:kern w:val="0"/>
          <w:szCs w:val="21"/>
        </w:rPr>
        <w:t>过程与验收：承包人负责编制完整验收资料，并负责完成与社区及地方政府的正式工程交接手续。</w:t>
      </w:r>
    </w:p>
    <w:p w14:paraId="2A1B9704">
      <w:pPr>
        <w:widowControl/>
        <w:spacing w:line="360" w:lineRule="auto"/>
        <w:ind w:firstLine="420"/>
        <w:rPr>
          <w:rFonts w:cs="宋体"/>
          <w:kern w:val="0"/>
          <w:szCs w:val="21"/>
        </w:rPr>
      </w:pPr>
      <w:r>
        <w:rPr>
          <w:rFonts w:cs="宋体"/>
          <w:kern w:val="0"/>
          <w:szCs w:val="21"/>
        </w:rPr>
        <w:t>1) Ré</w:t>
      </w:r>
      <w:r>
        <w:rPr>
          <w:rFonts w:hint="eastAsia" w:cs="宋体"/>
          <w:kern w:val="0"/>
          <w:szCs w:val="21"/>
        </w:rPr>
        <w:t>habilitation</w:t>
      </w:r>
      <w:r>
        <w:rPr>
          <w:rFonts w:cs="宋体"/>
          <w:kern w:val="0"/>
          <w:szCs w:val="21"/>
        </w:rPr>
        <w:t xml:space="preserve"> des routes :</w:t>
      </w:r>
    </w:p>
    <w:p w14:paraId="7F7D2C0C">
      <w:pPr>
        <w:widowControl/>
        <w:spacing w:line="360" w:lineRule="auto"/>
        <w:ind w:firstLine="420"/>
        <w:rPr>
          <w:rFonts w:cs="宋体"/>
          <w:kern w:val="0"/>
          <w:szCs w:val="21"/>
        </w:rPr>
      </w:pPr>
      <w:r>
        <w:rPr>
          <w:rFonts w:cs="宋体"/>
          <w:kern w:val="0"/>
          <w:szCs w:val="21"/>
        </w:rPr>
        <w:t>1.1 Déblaiement et préparation de la plate-forme :</w:t>
      </w:r>
    </w:p>
    <w:p w14:paraId="000FC006">
      <w:pPr>
        <w:widowControl/>
        <w:spacing w:line="360" w:lineRule="auto"/>
        <w:ind w:firstLine="420"/>
        <w:rPr>
          <w:rFonts w:cs="宋体"/>
          <w:kern w:val="0"/>
          <w:szCs w:val="21"/>
        </w:rPr>
      </w:pPr>
      <w:r>
        <w:rPr>
          <w:rFonts w:cs="宋体"/>
          <w:kern w:val="0"/>
          <w:szCs w:val="21"/>
        </w:rPr>
        <w:t>Nettoyage de la surface de base de la route existante reliant Thimmewi - Konsatamy Centre. Les travaux comprennent le nivellement de la chaussée existante, ainsi que le débroussaillage et le dégagement de la végétation sur une bande d’au moins 1 mètre de large de part et d’autre de la voie, afin d’assurer une bonne visibilité et de faciliter le drainage.</w:t>
      </w:r>
    </w:p>
    <w:p w14:paraId="77465CCD">
      <w:pPr>
        <w:widowControl/>
        <w:spacing w:line="360" w:lineRule="auto"/>
        <w:ind w:firstLine="420"/>
        <w:rPr>
          <w:rFonts w:cs="宋体"/>
          <w:kern w:val="0"/>
          <w:szCs w:val="21"/>
        </w:rPr>
      </w:pPr>
      <w:r>
        <w:rPr>
          <w:rFonts w:cs="宋体"/>
          <w:kern w:val="0"/>
          <w:szCs w:val="21"/>
        </w:rPr>
        <w:t>1.2 Ré</w:t>
      </w:r>
      <w:r>
        <w:rPr>
          <w:rFonts w:hint="eastAsia" w:cs="宋体"/>
          <w:kern w:val="0"/>
          <w:szCs w:val="21"/>
        </w:rPr>
        <w:t>habilitation</w:t>
      </w:r>
      <w:r>
        <w:rPr>
          <w:rFonts w:cs="宋体"/>
          <w:kern w:val="0"/>
          <w:szCs w:val="21"/>
        </w:rPr>
        <w:t xml:space="preserve"> de la </w:t>
      </w:r>
      <w:r>
        <w:rPr>
          <w:rFonts w:hint="eastAsia" w:cs="宋体"/>
          <w:kern w:val="0"/>
          <w:szCs w:val="21"/>
        </w:rPr>
        <w:t>route</w:t>
      </w:r>
      <w:r>
        <w:rPr>
          <w:rFonts w:cs="宋体"/>
          <w:kern w:val="0"/>
          <w:szCs w:val="21"/>
        </w:rPr>
        <w:t xml:space="preserve"> :</w:t>
      </w:r>
    </w:p>
    <w:p w14:paraId="61630E45">
      <w:pPr>
        <w:widowControl/>
        <w:spacing w:line="360" w:lineRule="auto"/>
        <w:ind w:firstLine="420"/>
        <w:rPr>
          <w:rFonts w:cs="宋体"/>
          <w:kern w:val="0"/>
          <w:szCs w:val="21"/>
        </w:rPr>
      </w:pPr>
      <w:r>
        <w:rPr>
          <w:rFonts w:cs="宋体"/>
          <w:kern w:val="0"/>
          <w:szCs w:val="21"/>
        </w:rPr>
        <w:t xml:space="preserve">La </w:t>
      </w:r>
      <w:r>
        <w:rPr>
          <w:rFonts w:hint="eastAsia" w:cs="宋体"/>
          <w:kern w:val="0"/>
          <w:szCs w:val="21"/>
        </w:rPr>
        <w:t xml:space="preserve">route </w:t>
      </w:r>
      <w:r>
        <w:rPr>
          <w:rFonts w:cs="宋体"/>
          <w:kern w:val="0"/>
          <w:szCs w:val="21"/>
        </w:rPr>
        <w:t xml:space="preserve">sera réparée par la mise en place et le compactage de granulats latéritiques. L’épaisseur moyenne de la couche compactée sera d’au moins </w:t>
      </w:r>
      <w:r>
        <w:rPr>
          <w:rFonts w:hint="eastAsia" w:cs="宋体"/>
          <w:kern w:val="0"/>
          <w:szCs w:val="21"/>
          <w:lang w:val="en-US"/>
        </w:rPr>
        <w:t>30</w:t>
      </w:r>
      <w:r>
        <w:rPr>
          <w:rFonts w:cs="宋体"/>
          <w:kern w:val="0"/>
          <w:szCs w:val="21"/>
        </w:rPr>
        <w:t xml:space="preserve"> cm. Les sections présentant des ornières ou des affaissements locaux devront faire l’objet d’un reprofilage et d’un sur-épaisseur appropriée. Le degré de compactage devra être d’au moins 95%. La largeur utile de la route sur toute sa longueur après réhabilitation sera ramenée à </w:t>
      </w:r>
      <w:r>
        <w:rPr>
          <w:rFonts w:hint="eastAsia" w:cs="宋体"/>
          <w:kern w:val="0"/>
          <w:szCs w:val="21"/>
          <w:lang w:val="en-US" w:eastAsia="zh-CN"/>
        </w:rPr>
        <w:t>8</w:t>
      </w:r>
      <w:r>
        <w:rPr>
          <w:rFonts w:cs="宋体"/>
          <w:kern w:val="0"/>
          <w:szCs w:val="21"/>
        </w:rPr>
        <w:t xml:space="preserve"> mètres</w:t>
      </w:r>
      <w:r>
        <w:rPr>
          <w:rFonts w:hint="eastAsia" w:cs="宋体"/>
          <w:kern w:val="0"/>
          <w:szCs w:val="21"/>
          <w:lang w:eastAsia="zh-CN"/>
        </w:rPr>
        <w:t>（sans accotement）</w:t>
      </w:r>
      <w:r>
        <w:rPr>
          <w:rFonts w:cs="宋体"/>
          <w:kern w:val="0"/>
          <w:szCs w:val="21"/>
        </w:rPr>
        <w:t>. Les sections initialement étroites (comme la pente d’entrée) devront être élargies en conséquence.</w:t>
      </w:r>
    </w:p>
    <w:p w14:paraId="302766FA">
      <w:pPr>
        <w:widowControl/>
        <w:spacing w:line="360" w:lineRule="auto"/>
        <w:ind w:firstLine="420"/>
        <w:rPr>
          <w:rFonts w:cs="宋体"/>
          <w:kern w:val="0"/>
          <w:szCs w:val="21"/>
        </w:rPr>
      </w:pPr>
      <w:r>
        <w:rPr>
          <w:rFonts w:cs="宋体"/>
          <w:kern w:val="0"/>
          <w:szCs w:val="21"/>
        </w:rPr>
        <w:t>1.3 Réaménagement du drainage :</w:t>
      </w:r>
    </w:p>
    <w:p w14:paraId="72A64C99">
      <w:pPr>
        <w:widowControl/>
        <w:spacing w:line="360" w:lineRule="auto"/>
        <w:ind w:firstLine="420"/>
        <w:rPr>
          <w:rFonts w:cs="宋体"/>
          <w:kern w:val="0"/>
          <w:szCs w:val="21"/>
        </w:rPr>
      </w:pPr>
      <w:r>
        <w:rPr>
          <w:rFonts w:cs="宋体"/>
          <w:kern w:val="0"/>
          <w:szCs w:val="21"/>
        </w:rPr>
        <w:t xml:space="preserve">Curage et reprofilage des fossés latéraux. Après travaux, les fossés devront présenter une section nette avec une largeur minimale de </w:t>
      </w:r>
      <w:r>
        <w:rPr>
          <w:rFonts w:hint="eastAsia" w:cs="宋体"/>
          <w:kern w:val="0"/>
          <w:szCs w:val="21"/>
          <w:lang w:val="en-US"/>
        </w:rPr>
        <w:t>100</w:t>
      </w:r>
      <w:r>
        <w:rPr>
          <w:rFonts w:cs="宋体"/>
          <w:kern w:val="0"/>
          <w:szCs w:val="21"/>
        </w:rPr>
        <w:t xml:space="preserve"> cm, une profondeur minimale de </w:t>
      </w:r>
      <w:r>
        <w:rPr>
          <w:rFonts w:hint="eastAsia" w:cs="宋体"/>
          <w:kern w:val="0"/>
          <w:szCs w:val="21"/>
          <w:lang w:val="en-US"/>
        </w:rPr>
        <w:t>5</w:t>
      </w:r>
      <w:r>
        <w:rPr>
          <w:rFonts w:cs="宋体"/>
          <w:kern w:val="0"/>
          <w:szCs w:val="21"/>
        </w:rPr>
        <w:t>0 cm et une pente longitudinale du fond d’au moins 0.5%, afin de garantir un écoulement efficace des eaux pendant la saison des pluies.</w:t>
      </w:r>
    </w:p>
    <w:p w14:paraId="70D58A3B">
      <w:pPr>
        <w:widowControl/>
        <w:spacing w:line="360" w:lineRule="auto"/>
        <w:ind w:firstLine="420"/>
        <w:rPr>
          <w:rFonts w:cs="宋体"/>
          <w:kern w:val="0"/>
          <w:szCs w:val="21"/>
        </w:rPr>
      </w:pPr>
      <w:r>
        <w:rPr>
          <w:rFonts w:cs="宋体"/>
          <w:kern w:val="0"/>
          <w:szCs w:val="21"/>
        </w:rPr>
        <w:t>1.4 Affichage sur le chantier :</w:t>
      </w:r>
    </w:p>
    <w:p w14:paraId="4B24F4FD">
      <w:pPr>
        <w:widowControl/>
        <w:spacing w:line="360" w:lineRule="auto"/>
        <w:ind w:firstLine="420"/>
        <w:rPr>
          <w:rFonts w:cs="宋体"/>
          <w:kern w:val="0"/>
          <w:szCs w:val="21"/>
        </w:rPr>
      </w:pPr>
      <w:r>
        <w:rPr>
          <w:rFonts w:cs="宋体"/>
          <w:kern w:val="0"/>
          <w:szCs w:val="21"/>
        </w:rPr>
        <w:t>Un panneau d’information bilingue (chinois/français) en métal sera installé de manière visible sur le site. Il indiquera clairement le maître d’ouvrage, l’entrepreneur et la date prévisionnelle d’achèvement des travaux.</w:t>
      </w:r>
    </w:p>
    <w:p w14:paraId="63D77BFA">
      <w:pPr>
        <w:widowControl/>
        <w:spacing w:line="360" w:lineRule="auto"/>
        <w:ind w:firstLine="420"/>
        <w:rPr>
          <w:rFonts w:cs="宋体"/>
          <w:kern w:val="0"/>
          <w:szCs w:val="21"/>
        </w:rPr>
      </w:pPr>
      <w:r>
        <w:rPr>
          <w:rFonts w:cs="宋体"/>
          <w:kern w:val="0"/>
          <w:szCs w:val="21"/>
        </w:rPr>
        <w:t>1.5 Suivi des travaux et réception :</w:t>
      </w:r>
    </w:p>
    <w:p w14:paraId="5CBC1F81">
      <w:pPr>
        <w:widowControl/>
        <w:spacing w:line="360" w:lineRule="auto"/>
        <w:ind w:firstLine="420"/>
        <w:rPr>
          <w:rFonts w:cs="宋体"/>
          <w:kern w:val="0"/>
          <w:szCs w:val="21"/>
        </w:rPr>
      </w:pPr>
      <w:r>
        <w:rPr>
          <w:rFonts w:cs="宋体"/>
          <w:kern w:val="0"/>
          <w:szCs w:val="21"/>
        </w:rPr>
        <w:t>L’entrepreneur est chargé de constituer un dossier complet de réception et se charger des formalités de remise officielle de l’ouvrage à la communauté et aux autorités locales.</w:t>
      </w:r>
    </w:p>
    <w:p w14:paraId="3811711B">
      <w:pPr>
        <w:widowControl/>
        <w:spacing w:line="360" w:lineRule="auto"/>
        <w:ind w:firstLine="420"/>
        <w:rPr>
          <w:rFonts w:cs="宋体"/>
          <w:kern w:val="0"/>
          <w:szCs w:val="21"/>
        </w:rPr>
      </w:pPr>
      <w:r>
        <w:rPr>
          <w:rFonts w:hint="eastAsia"/>
          <w:bCs/>
          <w:szCs w:val="21"/>
        </w:rPr>
        <w:t>2.</w:t>
      </w:r>
      <w:r>
        <w:rPr>
          <w:kern w:val="0"/>
          <w:szCs w:val="21"/>
        </w:rPr>
        <w:t xml:space="preserve"> </w:t>
      </w:r>
      <w:r>
        <w:rPr>
          <w:rFonts w:hint="eastAsia"/>
          <w:szCs w:val="21"/>
        </w:rPr>
        <w:t>对孔苏达米足球场</w:t>
      </w:r>
      <w:r>
        <w:rPr>
          <w:rFonts w:hint="eastAsia"/>
          <w:bCs/>
          <w:szCs w:val="21"/>
        </w:rPr>
        <w:t>社区足球场修缮：</w:t>
      </w:r>
      <w:r>
        <w:rPr>
          <w:kern w:val="0"/>
          <w:szCs w:val="21"/>
        </w:rPr>
        <w:t xml:space="preserve"> </w:t>
      </w:r>
    </w:p>
    <w:p w14:paraId="102CD91A">
      <w:pPr>
        <w:widowControl/>
        <w:numPr>
          <w:ilvl w:val="1"/>
          <w:numId w:val="5"/>
        </w:numPr>
        <w:spacing w:line="360" w:lineRule="auto"/>
        <w:ind w:left="0" w:firstLine="420"/>
        <w:rPr>
          <w:rFonts w:cs="宋体"/>
          <w:kern w:val="0"/>
          <w:szCs w:val="21"/>
        </w:rPr>
      </w:pPr>
      <w:r>
        <w:rPr>
          <w:rFonts w:hint="eastAsia"/>
          <w:kern w:val="0"/>
          <w:szCs w:val="21"/>
        </w:rPr>
        <w:t>对</w:t>
      </w:r>
      <w:r>
        <w:rPr>
          <w:rFonts w:hint="eastAsia"/>
          <w:szCs w:val="21"/>
        </w:rPr>
        <w:t>社区的足球场</w:t>
      </w:r>
      <w:r>
        <w:rPr>
          <w:rFonts w:hint="eastAsia"/>
          <w:bCs/>
          <w:szCs w:val="21"/>
        </w:rPr>
        <w:t>进行</w:t>
      </w:r>
      <w:r>
        <w:rPr>
          <w:rFonts w:hint="eastAsia" w:cs="宋体"/>
          <w:kern w:val="0"/>
          <w:szCs w:val="21"/>
        </w:rPr>
        <w:t>作业面清理（即对原有足球场地进行平整、足球场周边的杂草及植被清理）；</w:t>
      </w:r>
    </w:p>
    <w:p w14:paraId="23916814">
      <w:pPr>
        <w:widowControl/>
        <w:numPr>
          <w:ilvl w:val="1"/>
          <w:numId w:val="5"/>
        </w:numPr>
        <w:spacing w:line="360" w:lineRule="auto"/>
        <w:ind w:left="0" w:firstLine="420"/>
        <w:rPr>
          <w:rFonts w:cs="宋体"/>
          <w:kern w:val="0"/>
          <w:szCs w:val="21"/>
        </w:rPr>
      </w:pPr>
      <w:r>
        <w:rPr>
          <w:rFonts w:hint="eastAsia" w:cs="宋体"/>
          <w:kern w:val="0"/>
          <w:szCs w:val="21"/>
        </w:rPr>
        <w:t>使用红土粒料进行摊铺、整平压实，平均厚度</w:t>
      </w:r>
      <w:r>
        <w:rPr>
          <w:rFonts w:hint="eastAsia" w:cs="宋体"/>
          <w:kern w:val="0"/>
          <w:szCs w:val="21"/>
          <w:lang w:val="en-US"/>
        </w:rPr>
        <w:t>10</w:t>
      </w:r>
      <w:r>
        <w:rPr>
          <w:rFonts w:cs="宋体"/>
          <w:kern w:val="0"/>
          <w:szCs w:val="21"/>
        </w:rPr>
        <w:t>cm</w:t>
      </w:r>
      <w:r>
        <w:rPr>
          <w:rFonts w:hint="eastAsia" w:cs="宋体"/>
          <w:kern w:val="0"/>
          <w:szCs w:val="21"/>
        </w:rPr>
        <w:t>；</w:t>
      </w:r>
      <w:r>
        <w:rPr>
          <w:rFonts w:cs="宋体"/>
          <w:kern w:val="0"/>
          <w:szCs w:val="21"/>
        </w:rPr>
        <w:t xml:space="preserve"> </w:t>
      </w:r>
    </w:p>
    <w:p w14:paraId="1C52927F">
      <w:pPr>
        <w:widowControl/>
        <w:numPr>
          <w:ilvl w:val="1"/>
          <w:numId w:val="5"/>
        </w:numPr>
        <w:spacing w:line="360" w:lineRule="auto"/>
        <w:ind w:left="0" w:firstLine="420"/>
        <w:rPr>
          <w:rFonts w:cs="宋体"/>
          <w:kern w:val="0"/>
          <w:szCs w:val="21"/>
        </w:rPr>
      </w:pPr>
      <w:r>
        <w:rPr>
          <w:rFonts w:hint="eastAsia" w:cs="宋体"/>
          <w:kern w:val="0"/>
          <w:szCs w:val="21"/>
        </w:rPr>
        <w:t>根据现场坡度等实际情况在足球场四周设置排水沟或挡水土坡，保证雨季期间足球场内不积水、排水顺畅；</w:t>
      </w:r>
    </w:p>
    <w:p w14:paraId="26CAD3B3">
      <w:pPr>
        <w:widowControl/>
        <w:numPr>
          <w:ilvl w:val="1"/>
          <w:numId w:val="5"/>
        </w:numPr>
        <w:spacing w:line="360" w:lineRule="auto"/>
        <w:ind w:left="0" w:firstLine="420"/>
        <w:rPr>
          <w:rFonts w:cs="宋体"/>
          <w:kern w:val="0"/>
          <w:szCs w:val="21"/>
        </w:rPr>
      </w:pPr>
      <w:r>
        <w:rPr>
          <w:rFonts w:hint="eastAsia" w:cs="宋体"/>
          <w:kern w:val="0"/>
          <w:szCs w:val="21"/>
        </w:rPr>
        <w:t>为每个足球场安装两个钢制球门，并进行刷漆、防腐（材料和施工均由承包人负责）；</w:t>
      </w:r>
    </w:p>
    <w:p w14:paraId="4E285165">
      <w:pPr>
        <w:widowControl/>
        <w:numPr>
          <w:ilvl w:val="1"/>
          <w:numId w:val="5"/>
        </w:numPr>
        <w:spacing w:line="360" w:lineRule="auto"/>
        <w:ind w:left="0" w:firstLine="420"/>
        <w:rPr>
          <w:rFonts w:cs="宋体"/>
          <w:kern w:val="0"/>
          <w:szCs w:val="21"/>
        </w:rPr>
      </w:pPr>
      <w:r>
        <w:rPr>
          <w:rFonts w:hint="eastAsia" w:cs="宋体"/>
          <w:kern w:val="0"/>
          <w:szCs w:val="21"/>
        </w:rPr>
        <w:t>在足球场周边使用砖块砌筑长凳，使用水泥砂浆进行粉刷。</w:t>
      </w:r>
    </w:p>
    <w:p w14:paraId="7BC76196">
      <w:pPr>
        <w:widowControl/>
        <w:numPr>
          <w:ilvl w:val="1"/>
          <w:numId w:val="5"/>
        </w:numPr>
        <w:spacing w:line="360" w:lineRule="auto"/>
        <w:ind w:left="0" w:firstLine="425"/>
        <w:rPr>
          <w:rFonts w:cs="宋体"/>
          <w:kern w:val="0"/>
          <w:szCs w:val="21"/>
        </w:rPr>
      </w:pPr>
      <w:r>
        <w:rPr>
          <w:rFonts w:hint="eastAsia" w:cs="宋体"/>
          <w:kern w:val="0"/>
          <w:szCs w:val="21"/>
        </w:rPr>
        <w:t>在施工现场安装铁质公示牌，明确标明修缮的主体单位、施工单位和完成日期。</w:t>
      </w:r>
    </w:p>
    <w:p w14:paraId="2AF7A5CA">
      <w:pPr>
        <w:widowControl/>
        <w:numPr>
          <w:ilvl w:val="1"/>
          <w:numId w:val="5"/>
        </w:numPr>
        <w:spacing w:line="360" w:lineRule="auto"/>
        <w:ind w:left="0" w:firstLine="425"/>
        <w:rPr>
          <w:rFonts w:cs="宋体"/>
          <w:kern w:val="0"/>
          <w:szCs w:val="21"/>
        </w:rPr>
      </w:pPr>
      <w:bookmarkStart w:id="56" w:name="_Hlk175788507"/>
      <w:r>
        <w:rPr>
          <w:rFonts w:hint="eastAsia"/>
          <w:bCs/>
        </w:rPr>
        <w:t>承包人负责整理过程影像资料，编制社区项目验收资料，负责完成施工工程之后与社区、当地政府的交接和验收资料办理。</w:t>
      </w:r>
    </w:p>
    <w:bookmarkEnd w:id="56"/>
    <w:p w14:paraId="799FF83E">
      <w:pPr>
        <w:widowControl/>
        <w:spacing w:line="360" w:lineRule="auto"/>
        <w:ind w:firstLine="425"/>
        <w:rPr>
          <w:rFonts w:cs="宋体"/>
          <w:kern w:val="0"/>
          <w:szCs w:val="21"/>
        </w:rPr>
      </w:pPr>
      <w:r>
        <w:rPr>
          <w:rFonts w:cs="宋体"/>
          <w:kern w:val="0"/>
          <w:szCs w:val="21"/>
        </w:rPr>
        <w:t>2. Réhabilitation du terrain de football communautaire de Konsatamy :</w:t>
      </w:r>
    </w:p>
    <w:p w14:paraId="090355C4">
      <w:pPr>
        <w:widowControl/>
        <w:spacing w:line="360" w:lineRule="auto"/>
        <w:ind w:firstLine="425"/>
        <w:rPr>
          <w:rFonts w:cs="宋体"/>
          <w:kern w:val="0"/>
          <w:szCs w:val="21"/>
        </w:rPr>
      </w:pPr>
      <w:r>
        <w:rPr>
          <w:rFonts w:cs="宋体"/>
          <w:kern w:val="0"/>
          <w:szCs w:val="21"/>
        </w:rPr>
        <w:t>2.1 Préparation de la surface :</w:t>
      </w:r>
    </w:p>
    <w:p w14:paraId="5FFE01C4">
      <w:pPr>
        <w:widowControl/>
        <w:spacing w:line="360" w:lineRule="auto"/>
        <w:ind w:firstLine="425"/>
        <w:rPr>
          <w:rFonts w:cs="宋体"/>
          <w:kern w:val="0"/>
          <w:szCs w:val="21"/>
        </w:rPr>
      </w:pPr>
      <w:r>
        <w:rPr>
          <w:rFonts w:cs="宋体"/>
          <w:kern w:val="0"/>
          <w:szCs w:val="21"/>
        </w:rPr>
        <w:t>Débarrasser et niveler le terrain existant, et éliminer les mauvaises herbes et la végétation aux abords.</w:t>
      </w:r>
    </w:p>
    <w:p w14:paraId="2E969392">
      <w:pPr>
        <w:widowControl/>
        <w:spacing w:line="360" w:lineRule="auto"/>
        <w:ind w:firstLine="425"/>
        <w:rPr>
          <w:rFonts w:cs="宋体"/>
          <w:kern w:val="0"/>
          <w:szCs w:val="21"/>
        </w:rPr>
      </w:pPr>
      <w:r>
        <w:rPr>
          <w:rFonts w:cs="宋体"/>
          <w:kern w:val="0"/>
          <w:szCs w:val="21"/>
        </w:rPr>
        <w:t>2.2 Réfection de la surface de jeu :</w:t>
      </w:r>
    </w:p>
    <w:p w14:paraId="61A819EF">
      <w:pPr>
        <w:widowControl/>
        <w:spacing w:line="360" w:lineRule="auto"/>
        <w:ind w:firstLine="425"/>
        <w:rPr>
          <w:rFonts w:cs="宋体"/>
          <w:kern w:val="0"/>
          <w:szCs w:val="21"/>
        </w:rPr>
      </w:pPr>
      <w:r>
        <w:rPr>
          <w:rFonts w:cs="宋体"/>
          <w:kern w:val="0"/>
          <w:szCs w:val="21"/>
        </w:rPr>
        <w:t>Répandre, niveler et compacter des granulats latéritiques conformes pour constituer la nouvelle surface</w:t>
      </w:r>
      <w:r>
        <w:rPr>
          <w:rFonts w:hint="eastAsia" w:cs="宋体"/>
          <w:kern w:val="0"/>
          <w:szCs w:val="21"/>
        </w:rPr>
        <w:t>，</w:t>
      </w:r>
      <w:r>
        <w:rPr>
          <w:rFonts w:cs="宋体"/>
          <w:kern w:val="0"/>
          <w:szCs w:val="21"/>
        </w:rPr>
        <w:t xml:space="preserve">avec une épaisseur moyenne de </w:t>
      </w:r>
      <w:r>
        <w:rPr>
          <w:rFonts w:hint="eastAsia" w:cs="宋体"/>
          <w:kern w:val="0"/>
          <w:szCs w:val="21"/>
          <w:lang w:val="en-US"/>
        </w:rPr>
        <w:t>10</w:t>
      </w:r>
      <w:r>
        <w:rPr>
          <w:rFonts w:cs="宋体"/>
          <w:kern w:val="0"/>
          <w:szCs w:val="21"/>
        </w:rPr>
        <w:t xml:space="preserve"> cm.</w:t>
      </w:r>
    </w:p>
    <w:p w14:paraId="08F7D41F">
      <w:pPr>
        <w:widowControl/>
        <w:spacing w:line="360" w:lineRule="auto"/>
        <w:ind w:firstLine="425"/>
        <w:rPr>
          <w:rFonts w:cs="宋体"/>
          <w:kern w:val="0"/>
          <w:szCs w:val="21"/>
        </w:rPr>
      </w:pPr>
      <w:r>
        <w:rPr>
          <w:rFonts w:cs="宋体"/>
          <w:kern w:val="0"/>
          <w:szCs w:val="21"/>
        </w:rPr>
        <w:t>2.3 Aménagement du drainage :</w:t>
      </w:r>
    </w:p>
    <w:p w14:paraId="26916B20">
      <w:pPr>
        <w:widowControl/>
        <w:spacing w:line="360" w:lineRule="auto"/>
        <w:ind w:firstLine="425"/>
        <w:rPr>
          <w:rFonts w:cs="宋体"/>
          <w:kern w:val="0"/>
          <w:szCs w:val="21"/>
        </w:rPr>
      </w:pPr>
      <w:r>
        <w:rPr>
          <w:rFonts w:cs="宋体"/>
          <w:kern w:val="0"/>
          <w:szCs w:val="21"/>
        </w:rPr>
        <w:t>Créer des fossés de drainage ou des bourrelets périphériques en fonction de la topographie, afin d’éviter la stagnation d’eau pendant la saison des pluies et d’assurer un écoulement efficace.</w:t>
      </w:r>
    </w:p>
    <w:p w14:paraId="33C77781">
      <w:pPr>
        <w:widowControl/>
        <w:spacing w:line="360" w:lineRule="auto"/>
        <w:ind w:firstLine="425"/>
        <w:rPr>
          <w:rFonts w:cs="宋体"/>
          <w:kern w:val="0"/>
          <w:szCs w:val="21"/>
        </w:rPr>
      </w:pPr>
      <w:r>
        <w:rPr>
          <w:rFonts w:cs="宋体"/>
          <w:kern w:val="0"/>
          <w:szCs w:val="21"/>
        </w:rPr>
        <w:t>2.4 Installation des buts :</w:t>
      </w:r>
    </w:p>
    <w:p w14:paraId="06405148">
      <w:pPr>
        <w:widowControl/>
        <w:spacing w:line="360" w:lineRule="auto"/>
        <w:ind w:firstLine="425"/>
        <w:rPr>
          <w:rFonts w:cs="宋体"/>
          <w:kern w:val="0"/>
          <w:szCs w:val="21"/>
        </w:rPr>
      </w:pPr>
      <w:r>
        <w:rPr>
          <w:rFonts w:cs="宋体"/>
          <w:kern w:val="0"/>
          <w:szCs w:val="21"/>
        </w:rPr>
        <w:t>Fournir et installer deux buts en acier. Les buts devront être peints et traités contre la corrosion, les matériaux et la mise en œuvre étant intégralement à la charge de l’entrepreneur.</w:t>
      </w:r>
    </w:p>
    <w:p w14:paraId="6C7ADA38">
      <w:pPr>
        <w:widowControl/>
        <w:spacing w:line="360" w:lineRule="auto"/>
        <w:ind w:firstLine="425"/>
        <w:rPr>
          <w:rFonts w:cs="宋体"/>
          <w:kern w:val="0"/>
          <w:szCs w:val="21"/>
        </w:rPr>
      </w:pPr>
      <w:r>
        <w:rPr>
          <w:rFonts w:cs="宋体"/>
          <w:kern w:val="0"/>
          <w:szCs w:val="21"/>
        </w:rPr>
        <w:t>2.5 Construction de bancs :</w:t>
      </w:r>
    </w:p>
    <w:p w14:paraId="401296D9">
      <w:pPr>
        <w:widowControl/>
        <w:spacing w:line="360" w:lineRule="auto"/>
        <w:ind w:firstLine="425"/>
        <w:rPr>
          <w:rFonts w:cs="宋体"/>
          <w:kern w:val="0"/>
          <w:szCs w:val="21"/>
        </w:rPr>
      </w:pPr>
      <w:r>
        <w:rPr>
          <w:rFonts w:hint="eastAsia" w:cs="宋体"/>
          <w:kern w:val="0"/>
          <w:szCs w:val="21"/>
        </w:rPr>
        <w:t>É</w:t>
      </w:r>
      <w:r>
        <w:rPr>
          <w:rFonts w:cs="宋体"/>
          <w:kern w:val="0"/>
          <w:szCs w:val="21"/>
        </w:rPr>
        <w:t>difier des bancs en maçonnerie de briques autour du terrain et les enduire au mortier de ciment.</w:t>
      </w:r>
    </w:p>
    <w:p w14:paraId="2431CA17">
      <w:pPr>
        <w:widowControl/>
        <w:spacing w:line="360" w:lineRule="auto"/>
        <w:ind w:firstLine="425"/>
        <w:rPr>
          <w:rFonts w:cs="宋体"/>
          <w:kern w:val="0"/>
          <w:szCs w:val="21"/>
        </w:rPr>
      </w:pPr>
      <w:r>
        <w:rPr>
          <w:rFonts w:cs="宋体"/>
          <w:kern w:val="0"/>
          <w:szCs w:val="21"/>
        </w:rPr>
        <w:t>2.6 Panneau d’affichage :</w:t>
      </w:r>
    </w:p>
    <w:p w14:paraId="2522A43B">
      <w:pPr>
        <w:widowControl/>
        <w:spacing w:line="360" w:lineRule="auto"/>
        <w:ind w:firstLine="425"/>
        <w:rPr>
          <w:rFonts w:cs="宋体"/>
          <w:kern w:val="0"/>
          <w:szCs w:val="21"/>
        </w:rPr>
      </w:pPr>
      <w:r>
        <w:rPr>
          <w:rFonts w:cs="宋体"/>
          <w:kern w:val="0"/>
          <w:szCs w:val="21"/>
        </w:rPr>
        <w:t>Installer un panneau d’information en métal sur le site, indiquant clairement le Maître d’ouvrage, l’Entrepreneur et la Date prévisionnelle d’achèvement.</w:t>
      </w:r>
    </w:p>
    <w:p w14:paraId="3D033709">
      <w:pPr>
        <w:widowControl/>
        <w:spacing w:line="360" w:lineRule="auto"/>
        <w:ind w:firstLine="425"/>
        <w:rPr>
          <w:rFonts w:cs="宋体"/>
          <w:kern w:val="0"/>
          <w:szCs w:val="21"/>
        </w:rPr>
      </w:pPr>
      <w:r>
        <w:rPr>
          <w:rFonts w:cs="宋体"/>
          <w:kern w:val="0"/>
          <w:szCs w:val="21"/>
        </w:rPr>
        <w:t>2.7 Documentation et réception :</w:t>
      </w:r>
    </w:p>
    <w:p w14:paraId="3F6338AC">
      <w:pPr>
        <w:widowControl/>
        <w:spacing w:line="360" w:lineRule="auto"/>
        <w:ind w:firstLine="425"/>
        <w:rPr>
          <w:kern w:val="0"/>
          <w:szCs w:val="21"/>
        </w:rPr>
      </w:pPr>
      <w:r>
        <w:rPr>
          <w:rFonts w:cs="宋体"/>
          <w:kern w:val="0"/>
          <w:szCs w:val="21"/>
        </w:rPr>
        <w:t>L’entrepreneur est responsable de l’archivage photographique des étapes clés, de la constitution du dossier de réception et de la conduite des procédures de remise officielle aux autorités communautaires et locales.</w:t>
      </w:r>
    </w:p>
    <w:p w14:paraId="5C82079B">
      <w:pPr>
        <w:adjustRightInd w:val="0"/>
        <w:snapToGrid w:val="0"/>
        <w:spacing w:line="360" w:lineRule="auto"/>
        <w:ind w:firstLine="420"/>
        <w:rPr>
          <w:b/>
        </w:rPr>
      </w:pPr>
      <w:r>
        <w:rPr>
          <w:rFonts w:hint="eastAsia"/>
          <w:b/>
          <w:kern w:val="0"/>
          <w:szCs w:val="21"/>
        </w:rPr>
        <w:t>四、工程量清单（图纸）</w:t>
      </w:r>
      <w:r>
        <w:rPr>
          <w:b/>
        </w:rPr>
        <w:t>Devis quantitatifs (Plans)</w:t>
      </w:r>
    </w:p>
    <w:p w14:paraId="036ABF72">
      <w:pPr>
        <w:adjustRightInd w:val="0"/>
        <w:snapToGrid w:val="0"/>
        <w:spacing w:line="360" w:lineRule="auto"/>
        <w:ind w:firstLine="420"/>
        <w:rPr>
          <w:bCs/>
        </w:rPr>
      </w:pPr>
      <w:r>
        <w:rPr>
          <w:bCs/>
        </w:rPr>
        <w:t>工程量清单说明</w:t>
      </w:r>
      <w:r>
        <w:rPr>
          <w:rFonts w:hint="eastAsia"/>
          <w:bCs/>
        </w:rPr>
        <w:t xml:space="preserve"> </w:t>
      </w:r>
      <w:r>
        <w:rPr>
          <w:bCs/>
        </w:rPr>
        <w:t>Description du devis quantitatif</w:t>
      </w:r>
    </w:p>
    <w:p w14:paraId="313F2EBD">
      <w:pPr>
        <w:adjustRightInd w:val="0"/>
        <w:snapToGrid w:val="0"/>
        <w:spacing w:line="360" w:lineRule="auto"/>
        <w:ind w:firstLine="420"/>
        <w:rPr>
          <w:bCs/>
        </w:rPr>
      </w:pPr>
      <w:r>
        <w:rPr>
          <w:bCs/>
        </w:rPr>
        <w:t>本工程量清单应与招标文件中的投标人须知、合同通用条件和专用条件、技术要求及图纸等资料一起阅读和理解。</w:t>
      </w:r>
    </w:p>
    <w:p w14:paraId="5FF0D695">
      <w:pPr>
        <w:adjustRightInd w:val="0"/>
        <w:snapToGrid w:val="0"/>
        <w:spacing w:line="360" w:lineRule="auto"/>
        <w:ind w:firstLine="420"/>
        <w:rPr>
          <w:bCs/>
        </w:rPr>
      </w:pPr>
      <w:r>
        <w:rPr>
          <w:bCs/>
        </w:rPr>
        <w:t>本工程量清单是投标报价的基础，清单合价为本项目的</w:t>
      </w:r>
      <w:r>
        <w:rPr>
          <w:rFonts w:hint="eastAsia"/>
          <w:bCs/>
        </w:rPr>
        <w:t>固定</w:t>
      </w:r>
      <w:r>
        <w:rPr>
          <w:rFonts w:hint="eastAsia"/>
          <w:bCs/>
          <w:lang w:val="en-US"/>
        </w:rPr>
        <w:t>总</w:t>
      </w:r>
      <w:r>
        <w:rPr>
          <w:bCs/>
        </w:rPr>
        <w:t>价，工程价款的支付应遵循合同条款的约定和第六条“承包方式”的有关规定。</w:t>
      </w:r>
    </w:p>
    <w:p w14:paraId="35650EBC">
      <w:pPr>
        <w:adjustRightInd w:val="0"/>
        <w:snapToGrid w:val="0"/>
        <w:spacing w:line="360" w:lineRule="auto"/>
        <w:ind w:firstLine="420"/>
        <w:rPr>
          <w:bCs/>
        </w:rPr>
      </w:pPr>
      <w:r>
        <w:rPr>
          <w:bCs/>
        </w:rPr>
        <w:t>Le présent devis quantitatif doit être lu et compris conjointement avec les informations contenues dans le dossier d’appel d’offres, telles que les Instructions aux soumissionnaires, le Cahier des clauses administratives générales et particulières, les Prescriptions techniques et les Plans.</w:t>
      </w:r>
    </w:p>
    <w:p w14:paraId="00F31EC3">
      <w:pPr>
        <w:adjustRightInd w:val="0"/>
        <w:snapToGrid w:val="0"/>
        <w:spacing w:line="360" w:lineRule="auto"/>
        <w:ind w:firstLine="420"/>
        <w:rPr>
          <w:bCs/>
        </w:rPr>
      </w:pPr>
      <w:r>
        <w:rPr>
          <w:bCs/>
        </w:rPr>
        <w:t xml:space="preserve">Le présent devis quantitatif constitue la base du prix de l’offre, et le prix combiné de la liste est le </w:t>
      </w:r>
      <w:r>
        <w:rPr>
          <w:rFonts w:hint="eastAsia"/>
          <w:bCs/>
        </w:rPr>
        <w:t>prix forfaitaire</w:t>
      </w:r>
      <w:r>
        <w:rPr>
          <w:bCs/>
        </w:rPr>
        <w:t xml:space="preserve"> global fixe du projet, et le paiement du prix du projet doit suivre l’accord sur les termes du contrat et les dispositions pertinentes de l’article 6 « Mode de passation des marchés ».</w:t>
      </w:r>
    </w:p>
    <w:p w14:paraId="09EFD7DD">
      <w:pPr>
        <w:adjustRightInd w:val="0"/>
        <w:snapToGrid w:val="0"/>
        <w:spacing w:line="360" w:lineRule="auto"/>
        <w:ind w:firstLine="420" w:firstLineChars="200"/>
        <w:rPr>
          <w:bCs/>
        </w:rPr>
      </w:pPr>
      <w:r>
        <w:rPr>
          <w:bCs/>
        </w:rPr>
        <w:t>工程量清单</w:t>
      </w:r>
    </w:p>
    <w:p w14:paraId="5138F587">
      <w:pPr>
        <w:adjustRightInd w:val="0"/>
        <w:snapToGrid w:val="0"/>
        <w:spacing w:line="360" w:lineRule="auto"/>
        <w:ind w:firstLine="420" w:firstLineChars="200"/>
        <w:rPr>
          <w:bCs/>
        </w:rPr>
      </w:pPr>
    </w:p>
    <w:p w14:paraId="113022E3">
      <w:pPr>
        <w:adjustRightInd w:val="0"/>
        <w:snapToGrid w:val="0"/>
        <w:spacing w:line="360" w:lineRule="auto"/>
        <w:ind w:firstLine="420" w:firstLineChars="200"/>
        <w:rPr>
          <w:bCs/>
        </w:rPr>
      </w:pPr>
    </w:p>
    <w:tbl>
      <w:tblPr>
        <w:tblStyle w:val="34"/>
        <w:tblW w:w="9423" w:type="dxa"/>
        <w:tblInd w:w="113" w:type="dxa"/>
        <w:tblLayout w:type="fixed"/>
        <w:tblCellMar>
          <w:top w:w="0" w:type="dxa"/>
          <w:left w:w="108" w:type="dxa"/>
          <w:bottom w:w="0" w:type="dxa"/>
          <w:right w:w="108" w:type="dxa"/>
        </w:tblCellMar>
      </w:tblPr>
      <w:tblGrid>
        <w:gridCol w:w="588"/>
        <w:gridCol w:w="1259"/>
        <w:gridCol w:w="3035"/>
        <w:gridCol w:w="894"/>
        <w:gridCol w:w="636"/>
        <w:gridCol w:w="611"/>
        <w:gridCol w:w="930"/>
        <w:gridCol w:w="1470"/>
      </w:tblGrid>
      <w:tr w14:paraId="4F15C949">
        <w:tblPrEx>
          <w:tblCellMar>
            <w:top w:w="0" w:type="dxa"/>
            <w:left w:w="108" w:type="dxa"/>
            <w:bottom w:w="0" w:type="dxa"/>
            <w:right w:w="108" w:type="dxa"/>
          </w:tblCellMar>
        </w:tblPrEx>
        <w:trPr>
          <w:trHeight w:val="453" w:hRule="atLeast"/>
        </w:trPr>
        <w:tc>
          <w:tcPr>
            <w:tcW w:w="9423" w:type="dxa"/>
            <w:gridSpan w:val="8"/>
            <w:tcBorders>
              <w:top w:val="single" w:color="auto" w:sz="4" w:space="0"/>
              <w:left w:val="single" w:color="auto" w:sz="4" w:space="0"/>
              <w:bottom w:val="single" w:color="auto" w:sz="4" w:space="0"/>
              <w:right w:val="single" w:color="000000" w:sz="4" w:space="0"/>
            </w:tcBorders>
            <w:vAlign w:val="center"/>
          </w:tcPr>
          <w:p w14:paraId="7EB70A5F">
            <w:pPr>
              <w:widowControl/>
              <w:jc w:val="center"/>
              <w:rPr>
                <w:rFonts w:eastAsia="等线"/>
                <w:b/>
                <w:bCs/>
                <w:kern w:val="0"/>
                <w:sz w:val="18"/>
                <w:szCs w:val="18"/>
              </w:rPr>
            </w:pPr>
            <w:r>
              <w:rPr>
                <w:rFonts w:eastAsia="等线"/>
                <w:b/>
                <w:bCs/>
                <w:kern w:val="0"/>
                <w:sz w:val="18"/>
                <w:szCs w:val="18"/>
              </w:rPr>
              <w:t>202</w:t>
            </w:r>
            <w:r>
              <w:rPr>
                <w:rFonts w:hint="eastAsia" w:eastAsia="等线"/>
                <w:b/>
                <w:bCs/>
                <w:kern w:val="0"/>
                <w:sz w:val="18"/>
                <w:szCs w:val="18"/>
              </w:rPr>
              <w:t>6</w:t>
            </w:r>
            <w:r>
              <w:rPr>
                <w:rFonts w:hint="eastAsia" w:ascii="宋体" w:hAnsi="宋体"/>
                <w:b/>
                <w:bCs/>
                <w:kern w:val="0"/>
                <w:sz w:val="18"/>
                <w:szCs w:val="18"/>
                <w:lang w:val="en-US"/>
              </w:rPr>
              <w:t>年《支持当地社区发展规划》修缮类项目工程量及报价单</w:t>
            </w:r>
            <w:r>
              <w:rPr>
                <w:rFonts w:hint="eastAsia" w:ascii="宋体" w:hAnsi="宋体"/>
                <w:b/>
                <w:bCs/>
                <w:kern w:val="0"/>
                <w:sz w:val="18"/>
                <w:szCs w:val="18"/>
              </w:rPr>
              <w:br w:type="textWrapping"/>
            </w:r>
            <w:r>
              <w:rPr>
                <w:rFonts w:eastAsia="等线"/>
                <w:b/>
                <w:bCs/>
                <w:kern w:val="0"/>
                <w:sz w:val="18"/>
                <w:szCs w:val="18"/>
              </w:rPr>
              <w:t>Quantités et devis pour les projets de réhabilitation</w:t>
            </w:r>
          </w:p>
        </w:tc>
      </w:tr>
      <w:tr w14:paraId="1E4F18B3">
        <w:tblPrEx>
          <w:tblCellMar>
            <w:top w:w="0" w:type="dxa"/>
            <w:left w:w="108" w:type="dxa"/>
            <w:bottom w:w="0" w:type="dxa"/>
            <w:right w:w="108" w:type="dxa"/>
          </w:tblCellMar>
        </w:tblPrEx>
        <w:trPr>
          <w:trHeight w:val="301" w:hRule="atLeast"/>
        </w:trPr>
        <w:tc>
          <w:tcPr>
            <w:tcW w:w="9423" w:type="dxa"/>
            <w:gridSpan w:val="8"/>
            <w:tcBorders>
              <w:top w:val="single" w:color="auto" w:sz="4" w:space="0"/>
              <w:left w:val="single" w:color="auto" w:sz="4" w:space="0"/>
              <w:bottom w:val="single" w:color="auto" w:sz="4" w:space="0"/>
              <w:right w:val="single" w:color="000000" w:sz="4" w:space="0"/>
            </w:tcBorders>
            <w:shd w:val="clear" w:color="000000" w:fill="DDEBF7"/>
            <w:vAlign w:val="center"/>
          </w:tcPr>
          <w:p w14:paraId="11D7C938">
            <w:pPr>
              <w:widowControl/>
              <w:jc w:val="center"/>
              <w:rPr>
                <w:rFonts w:eastAsia="等线"/>
                <w:b/>
                <w:bCs/>
                <w:kern w:val="0"/>
                <w:sz w:val="18"/>
                <w:szCs w:val="18"/>
              </w:rPr>
            </w:pPr>
            <w:r>
              <w:rPr>
                <w:rFonts w:hint="eastAsia" w:eastAsia="等线"/>
                <w:b/>
                <w:bCs/>
                <w:kern w:val="0"/>
                <w:sz w:val="18"/>
                <w:szCs w:val="18"/>
                <w:lang w:val="en-US"/>
              </w:rPr>
              <w:t>修复项目区域内社区道路</w:t>
            </w:r>
            <w:r>
              <w:rPr>
                <w:rFonts w:eastAsia="等线"/>
                <w:b/>
                <w:bCs/>
                <w:kern w:val="0"/>
                <w:sz w:val="18"/>
                <w:szCs w:val="18"/>
              </w:rPr>
              <w:t xml:space="preserve">Réhabilitations des routes d’accès aux villages dans la zone du projet     </w:t>
            </w:r>
          </w:p>
        </w:tc>
      </w:tr>
      <w:tr w14:paraId="248F6BFA">
        <w:tblPrEx>
          <w:tblCellMar>
            <w:top w:w="0" w:type="dxa"/>
            <w:left w:w="108" w:type="dxa"/>
            <w:bottom w:w="0" w:type="dxa"/>
            <w:right w:w="108" w:type="dxa"/>
          </w:tblCellMar>
        </w:tblPrEx>
        <w:trPr>
          <w:trHeight w:val="384" w:hRule="atLeast"/>
        </w:trPr>
        <w:tc>
          <w:tcPr>
            <w:tcW w:w="588" w:type="dxa"/>
            <w:tcBorders>
              <w:top w:val="nil"/>
              <w:left w:val="single" w:color="auto" w:sz="4" w:space="0"/>
              <w:bottom w:val="single" w:color="auto" w:sz="4" w:space="0"/>
              <w:right w:val="single" w:color="auto" w:sz="4" w:space="0"/>
            </w:tcBorders>
            <w:vAlign w:val="center"/>
          </w:tcPr>
          <w:p w14:paraId="5B735D13">
            <w:pPr>
              <w:widowControl/>
              <w:jc w:val="center"/>
              <w:rPr>
                <w:rFonts w:ascii="宋体" w:hAnsi="宋体" w:cs="宋体"/>
                <w:b/>
                <w:bCs/>
                <w:kern w:val="0"/>
                <w:sz w:val="18"/>
                <w:szCs w:val="18"/>
                <w:lang w:val="en-US"/>
              </w:rPr>
            </w:pPr>
            <w:r>
              <w:rPr>
                <w:rFonts w:hint="eastAsia" w:ascii="宋体" w:hAnsi="宋体" w:cs="宋体"/>
                <w:b/>
                <w:bCs/>
                <w:kern w:val="0"/>
                <w:sz w:val="18"/>
                <w:szCs w:val="18"/>
                <w:lang w:val="en-US"/>
              </w:rPr>
              <w:t>序号</w:t>
            </w:r>
          </w:p>
        </w:tc>
        <w:tc>
          <w:tcPr>
            <w:tcW w:w="1259" w:type="dxa"/>
            <w:tcBorders>
              <w:top w:val="nil"/>
              <w:left w:val="nil"/>
              <w:bottom w:val="single" w:color="auto" w:sz="4" w:space="0"/>
              <w:right w:val="single" w:color="auto" w:sz="4" w:space="0"/>
            </w:tcBorders>
            <w:vAlign w:val="center"/>
          </w:tcPr>
          <w:p w14:paraId="73C677C4">
            <w:pPr>
              <w:widowControl/>
              <w:jc w:val="center"/>
              <w:rPr>
                <w:rFonts w:ascii="宋体" w:hAnsi="宋体" w:cs="宋体"/>
                <w:b/>
                <w:bCs/>
                <w:kern w:val="0"/>
                <w:sz w:val="18"/>
                <w:szCs w:val="18"/>
                <w:lang w:val="en-US"/>
              </w:rPr>
            </w:pPr>
            <w:r>
              <w:rPr>
                <w:rFonts w:hint="eastAsia" w:ascii="宋体" w:hAnsi="宋体" w:cs="宋体"/>
                <w:b/>
                <w:bCs/>
                <w:kern w:val="0"/>
                <w:sz w:val="18"/>
                <w:szCs w:val="18"/>
                <w:lang w:val="en-US"/>
              </w:rPr>
              <w:t>项目名称</w:t>
            </w:r>
          </w:p>
        </w:tc>
        <w:tc>
          <w:tcPr>
            <w:tcW w:w="3035" w:type="dxa"/>
            <w:vMerge w:val="restart"/>
            <w:tcBorders>
              <w:top w:val="nil"/>
              <w:left w:val="single" w:color="auto" w:sz="4" w:space="0"/>
              <w:bottom w:val="single" w:color="auto" w:sz="4" w:space="0"/>
              <w:right w:val="single" w:color="auto" w:sz="4" w:space="0"/>
            </w:tcBorders>
            <w:vAlign w:val="center"/>
          </w:tcPr>
          <w:p w14:paraId="1FEDA08D">
            <w:pPr>
              <w:widowControl/>
              <w:jc w:val="left"/>
              <w:rPr>
                <w:rFonts w:eastAsia="等线"/>
                <w:b/>
                <w:bCs/>
                <w:kern w:val="0"/>
                <w:sz w:val="18"/>
                <w:szCs w:val="18"/>
                <w:lang w:val="en-US"/>
              </w:rPr>
            </w:pPr>
            <w:r>
              <w:rPr>
                <w:rFonts w:hint="eastAsia" w:ascii="宋体" w:hAnsi="宋体"/>
                <w:b/>
                <w:bCs/>
                <w:kern w:val="0"/>
                <w:sz w:val="18"/>
                <w:szCs w:val="18"/>
                <w:lang w:val="en-US"/>
              </w:rPr>
              <w:t>工作内容</w:t>
            </w:r>
            <w:r>
              <w:rPr>
                <w:rFonts w:eastAsia="等线"/>
                <w:b/>
                <w:bCs/>
                <w:kern w:val="0"/>
                <w:sz w:val="18"/>
                <w:szCs w:val="18"/>
                <w:lang w:val="en-US"/>
              </w:rPr>
              <w:t xml:space="preserve">    Travaux spécifiques</w:t>
            </w:r>
          </w:p>
        </w:tc>
        <w:tc>
          <w:tcPr>
            <w:tcW w:w="894" w:type="dxa"/>
            <w:tcBorders>
              <w:top w:val="nil"/>
              <w:left w:val="nil"/>
              <w:bottom w:val="single" w:color="auto" w:sz="4" w:space="0"/>
              <w:right w:val="single" w:color="auto" w:sz="4" w:space="0"/>
            </w:tcBorders>
            <w:vAlign w:val="center"/>
          </w:tcPr>
          <w:p w14:paraId="7A350EEC">
            <w:pPr>
              <w:widowControl/>
              <w:jc w:val="center"/>
              <w:rPr>
                <w:rFonts w:ascii="宋体" w:hAnsi="宋体" w:cs="宋体"/>
                <w:b/>
                <w:bCs/>
                <w:kern w:val="0"/>
                <w:sz w:val="18"/>
                <w:szCs w:val="18"/>
                <w:lang w:val="en-US"/>
              </w:rPr>
            </w:pPr>
            <w:r>
              <w:rPr>
                <w:rFonts w:hint="eastAsia" w:ascii="宋体" w:hAnsi="宋体" w:cs="宋体"/>
                <w:b/>
                <w:bCs/>
                <w:kern w:val="0"/>
                <w:sz w:val="18"/>
                <w:szCs w:val="18"/>
                <w:lang w:val="en-US"/>
              </w:rPr>
              <w:t>工程量</w:t>
            </w:r>
          </w:p>
        </w:tc>
        <w:tc>
          <w:tcPr>
            <w:tcW w:w="636" w:type="dxa"/>
            <w:tcBorders>
              <w:top w:val="nil"/>
              <w:left w:val="nil"/>
              <w:bottom w:val="single" w:color="auto" w:sz="4" w:space="0"/>
              <w:right w:val="single" w:color="auto" w:sz="4" w:space="0"/>
            </w:tcBorders>
            <w:vAlign w:val="center"/>
          </w:tcPr>
          <w:p w14:paraId="608A5B6F">
            <w:pPr>
              <w:widowControl/>
              <w:jc w:val="center"/>
              <w:rPr>
                <w:rFonts w:ascii="宋体" w:hAnsi="宋体" w:cs="宋体"/>
                <w:b/>
                <w:bCs/>
                <w:kern w:val="0"/>
                <w:sz w:val="18"/>
                <w:szCs w:val="18"/>
                <w:lang w:val="en-US"/>
              </w:rPr>
            </w:pPr>
            <w:r>
              <w:rPr>
                <w:rFonts w:hint="eastAsia" w:ascii="宋体" w:hAnsi="宋体" w:cs="宋体"/>
                <w:b/>
                <w:bCs/>
                <w:kern w:val="0"/>
                <w:sz w:val="18"/>
                <w:szCs w:val="18"/>
                <w:lang w:val="en-US"/>
              </w:rPr>
              <w:t>单位</w:t>
            </w:r>
          </w:p>
        </w:tc>
        <w:tc>
          <w:tcPr>
            <w:tcW w:w="611" w:type="dxa"/>
            <w:tcBorders>
              <w:top w:val="nil"/>
              <w:left w:val="nil"/>
              <w:bottom w:val="single" w:color="auto" w:sz="4" w:space="0"/>
              <w:right w:val="single" w:color="auto" w:sz="4" w:space="0"/>
            </w:tcBorders>
            <w:vAlign w:val="center"/>
          </w:tcPr>
          <w:p w14:paraId="36E29A26">
            <w:pPr>
              <w:widowControl/>
              <w:jc w:val="center"/>
              <w:rPr>
                <w:rFonts w:ascii="宋体" w:hAnsi="宋体" w:cs="宋体"/>
                <w:b/>
                <w:bCs/>
                <w:kern w:val="0"/>
                <w:sz w:val="18"/>
                <w:szCs w:val="18"/>
                <w:lang w:val="en-US"/>
              </w:rPr>
            </w:pPr>
            <w:r>
              <w:rPr>
                <w:rFonts w:hint="eastAsia" w:ascii="宋体" w:hAnsi="宋体" w:cs="宋体"/>
                <w:b/>
                <w:bCs/>
                <w:kern w:val="0"/>
                <w:sz w:val="18"/>
                <w:szCs w:val="18"/>
                <w:lang w:val="en-US"/>
              </w:rPr>
              <w:t>单价</w:t>
            </w:r>
          </w:p>
        </w:tc>
        <w:tc>
          <w:tcPr>
            <w:tcW w:w="930" w:type="dxa"/>
            <w:tcBorders>
              <w:top w:val="nil"/>
              <w:left w:val="nil"/>
              <w:bottom w:val="single" w:color="auto" w:sz="4" w:space="0"/>
              <w:right w:val="single" w:color="auto" w:sz="4" w:space="0"/>
            </w:tcBorders>
            <w:vAlign w:val="center"/>
          </w:tcPr>
          <w:p w14:paraId="2E408211">
            <w:pPr>
              <w:widowControl/>
              <w:jc w:val="center"/>
              <w:rPr>
                <w:rFonts w:ascii="宋体" w:hAnsi="宋体" w:cs="宋体"/>
                <w:b/>
                <w:bCs/>
                <w:kern w:val="0"/>
                <w:sz w:val="18"/>
                <w:szCs w:val="18"/>
                <w:lang w:val="en-US"/>
              </w:rPr>
            </w:pPr>
            <w:r>
              <w:rPr>
                <w:rFonts w:hint="eastAsia" w:ascii="宋体" w:hAnsi="宋体" w:cs="宋体"/>
                <w:b/>
                <w:bCs/>
                <w:kern w:val="0"/>
                <w:sz w:val="18"/>
                <w:szCs w:val="18"/>
                <w:lang w:val="en-US"/>
              </w:rPr>
              <w:t>合价</w:t>
            </w:r>
          </w:p>
        </w:tc>
        <w:tc>
          <w:tcPr>
            <w:tcW w:w="1470" w:type="dxa"/>
            <w:tcBorders>
              <w:top w:val="nil"/>
              <w:left w:val="nil"/>
              <w:bottom w:val="single" w:color="auto" w:sz="4" w:space="0"/>
              <w:right w:val="single" w:color="auto" w:sz="4" w:space="0"/>
            </w:tcBorders>
            <w:vAlign w:val="center"/>
          </w:tcPr>
          <w:p w14:paraId="7BCA8CFB">
            <w:pPr>
              <w:widowControl/>
              <w:jc w:val="center"/>
              <w:rPr>
                <w:rFonts w:ascii="宋体" w:hAnsi="宋体" w:cs="宋体"/>
                <w:b/>
                <w:bCs/>
                <w:kern w:val="0"/>
                <w:sz w:val="18"/>
                <w:szCs w:val="18"/>
                <w:lang w:val="en-US"/>
              </w:rPr>
            </w:pPr>
            <w:r>
              <w:rPr>
                <w:rFonts w:hint="eastAsia" w:ascii="宋体" w:hAnsi="宋体" w:cs="宋体"/>
                <w:b/>
                <w:bCs/>
                <w:kern w:val="0"/>
                <w:sz w:val="18"/>
                <w:szCs w:val="18"/>
                <w:lang w:val="en-US"/>
              </w:rPr>
              <w:t>备注</w:t>
            </w:r>
          </w:p>
        </w:tc>
      </w:tr>
      <w:tr w14:paraId="721068EA">
        <w:tblPrEx>
          <w:tblCellMar>
            <w:top w:w="0" w:type="dxa"/>
            <w:left w:w="108" w:type="dxa"/>
            <w:bottom w:w="0" w:type="dxa"/>
            <w:right w:w="108" w:type="dxa"/>
          </w:tblCellMar>
        </w:tblPrEx>
        <w:trPr>
          <w:trHeight w:val="323" w:hRule="atLeast"/>
        </w:trPr>
        <w:tc>
          <w:tcPr>
            <w:tcW w:w="588" w:type="dxa"/>
            <w:tcBorders>
              <w:top w:val="nil"/>
              <w:left w:val="single" w:color="auto" w:sz="4" w:space="0"/>
              <w:bottom w:val="single" w:color="auto" w:sz="4" w:space="0"/>
              <w:right w:val="single" w:color="auto" w:sz="4" w:space="0"/>
            </w:tcBorders>
            <w:vAlign w:val="center"/>
          </w:tcPr>
          <w:p w14:paraId="2D2E13CA">
            <w:pPr>
              <w:widowControl/>
              <w:jc w:val="center"/>
              <w:rPr>
                <w:rFonts w:eastAsia="等线"/>
                <w:b/>
                <w:bCs/>
                <w:kern w:val="0"/>
                <w:sz w:val="18"/>
                <w:szCs w:val="18"/>
                <w:lang w:val="en-US"/>
              </w:rPr>
            </w:pPr>
            <w:r>
              <w:rPr>
                <w:rFonts w:eastAsia="等线"/>
                <w:b/>
                <w:bCs/>
                <w:kern w:val="0"/>
                <w:sz w:val="18"/>
                <w:szCs w:val="18"/>
                <w:lang w:val="en-US"/>
              </w:rPr>
              <w:t>N</w:t>
            </w:r>
            <w:r>
              <w:rPr>
                <w:rFonts w:hint="eastAsia" w:ascii="宋体" w:hAnsi="宋体"/>
                <w:b/>
                <w:bCs/>
                <w:kern w:val="0"/>
                <w:sz w:val="18"/>
                <w:szCs w:val="18"/>
                <w:lang w:val="en-US"/>
              </w:rPr>
              <w:t>°</w:t>
            </w:r>
          </w:p>
        </w:tc>
        <w:tc>
          <w:tcPr>
            <w:tcW w:w="1259" w:type="dxa"/>
            <w:tcBorders>
              <w:top w:val="nil"/>
              <w:left w:val="nil"/>
              <w:bottom w:val="single" w:color="auto" w:sz="4" w:space="0"/>
              <w:right w:val="single" w:color="auto" w:sz="4" w:space="0"/>
            </w:tcBorders>
            <w:vAlign w:val="center"/>
          </w:tcPr>
          <w:p w14:paraId="5BB9E82D">
            <w:pPr>
              <w:widowControl/>
              <w:jc w:val="center"/>
              <w:rPr>
                <w:rFonts w:eastAsia="等线"/>
                <w:b/>
                <w:bCs/>
                <w:kern w:val="0"/>
                <w:sz w:val="18"/>
                <w:szCs w:val="18"/>
                <w:lang w:val="en-US"/>
              </w:rPr>
            </w:pPr>
            <w:r>
              <w:rPr>
                <w:rFonts w:eastAsia="等线"/>
                <w:b/>
                <w:bCs/>
                <w:kern w:val="0"/>
                <w:sz w:val="18"/>
                <w:szCs w:val="18"/>
                <w:lang w:val="en-US"/>
              </w:rPr>
              <w:t>Nom du travail</w:t>
            </w:r>
          </w:p>
        </w:tc>
        <w:tc>
          <w:tcPr>
            <w:tcW w:w="3035" w:type="dxa"/>
            <w:vMerge w:val="continue"/>
            <w:tcBorders>
              <w:top w:val="nil"/>
              <w:left w:val="single" w:color="auto" w:sz="4" w:space="0"/>
              <w:bottom w:val="single" w:color="auto" w:sz="4" w:space="0"/>
              <w:right w:val="single" w:color="auto" w:sz="4" w:space="0"/>
            </w:tcBorders>
            <w:vAlign w:val="center"/>
          </w:tcPr>
          <w:p w14:paraId="060CDE3E">
            <w:pPr>
              <w:widowControl/>
              <w:jc w:val="left"/>
              <w:rPr>
                <w:rFonts w:eastAsia="等线"/>
                <w:b/>
                <w:bCs/>
                <w:kern w:val="0"/>
                <w:sz w:val="18"/>
                <w:szCs w:val="18"/>
                <w:lang w:val="en-US"/>
              </w:rPr>
            </w:pPr>
          </w:p>
        </w:tc>
        <w:tc>
          <w:tcPr>
            <w:tcW w:w="894" w:type="dxa"/>
            <w:tcBorders>
              <w:top w:val="nil"/>
              <w:left w:val="nil"/>
              <w:bottom w:val="single" w:color="auto" w:sz="4" w:space="0"/>
              <w:right w:val="single" w:color="auto" w:sz="4" w:space="0"/>
            </w:tcBorders>
            <w:vAlign w:val="center"/>
          </w:tcPr>
          <w:p w14:paraId="36B6A679">
            <w:pPr>
              <w:widowControl/>
              <w:jc w:val="center"/>
              <w:rPr>
                <w:rFonts w:eastAsia="等线"/>
                <w:b/>
                <w:bCs/>
                <w:kern w:val="0"/>
                <w:sz w:val="18"/>
                <w:szCs w:val="18"/>
                <w:lang w:val="en-US"/>
              </w:rPr>
            </w:pPr>
            <w:r>
              <w:rPr>
                <w:rFonts w:hint="eastAsia" w:eastAsia="等线"/>
                <w:b/>
                <w:bCs/>
                <w:kern w:val="0"/>
                <w:sz w:val="18"/>
                <w:szCs w:val="18"/>
                <w:lang w:val="en-US"/>
              </w:rPr>
              <w:t>V</w:t>
            </w:r>
            <w:r>
              <w:rPr>
                <w:rFonts w:eastAsia="等线"/>
                <w:b/>
                <w:bCs/>
                <w:kern w:val="0"/>
                <w:sz w:val="18"/>
                <w:szCs w:val="18"/>
                <w:lang w:val="en-US"/>
              </w:rPr>
              <w:t>olumes</w:t>
            </w:r>
          </w:p>
        </w:tc>
        <w:tc>
          <w:tcPr>
            <w:tcW w:w="636" w:type="dxa"/>
            <w:tcBorders>
              <w:top w:val="nil"/>
              <w:left w:val="nil"/>
              <w:bottom w:val="single" w:color="auto" w:sz="4" w:space="0"/>
              <w:right w:val="single" w:color="auto" w:sz="4" w:space="0"/>
            </w:tcBorders>
            <w:vAlign w:val="center"/>
          </w:tcPr>
          <w:p w14:paraId="181D4168">
            <w:pPr>
              <w:widowControl/>
              <w:jc w:val="center"/>
              <w:rPr>
                <w:rFonts w:eastAsia="等线"/>
                <w:b/>
                <w:bCs/>
                <w:kern w:val="0"/>
                <w:sz w:val="18"/>
                <w:szCs w:val="18"/>
                <w:lang w:val="en-US"/>
              </w:rPr>
            </w:pPr>
            <w:r>
              <w:rPr>
                <w:rFonts w:hint="eastAsia" w:eastAsia="等线"/>
                <w:b/>
                <w:bCs/>
                <w:kern w:val="0"/>
                <w:sz w:val="18"/>
                <w:szCs w:val="18"/>
                <w:lang w:val="en-US"/>
              </w:rPr>
              <w:t>U</w:t>
            </w:r>
            <w:r>
              <w:rPr>
                <w:rFonts w:eastAsia="等线"/>
                <w:b/>
                <w:bCs/>
                <w:kern w:val="0"/>
                <w:sz w:val="18"/>
                <w:szCs w:val="18"/>
                <w:lang w:val="en-US"/>
              </w:rPr>
              <w:t>nité</w:t>
            </w:r>
          </w:p>
        </w:tc>
        <w:tc>
          <w:tcPr>
            <w:tcW w:w="611" w:type="dxa"/>
            <w:tcBorders>
              <w:top w:val="nil"/>
              <w:left w:val="nil"/>
              <w:bottom w:val="single" w:color="auto" w:sz="4" w:space="0"/>
              <w:right w:val="single" w:color="auto" w:sz="4" w:space="0"/>
            </w:tcBorders>
            <w:vAlign w:val="center"/>
          </w:tcPr>
          <w:p w14:paraId="3562F744">
            <w:pPr>
              <w:widowControl/>
              <w:rPr>
                <w:rFonts w:eastAsia="等线"/>
                <w:b/>
                <w:bCs/>
                <w:kern w:val="0"/>
                <w:sz w:val="18"/>
                <w:szCs w:val="18"/>
                <w:lang w:val="en-US"/>
              </w:rPr>
            </w:pPr>
            <w:r>
              <w:rPr>
                <w:rFonts w:hint="eastAsia" w:eastAsia="等线"/>
                <w:b/>
                <w:bCs/>
                <w:kern w:val="0"/>
                <w:sz w:val="18"/>
                <w:szCs w:val="18"/>
                <w:lang w:val="en-US"/>
              </w:rPr>
              <w:t>P</w:t>
            </w:r>
            <w:r>
              <w:rPr>
                <w:rFonts w:eastAsia="等线"/>
                <w:b/>
                <w:bCs/>
                <w:kern w:val="0"/>
                <w:sz w:val="18"/>
                <w:szCs w:val="18"/>
                <w:lang w:val="en-US"/>
              </w:rPr>
              <w:t>rix</w:t>
            </w:r>
          </w:p>
        </w:tc>
        <w:tc>
          <w:tcPr>
            <w:tcW w:w="930" w:type="dxa"/>
            <w:tcBorders>
              <w:top w:val="nil"/>
              <w:left w:val="nil"/>
              <w:bottom w:val="single" w:color="auto" w:sz="4" w:space="0"/>
              <w:right w:val="single" w:color="auto" w:sz="4" w:space="0"/>
            </w:tcBorders>
            <w:vAlign w:val="center"/>
          </w:tcPr>
          <w:p w14:paraId="30B4C64B">
            <w:pPr>
              <w:widowControl/>
              <w:rPr>
                <w:rFonts w:eastAsia="等线"/>
                <w:b/>
                <w:bCs/>
                <w:kern w:val="0"/>
                <w:sz w:val="18"/>
                <w:szCs w:val="18"/>
                <w:lang w:val="en-US"/>
              </w:rPr>
            </w:pPr>
            <w:r>
              <w:rPr>
                <w:rFonts w:eastAsia="等线"/>
                <w:b/>
                <w:bCs/>
                <w:kern w:val="0"/>
                <w:sz w:val="18"/>
                <w:szCs w:val="18"/>
                <w:lang w:val="en-US"/>
              </w:rPr>
              <w:t>Montant</w:t>
            </w:r>
          </w:p>
        </w:tc>
        <w:tc>
          <w:tcPr>
            <w:tcW w:w="1470" w:type="dxa"/>
            <w:tcBorders>
              <w:top w:val="nil"/>
              <w:left w:val="nil"/>
              <w:bottom w:val="single" w:color="auto" w:sz="4" w:space="0"/>
              <w:right w:val="single" w:color="auto" w:sz="4" w:space="0"/>
            </w:tcBorders>
            <w:vAlign w:val="center"/>
          </w:tcPr>
          <w:p w14:paraId="2227F5E0">
            <w:pPr>
              <w:widowControl/>
              <w:jc w:val="center"/>
              <w:rPr>
                <w:rFonts w:eastAsia="等线"/>
                <w:b/>
                <w:bCs/>
                <w:kern w:val="0"/>
                <w:sz w:val="18"/>
                <w:szCs w:val="18"/>
                <w:lang w:val="en-US"/>
              </w:rPr>
            </w:pPr>
            <w:r>
              <w:rPr>
                <w:rStyle w:val="37"/>
                <w:rFonts w:ascii="Segoe UI" w:hAnsi="Segoe UI" w:eastAsia="Segoe UI" w:cs="Segoe UI"/>
                <w:sz w:val="16"/>
                <w:szCs w:val="16"/>
                <w:shd w:val="clear" w:color="auto" w:fill="FFFFFF"/>
              </w:rPr>
              <w:t>Notes</w:t>
            </w:r>
          </w:p>
        </w:tc>
      </w:tr>
      <w:tr w14:paraId="0CB60EA6">
        <w:tblPrEx>
          <w:tblCellMar>
            <w:top w:w="0" w:type="dxa"/>
            <w:left w:w="108" w:type="dxa"/>
            <w:bottom w:w="0" w:type="dxa"/>
            <w:right w:w="108" w:type="dxa"/>
          </w:tblCellMar>
        </w:tblPrEx>
        <w:trPr>
          <w:trHeight w:val="1237" w:hRule="atLeast"/>
        </w:trPr>
        <w:tc>
          <w:tcPr>
            <w:tcW w:w="588" w:type="dxa"/>
            <w:vMerge w:val="restart"/>
            <w:tcBorders>
              <w:top w:val="nil"/>
              <w:left w:val="single" w:color="auto" w:sz="4" w:space="0"/>
              <w:right w:val="single" w:color="auto" w:sz="4" w:space="0"/>
            </w:tcBorders>
            <w:vAlign w:val="center"/>
          </w:tcPr>
          <w:p w14:paraId="7A95D157">
            <w:pPr>
              <w:widowControl/>
              <w:jc w:val="center"/>
              <w:rPr>
                <w:rFonts w:eastAsia="等线"/>
                <w:kern w:val="0"/>
                <w:sz w:val="18"/>
                <w:szCs w:val="18"/>
                <w:lang w:val="en-US"/>
              </w:rPr>
            </w:pPr>
            <w:r>
              <w:rPr>
                <w:rFonts w:hint="eastAsia" w:eastAsia="等线"/>
                <w:kern w:val="0"/>
                <w:sz w:val="18"/>
                <w:szCs w:val="18"/>
                <w:lang w:val="en-US"/>
              </w:rPr>
              <w:t>1</w:t>
            </w:r>
          </w:p>
        </w:tc>
        <w:tc>
          <w:tcPr>
            <w:tcW w:w="1259" w:type="dxa"/>
            <w:vMerge w:val="restart"/>
            <w:tcBorders>
              <w:top w:val="nil"/>
              <w:left w:val="single" w:color="auto" w:sz="4" w:space="0"/>
              <w:right w:val="single" w:color="auto" w:sz="4" w:space="0"/>
            </w:tcBorders>
            <w:vAlign w:val="center"/>
          </w:tcPr>
          <w:p w14:paraId="608CEC04">
            <w:pPr>
              <w:widowControl/>
              <w:jc w:val="center"/>
              <w:rPr>
                <w:szCs w:val="21"/>
              </w:rPr>
            </w:pPr>
            <w:r>
              <w:rPr>
                <w:rFonts w:eastAsia="等线"/>
                <w:kern w:val="0"/>
                <w:sz w:val="18"/>
                <w:szCs w:val="18"/>
              </w:rPr>
              <w:t>Thimmewi - Konsatamy Centre</w:t>
            </w:r>
            <w:r>
              <w:rPr>
                <w:rFonts w:hint="eastAsia"/>
                <w:szCs w:val="21"/>
              </w:rPr>
              <w:t>专区政府道路修复</w:t>
            </w:r>
          </w:p>
          <w:p w14:paraId="19474792">
            <w:pPr>
              <w:widowControl/>
              <w:jc w:val="center"/>
              <w:rPr>
                <w:rFonts w:eastAsia="等线"/>
                <w:b/>
                <w:bCs/>
                <w:kern w:val="0"/>
                <w:sz w:val="18"/>
                <w:szCs w:val="18"/>
                <w:lang w:val="en-US"/>
              </w:rPr>
            </w:pPr>
            <w:r>
              <w:rPr>
                <w:rFonts w:eastAsia="等线"/>
                <w:kern w:val="0"/>
                <w:sz w:val="18"/>
                <w:szCs w:val="18"/>
                <w:lang w:val="en-US"/>
              </w:rPr>
              <w:t>Réhabilitation de la route de la préfecture Thimmewi - Konsatamy Centre</w:t>
            </w:r>
          </w:p>
        </w:tc>
        <w:tc>
          <w:tcPr>
            <w:tcW w:w="3035" w:type="dxa"/>
            <w:tcBorders>
              <w:top w:val="nil"/>
              <w:left w:val="nil"/>
              <w:bottom w:val="single" w:color="auto" w:sz="4" w:space="0"/>
              <w:right w:val="single" w:color="auto" w:sz="4" w:space="0"/>
            </w:tcBorders>
            <w:vAlign w:val="center"/>
          </w:tcPr>
          <w:p w14:paraId="5E917804">
            <w:pPr>
              <w:widowControl/>
              <w:jc w:val="left"/>
              <w:rPr>
                <w:rFonts w:eastAsia="等线"/>
                <w:kern w:val="0"/>
                <w:sz w:val="18"/>
                <w:szCs w:val="18"/>
                <w:lang w:val="en-US"/>
              </w:rPr>
            </w:pPr>
            <w:r>
              <w:rPr>
                <w:rFonts w:hint="eastAsia" w:ascii="宋体" w:hAnsi="宋体"/>
                <w:kern w:val="0"/>
                <w:sz w:val="18"/>
                <w:szCs w:val="18"/>
                <w:lang w:val="en-US"/>
              </w:rPr>
              <w:t>基层作业面清理（对原有路面进行平整、作业面两侧的杂草、及植被清理）</w:t>
            </w:r>
            <w:r>
              <w:rPr>
                <w:rFonts w:hint="eastAsia" w:ascii="宋体" w:hAnsi="宋体"/>
                <w:kern w:val="0"/>
                <w:sz w:val="18"/>
                <w:szCs w:val="18"/>
                <w:lang w:val="en-US"/>
              </w:rPr>
              <w:br w:type="textWrapping"/>
            </w:r>
            <w:r>
              <w:rPr>
                <w:rFonts w:eastAsia="等线"/>
                <w:kern w:val="0"/>
                <w:sz w:val="18"/>
                <w:szCs w:val="18"/>
                <w:lang w:val="en-US"/>
              </w:rPr>
              <w:t>Nivelage de la surface initiale de la route, enlèvement des mauvaises herbes et de la végétation de part et d’autre de la surface de travail.</w:t>
            </w:r>
          </w:p>
        </w:tc>
        <w:tc>
          <w:tcPr>
            <w:tcW w:w="894" w:type="dxa"/>
            <w:tcBorders>
              <w:top w:val="nil"/>
              <w:left w:val="nil"/>
              <w:bottom w:val="single" w:color="auto" w:sz="4" w:space="0"/>
              <w:right w:val="single" w:color="auto" w:sz="4" w:space="0"/>
            </w:tcBorders>
            <w:vAlign w:val="center"/>
          </w:tcPr>
          <w:p w14:paraId="0DB61257">
            <w:pPr>
              <w:widowControl/>
              <w:jc w:val="center"/>
              <w:rPr>
                <w:rFonts w:eastAsia="等线"/>
                <w:kern w:val="0"/>
                <w:sz w:val="18"/>
                <w:szCs w:val="18"/>
                <w:lang w:val="en-US"/>
              </w:rPr>
            </w:pPr>
            <w:r>
              <w:rPr>
                <w:rFonts w:hint="eastAsia" w:eastAsia="等线"/>
                <w:kern w:val="0"/>
                <w:sz w:val="18"/>
                <w:szCs w:val="18"/>
                <w:lang w:val="en-US"/>
              </w:rPr>
              <w:t>12500</w:t>
            </w:r>
          </w:p>
        </w:tc>
        <w:tc>
          <w:tcPr>
            <w:tcW w:w="636" w:type="dxa"/>
            <w:tcBorders>
              <w:top w:val="nil"/>
              <w:left w:val="nil"/>
              <w:bottom w:val="single" w:color="auto" w:sz="4" w:space="0"/>
              <w:right w:val="single" w:color="auto" w:sz="4" w:space="0"/>
            </w:tcBorders>
            <w:vAlign w:val="center"/>
          </w:tcPr>
          <w:p w14:paraId="1CEA41C4">
            <w:pPr>
              <w:widowControl/>
              <w:jc w:val="center"/>
              <w:rPr>
                <w:rFonts w:ascii="宋体" w:hAnsi="宋体" w:cs="宋体"/>
                <w:kern w:val="0"/>
                <w:sz w:val="20"/>
                <w:lang w:val="en-US"/>
              </w:rPr>
            </w:pPr>
            <w:r>
              <w:rPr>
                <w:rFonts w:hint="eastAsia" w:eastAsia="等线"/>
                <w:kern w:val="0"/>
                <w:sz w:val="18"/>
                <w:szCs w:val="18"/>
                <w:lang w:val="en-US"/>
              </w:rPr>
              <w:t>m</w:t>
            </w:r>
          </w:p>
        </w:tc>
        <w:tc>
          <w:tcPr>
            <w:tcW w:w="611" w:type="dxa"/>
            <w:tcBorders>
              <w:top w:val="nil"/>
              <w:left w:val="nil"/>
              <w:bottom w:val="single" w:color="auto" w:sz="4" w:space="0"/>
              <w:right w:val="single" w:color="auto" w:sz="4" w:space="0"/>
            </w:tcBorders>
            <w:noWrap/>
            <w:vAlign w:val="bottom"/>
          </w:tcPr>
          <w:p w14:paraId="61E9AB7B">
            <w:pPr>
              <w:widowControl/>
              <w:jc w:val="left"/>
              <w:rPr>
                <w:rFonts w:eastAsia="等线"/>
                <w:kern w:val="0"/>
                <w:sz w:val="18"/>
                <w:szCs w:val="18"/>
                <w:lang w:val="en-US"/>
              </w:rPr>
            </w:pPr>
          </w:p>
        </w:tc>
        <w:tc>
          <w:tcPr>
            <w:tcW w:w="930" w:type="dxa"/>
            <w:tcBorders>
              <w:top w:val="nil"/>
              <w:left w:val="nil"/>
              <w:bottom w:val="single" w:color="auto" w:sz="4" w:space="0"/>
              <w:right w:val="single" w:color="auto" w:sz="4" w:space="0"/>
            </w:tcBorders>
            <w:noWrap/>
            <w:vAlign w:val="bottom"/>
          </w:tcPr>
          <w:p w14:paraId="5C647F20">
            <w:pPr>
              <w:widowControl/>
              <w:jc w:val="left"/>
              <w:rPr>
                <w:rFonts w:eastAsia="等线"/>
                <w:kern w:val="0"/>
                <w:sz w:val="18"/>
                <w:szCs w:val="18"/>
                <w:lang w:val="en-US"/>
              </w:rPr>
            </w:pPr>
          </w:p>
        </w:tc>
        <w:tc>
          <w:tcPr>
            <w:tcW w:w="1470" w:type="dxa"/>
            <w:tcBorders>
              <w:top w:val="nil"/>
              <w:left w:val="nil"/>
              <w:bottom w:val="single" w:color="auto" w:sz="4" w:space="0"/>
              <w:right w:val="single" w:color="auto" w:sz="4" w:space="0"/>
            </w:tcBorders>
            <w:noWrap/>
            <w:vAlign w:val="bottom"/>
          </w:tcPr>
          <w:p w14:paraId="166DC89E">
            <w:pPr>
              <w:widowControl/>
              <w:jc w:val="left"/>
              <w:rPr>
                <w:rFonts w:eastAsia="等线"/>
                <w:kern w:val="0"/>
                <w:sz w:val="18"/>
                <w:szCs w:val="18"/>
                <w:lang w:val="en-US"/>
              </w:rPr>
            </w:pPr>
            <w:r>
              <w:rPr>
                <w:rFonts w:eastAsia="等线"/>
                <w:kern w:val="0"/>
                <w:sz w:val="18"/>
                <w:szCs w:val="18"/>
                <w:lang w:val="en-US"/>
              </w:rPr>
              <w:t xml:space="preserve">  </w:t>
            </w:r>
          </w:p>
        </w:tc>
      </w:tr>
      <w:tr w14:paraId="0791DE63">
        <w:tblPrEx>
          <w:tblCellMar>
            <w:top w:w="0" w:type="dxa"/>
            <w:left w:w="108" w:type="dxa"/>
            <w:bottom w:w="0" w:type="dxa"/>
            <w:right w:w="108" w:type="dxa"/>
          </w:tblCellMar>
        </w:tblPrEx>
        <w:trPr>
          <w:trHeight w:val="838" w:hRule="atLeast"/>
        </w:trPr>
        <w:tc>
          <w:tcPr>
            <w:tcW w:w="588" w:type="dxa"/>
            <w:vMerge w:val="continue"/>
            <w:tcBorders>
              <w:left w:val="single" w:color="auto" w:sz="4" w:space="0"/>
              <w:right w:val="single" w:color="auto" w:sz="4" w:space="0"/>
            </w:tcBorders>
            <w:vAlign w:val="center"/>
          </w:tcPr>
          <w:p w14:paraId="3F5CA117">
            <w:pPr>
              <w:widowControl/>
              <w:jc w:val="left"/>
              <w:rPr>
                <w:rFonts w:eastAsia="等线"/>
                <w:kern w:val="0"/>
                <w:sz w:val="18"/>
                <w:szCs w:val="18"/>
                <w:lang w:val="en-US"/>
              </w:rPr>
            </w:pPr>
          </w:p>
        </w:tc>
        <w:tc>
          <w:tcPr>
            <w:tcW w:w="1259" w:type="dxa"/>
            <w:vMerge w:val="continue"/>
            <w:tcBorders>
              <w:left w:val="single" w:color="auto" w:sz="4" w:space="0"/>
              <w:right w:val="single" w:color="auto" w:sz="4" w:space="0"/>
            </w:tcBorders>
            <w:vAlign w:val="center"/>
          </w:tcPr>
          <w:p w14:paraId="5F9CBE54">
            <w:pPr>
              <w:widowControl/>
              <w:jc w:val="left"/>
              <w:rPr>
                <w:rFonts w:eastAsia="等线"/>
                <w:b/>
                <w:bCs/>
                <w:kern w:val="0"/>
                <w:sz w:val="18"/>
                <w:szCs w:val="18"/>
                <w:lang w:val="en-US"/>
              </w:rPr>
            </w:pPr>
          </w:p>
        </w:tc>
        <w:tc>
          <w:tcPr>
            <w:tcW w:w="3035" w:type="dxa"/>
            <w:tcBorders>
              <w:top w:val="nil"/>
              <w:left w:val="nil"/>
              <w:bottom w:val="single" w:color="auto" w:sz="4" w:space="0"/>
              <w:right w:val="single" w:color="auto" w:sz="4" w:space="0"/>
            </w:tcBorders>
            <w:vAlign w:val="center"/>
          </w:tcPr>
          <w:p w14:paraId="1B3E8797">
            <w:pPr>
              <w:widowControl/>
              <w:rPr>
                <w:rFonts w:eastAsia="等线"/>
                <w:kern w:val="0"/>
                <w:sz w:val="18"/>
                <w:szCs w:val="18"/>
                <w:lang w:val="en-US"/>
              </w:rPr>
            </w:pPr>
            <w:r>
              <w:rPr>
                <w:rFonts w:hint="eastAsia" w:ascii="宋体" w:hAnsi="宋体"/>
                <w:kern w:val="0"/>
                <w:sz w:val="18"/>
                <w:szCs w:val="18"/>
                <w:lang w:val="en-US"/>
              </w:rPr>
              <w:t>路面采用红土粒料摊铺、整平、压实，平均厚度不小于</w:t>
            </w:r>
            <w:r>
              <w:rPr>
                <w:rFonts w:hint="eastAsia" w:eastAsia="等线"/>
                <w:kern w:val="0"/>
                <w:sz w:val="18"/>
                <w:szCs w:val="18"/>
                <w:lang w:val="en-US"/>
              </w:rPr>
              <w:t>30</w:t>
            </w:r>
            <w:r>
              <w:rPr>
                <w:rFonts w:eastAsia="等线"/>
                <w:kern w:val="0"/>
                <w:sz w:val="18"/>
                <w:szCs w:val="18"/>
                <w:lang w:val="en-US"/>
              </w:rPr>
              <w:t>cm</w:t>
            </w:r>
            <w:r>
              <w:rPr>
                <w:rFonts w:eastAsia="等线"/>
                <w:kern w:val="0"/>
                <w:sz w:val="18"/>
                <w:szCs w:val="18"/>
                <w:lang w:val="en-US"/>
              </w:rPr>
              <w:br w:type="textWrapping"/>
            </w:r>
            <w:r>
              <w:rPr>
                <w:rFonts w:eastAsia="等线"/>
                <w:kern w:val="0"/>
                <w:sz w:val="18"/>
                <w:szCs w:val="18"/>
                <w:lang w:val="en-US"/>
              </w:rPr>
              <w:t>La surface de la route est pavée, nivelée et compactée avec des granulats latéritiques, pour obtenir une couche compactée d’épaisseur moyenne non inférieure à 10 cm.</w:t>
            </w:r>
          </w:p>
        </w:tc>
        <w:tc>
          <w:tcPr>
            <w:tcW w:w="894" w:type="dxa"/>
            <w:tcBorders>
              <w:top w:val="nil"/>
              <w:left w:val="nil"/>
              <w:bottom w:val="single" w:color="auto" w:sz="4" w:space="0"/>
              <w:right w:val="single" w:color="auto" w:sz="4" w:space="0"/>
            </w:tcBorders>
            <w:vAlign w:val="center"/>
          </w:tcPr>
          <w:p w14:paraId="48E474FC">
            <w:pPr>
              <w:widowControl/>
              <w:jc w:val="center"/>
              <w:rPr>
                <w:rFonts w:eastAsia="等线"/>
                <w:kern w:val="0"/>
                <w:sz w:val="18"/>
                <w:szCs w:val="18"/>
                <w:lang w:val="en-US"/>
              </w:rPr>
            </w:pPr>
            <w:r>
              <w:rPr>
                <w:rFonts w:hint="eastAsia" w:eastAsia="等线"/>
                <w:kern w:val="0"/>
                <w:sz w:val="18"/>
                <w:szCs w:val="18"/>
                <w:lang w:val="en-US"/>
              </w:rPr>
              <w:t>30000</w:t>
            </w:r>
          </w:p>
        </w:tc>
        <w:tc>
          <w:tcPr>
            <w:tcW w:w="636" w:type="dxa"/>
            <w:tcBorders>
              <w:top w:val="nil"/>
              <w:left w:val="nil"/>
              <w:bottom w:val="single" w:color="auto" w:sz="4" w:space="0"/>
              <w:right w:val="single" w:color="auto" w:sz="4" w:space="0"/>
            </w:tcBorders>
            <w:vAlign w:val="center"/>
          </w:tcPr>
          <w:p w14:paraId="7F68CC2C">
            <w:pPr>
              <w:widowControl/>
              <w:jc w:val="center"/>
              <w:rPr>
                <w:rFonts w:ascii="宋体" w:hAnsi="宋体" w:cs="宋体"/>
                <w:kern w:val="0"/>
                <w:sz w:val="20"/>
                <w:lang w:val="en-US"/>
              </w:rPr>
            </w:pPr>
            <w:r>
              <w:rPr>
                <w:rFonts w:hint="eastAsia" w:ascii="宋体" w:hAnsi="宋体" w:cs="宋体"/>
                <w:kern w:val="0"/>
                <w:sz w:val="20"/>
                <w:lang w:val="en-US"/>
              </w:rPr>
              <w:t>m</w:t>
            </w:r>
            <w:r>
              <w:rPr>
                <w:rFonts w:hint="eastAsia" w:ascii="宋体" w:hAnsi="宋体" w:cs="宋体"/>
                <w:kern w:val="0"/>
                <w:sz w:val="20"/>
                <w:vertAlign w:val="superscript"/>
                <w:lang w:val="en-US"/>
              </w:rPr>
              <w:t>3</w:t>
            </w:r>
          </w:p>
        </w:tc>
        <w:tc>
          <w:tcPr>
            <w:tcW w:w="611" w:type="dxa"/>
            <w:tcBorders>
              <w:top w:val="nil"/>
              <w:left w:val="nil"/>
              <w:bottom w:val="single" w:color="auto" w:sz="4" w:space="0"/>
              <w:right w:val="single" w:color="auto" w:sz="4" w:space="0"/>
            </w:tcBorders>
            <w:noWrap/>
            <w:vAlign w:val="bottom"/>
          </w:tcPr>
          <w:p w14:paraId="726DB203">
            <w:pPr>
              <w:widowControl/>
              <w:jc w:val="left"/>
              <w:rPr>
                <w:rFonts w:eastAsia="等线"/>
                <w:kern w:val="0"/>
                <w:sz w:val="18"/>
                <w:szCs w:val="18"/>
                <w:lang w:val="en-US"/>
              </w:rPr>
            </w:pPr>
          </w:p>
        </w:tc>
        <w:tc>
          <w:tcPr>
            <w:tcW w:w="930" w:type="dxa"/>
            <w:tcBorders>
              <w:top w:val="nil"/>
              <w:left w:val="nil"/>
              <w:bottom w:val="single" w:color="auto" w:sz="4" w:space="0"/>
              <w:right w:val="single" w:color="auto" w:sz="4" w:space="0"/>
            </w:tcBorders>
            <w:noWrap/>
            <w:vAlign w:val="bottom"/>
          </w:tcPr>
          <w:p w14:paraId="75530B02">
            <w:pPr>
              <w:widowControl/>
              <w:jc w:val="left"/>
              <w:rPr>
                <w:rFonts w:eastAsia="等线"/>
                <w:kern w:val="0"/>
                <w:sz w:val="18"/>
                <w:szCs w:val="18"/>
                <w:lang w:val="en-US"/>
              </w:rPr>
            </w:pPr>
          </w:p>
        </w:tc>
        <w:tc>
          <w:tcPr>
            <w:tcW w:w="1470" w:type="dxa"/>
            <w:tcBorders>
              <w:top w:val="nil"/>
              <w:left w:val="nil"/>
              <w:bottom w:val="single" w:color="auto" w:sz="4" w:space="0"/>
              <w:right w:val="single" w:color="auto" w:sz="4" w:space="0"/>
            </w:tcBorders>
            <w:noWrap/>
            <w:vAlign w:val="bottom"/>
          </w:tcPr>
          <w:p w14:paraId="0DDA378D">
            <w:pPr>
              <w:widowControl/>
              <w:jc w:val="center"/>
              <w:rPr>
                <w:rFonts w:eastAsia="等线"/>
                <w:kern w:val="0"/>
                <w:sz w:val="18"/>
                <w:szCs w:val="18"/>
                <w:lang w:val="en-US"/>
              </w:rPr>
            </w:pPr>
            <w:r>
              <w:rPr>
                <w:rFonts w:hint="eastAsia" w:eastAsia="等线"/>
                <w:kern w:val="0"/>
                <w:sz w:val="18"/>
                <w:szCs w:val="18"/>
                <w:lang w:val="en-US"/>
              </w:rPr>
              <w:t>暂定工程量（Les V</w:t>
            </w:r>
            <w:r>
              <w:rPr>
                <w:rFonts w:eastAsia="等线"/>
                <w:kern w:val="0"/>
                <w:sz w:val="18"/>
                <w:szCs w:val="18"/>
                <w:lang w:val="en-US"/>
              </w:rPr>
              <w:t>olumes</w:t>
            </w:r>
            <w:r>
              <w:rPr>
                <w:rFonts w:hint="eastAsia" w:eastAsia="等线"/>
                <w:kern w:val="0"/>
                <w:sz w:val="18"/>
                <w:szCs w:val="18"/>
                <w:lang w:val="en-US"/>
              </w:rPr>
              <w:t xml:space="preserve"> sont </w:t>
            </w:r>
            <w:r>
              <w:rPr>
                <w:rFonts w:ascii="Segoe UI" w:hAnsi="Segoe UI" w:eastAsia="Segoe UI" w:cs="Segoe UI"/>
                <w:sz w:val="16"/>
                <w:szCs w:val="16"/>
                <w:shd w:val="clear" w:color="auto" w:fill="FFFFFF"/>
              </w:rPr>
              <w:t>provisoire</w:t>
            </w:r>
            <w:r>
              <w:rPr>
                <w:rFonts w:hint="eastAsia" w:ascii="Segoe UI" w:hAnsi="Segoe UI" w:cs="Segoe UI"/>
                <w:sz w:val="16"/>
                <w:szCs w:val="16"/>
                <w:shd w:val="clear" w:color="auto" w:fill="FFFFFF"/>
                <w:lang w:val="en-US"/>
              </w:rPr>
              <w:t>s</w:t>
            </w:r>
            <w:r>
              <w:rPr>
                <w:rFonts w:hint="eastAsia" w:eastAsia="等线"/>
                <w:kern w:val="0"/>
                <w:sz w:val="18"/>
                <w:szCs w:val="18"/>
                <w:lang w:val="en-US"/>
              </w:rPr>
              <w:t>）</w:t>
            </w:r>
          </w:p>
        </w:tc>
      </w:tr>
      <w:tr w14:paraId="02C2579A">
        <w:tblPrEx>
          <w:tblCellMar>
            <w:top w:w="0" w:type="dxa"/>
            <w:left w:w="108" w:type="dxa"/>
            <w:bottom w:w="0" w:type="dxa"/>
            <w:right w:w="108" w:type="dxa"/>
          </w:tblCellMar>
        </w:tblPrEx>
        <w:trPr>
          <w:trHeight w:val="618" w:hRule="atLeast"/>
        </w:trPr>
        <w:tc>
          <w:tcPr>
            <w:tcW w:w="588" w:type="dxa"/>
            <w:vMerge w:val="continue"/>
            <w:tcBorders>
              <w:left w:val="single" w:color="auto" w:sz="4" w:space="0"/>
              <w:right w:val="single" w:color="auto" w:sz="4" w:space="0"/>
            </w:tcBorders>
            <w:vAlign w:val="center"/>
          </w:tcPr>
          <w:p w14:paraId="020D3E5B">
            <w:pPr>
              <w:widowControl/>
              <w:jc w:val="left"/>
              <w:rPr>
                <w:rFonts w:eastAsia="等线"/>
                <w:kern w:val="0"/>
                <w:sz w:val="18"/>
                <w:szCs w:val="18"/>
                <w:lang w:val="en-US"/>
              </w:rPr>
            </w:pPr>
          </w:p>
        </w:tc>
        <w:tc>
          <w:tcPr>
            <w:tcW w:w="1259" w:type="dxa"/>
            <w:vMerge w:val="continue"/>
            <w:tcBorders>
              <w:left w:val="single" w:color="auto" w:sz="4" w:space="0"/>
              <w:right w:val="single" w:color="auto" w:sz="4" w:space="0"/>
            </w:tcBorders>
            <w:vAlign w:val="center"/>
          </w:tcPr>
          <w:p w14:paraId="511DD9FC">
            <w:pPr>
              <w:widowControl/>
              <w:jc w:val="left"/>
              <w:rPr>
                <w:rFonts w:eastAsia="等线"/>
                <w:b/>
                <w:bCs/>
                <w:kern w:val="0"/>
                <w:sz w:val="18"/>
                <w:szCs w:val="18"/>
                <w:lang w:val="en-US"/>
              </w:rPr>
            </w:pPr>
          </w:p>
        </w:tc>
        <w:tc>
          <w:tcPr>
            <w:tcW w:w="3035" w:type="dxa"/>
            <w:tcBorders>
              <w:top w:val="nil"/>
              <w:left w:val="nil"/>
              <w:bottom w:val="single" w:color="auto" w:sz="4" w:space="0"/>
              <w:right w:val="single" w:color="auto" w:sz="4" w:space="0"/>
            </w:tcBorders>
            <w:vAlign w:val="center"/>
          </w:tcPr>
          <w:p w14:paraId="014089D8">
            <w:pPr>
              <w:widowControl/>
              <w:jc w:val="left"/>
              <w:rPr>
                <w:rFonts w:eastAsia="等线"/>
                <w:kern w:val="0"/>
                <w:sz w:val="18"/>
                <w:szCs w:val="18"/>
                <w:lang w:val="en-US"/>
              </w:rPr>
            </w:pPr>
            <w:r>
              <w:rPr>
                <w:rFonts w:hint="eastAsia" w:ascii="宋体" w:hAnsi="宋体"/>
                <w:kern w:val="0"/>
                <w:sz w:val="18"/>
                <w:szCs w:val="18"/>
                <w:lang w:val="en-US"/>
              </w:rPr>
              <w:t>道路两侧排水沟进行修整（宽1m 深0.5cm）</w:t>
            </w:r>
            <w:r>
              <w:rPr>
                <w:rFonts w:hint="eastAsia" w:ascii="宋体" w:hAnsi="宋体"/>
                <w:kern w:val="0"/>
                <w:sz w:val="18"/>
                <w:szCs w:val="18"/>
                <w:lang w:val="en-US"/>
              </w:rPr>
              <w:br w:type="textWrapping"/>
            </w:r>
            <w:r>
              <w:rPr>
                <w:rFonts w:eastAsia="等线"/>
                <w:kern w:val="0"/>
                <w:sz w:val="18"/>
                <w:szCs w:val="18"/>
                <w:lang w:val="en-US"/>
              </w:rPr>
              <w:t>Réhabilitation des fossés de drainage  (largeur : 40 cm, profondeur : 30 cm)</w:t>
            </w:r>
            <w:r>
              <w:rPr>
                <w:rFonts w:hint="eastAsia" w:eastAsia="等线"/>
                <w:kern w:val="0"/>
                <w:sz w:val="18"/>
                <w:szCs w:val="18"/>
                <w:lang w:val="en-US"/>
              </w:rPr>
              <w:t xml:space="preserve"> </w:t>
            </w:r>
            <w:r>
              <w:rPr>
                <w:rFonts w:eastAsia="等线"/>
                <w:kern w:val="0"/>
                <w:sz w:val="18"/>
                <w:szCs w:val="18"/>
                <w:lang w:val="en-US"/>
              </w:rPr>
              <w:t>des deux côtés de la route</w:t>
            </w:r>
          </w:p>
        </w:tc>
        <w:tc>
          <w:tcPr>
            <w:tcW w:w="894" w:type="dxa"/>
            <w:tcBorders>
              <w:top w:val="nil"/>
              <w:left w:val="nil"/>
              <w:bottom w:val="single" w:color="auto" w:sz="4" w:space="0"/>
              <w:right w:val="single" w:color="auto" w:sz="4" w:space="0"/>
            </w:tcBorders>
            <w:vAlign w:val="center"/>
          </w:tcPr>
          <w:p w14:paraId="23F4E02A">
            <w:pPr>
              <w:widowControl/>
              <w:jc w:val="center"/>
              <w:rPr>
                <w:rFonts w:eastAsia="等线"/>
                <w:kern w:val="0"/>
                <w:sz w:val="18"/>
                <w:szCs w:val="18"/>
                <w:lang w:val="en-US"/>
              </w:rPr>
            </w:pPr>
            <w:r>
              <w:rPr>
                <w:rFonts w:hint="eastAsia" w:eastAsia="等线"/>
                <w:kern w:val="0"/>
                <w:sz w:val="18"/>
                <w:szCs w:val="18"/>
                <w:lang w:val="en-US"/>
              </w:rPr>
              <w:t>12500</w:t>
            </w:r>
          </w:p>
        </w:tc>
        <w:tc>
          <w:tcPr>
            <w:tcW w:w="636" w:type="dxa"/>
            <w:tcBorders>
              <w:top w:val="nil"/>
              <w:left w:val="nil"/>
              <w:bottom w:val="single" w:color="auto" w:sz="4" w:space="0"/>
              <w:right w:val="single" w:color="auto" w:sz="4" w:space="0"/>
            </w:tcBorders>
            <w:vAlign w:val="center"/>
          </w:tcPr>
          <w:p w14:paraId="044863AF">
            <w:pPr>
              <w:widowControl/>
              <w:jc w:val="center"/>
              <w:rPr>
                <w:rFonts w:eastAsia="等线"/>
                <w:kern w:val="0"/>
                <w:sz w:val="20"/>
                <w:lang w:val="en-US"/>
              </w:rPr>
            </w:pPr>
            <w:r>
              <w:rPr>
                <w:rFonts w:hint="eastAsia" w:eastAsia="等线"/>
                <w:kern w:val="0"/>
                <w:sz w:val="18"/>
                <w:szCs w:val="18"/>
                <w:lang w:val="en-US"/>
              </w:rPr>
              <w:t>m</w:t>
            </w:r>
          </w:p>
        </w:tc>
        <w:tc>
          <w:tcPr>
            <w:tcW w:w="611" w:type="dxa"/>
            <w:tcBorders>
              <w:top w:val="nil"/>
              <w:left w:val="nil"/>
              <w:bottom w:val="single" w:color="auto" w:sz="4" w:space="0"/>
              <w:right w:val="single" w:color="auto" w:sz="4" w:space="0"/>
            </w:tcBorders>
            <w:noWrap/>
            <w:vAlign w:val="bottom"/>
          </w:tcPr>
          <w:p w14:paraId="6824E6EF">
            <w:pPr>
              <w:widowControl/>
              <w:jc w:val="left"/>
              <w:rPr>
                <w:rFonts w:eastAsia="等线"/>
                <w:kern w:val="0"/>
                <w:sz w:val="18"/>
                <w:szCs w:val="18"/>
                <w:lang w:val="en-US"/>
              </w:rPr>
            </w:pPr>
          </w:p>
        </w:tc>
        <w:tc>
          <w:tcPr>
            <w:tcW w:w="930" w:type="dxa"/>
            <w:tcBorders>
              <w:top w:val="nil"/>
              <w:left w:val="nil"/>
              <w:bottom w:val="single" w:color="auto" w:sz="4" w:space="0"/>
              <w:right w:val="single" w:color="auto" w:sz="4" w:space="0"/>
            </w:tcBorders>
            <w:noWrap/>
            <w:vAlign w:val="bottom"/>
          </w:tcPr>
          <w:p w14:paraId="6ABC436A">
            <w:pPr>
              <w:widowControl/>
              <w:jc w:val="left"/>
              <w:rPr>
                <w:rFonts w:eastAsia="等线"/>
                <w:kern w:val="0"/>
                <w:sz w:val="18"/>
                <w:szCs w:val="18"/>
                <w:lang w:val="en-US"/>
              </w:rPr>
            </w:pPr>
          </w:p>
        </w:tc>
        <w:tc>
          <w:tcPr>
            <w:tcW w:w="1470" w:type="dxa"/>
            <w:tcBorders>
              <w:top w:val="nil"/>
              <w:left w:val="nil"/>
              <w:bottom w:val="single" w:color="auto" w:sz="4" w:space="0"/>
              <w:right w:val="single" w:color="auto" w:sz="4" w:space="0"/>
            </w:tcBorders>
            <w:noWrap/>
            <w:vAlign w:val="bottom"/>
          </w:tcPr>
          <w:p w14:paraId="537320E8">
            <w:pPr>
              <w:widowControl/>
              <w:jc w:val="left"/>
              <w:rPr>
                <w:rFonts w:eastAsia="等线"/>
                <w:kern w:val="0"/>
                <w:sz w:val="18"/>
                <w:szCs w:val="18"/>
                <w:lang w:val="en-US"/>
              </w:rPr>
            </w:pPr>
            <w:r>
              <w:rPr>
                <w:rFonts w:eastAsia="等线"/>
                <w:kern w:val="0"/>
                <w:sz w:val="18"/>
                <w:szCs w:val="18"/>
                <w:lang w:val="en-US"/>
              </w:rPr>
              <w:t xml:space="preserve">          -   </w:t>
            </w:r>
          </w:p>
        </w:tc>
      </w:tr>
      <w:tr w14:paraId="7EACC807">
        <w:tblPrEx>
          <w:tblCellMar>
            <w:top w:w="0" w:type="dxa"/>
            <w:left w:w="108" w:type="dxa"/>
            <w:bottom w:w="0" w:type="dxa"/>
            <w:right w:w="108" w:type="dxa"/>
          </w:tblCellMar>
        </w:tblPrEx>
        <w:trPr>
          <w:trHeight w:val="301" w:hRule="atLeast"/>
        </w:trPr>
        <w:tc>
          <w:tcPr>
            <w:tcW w:w="588" w:type="dxa"/>
            <w:vMerge w:val="continue"/>
            <w:tcBorders>
              <w:left w:val="single" w:color="auto" w:sz="4" w:space="0"/>
              <w:bottom w:val="single" w:color="auto" w:sz="4" w:space="0"/>
              <w:right w:val="single" w:color="auto" w:sz="4" w:space="0"/>
            </w:tcBorders>
            <w:shd w:val="clear" w:color="000000" w:fill="BDD7EE"/>
            <w:vAlign w:val="center"/>
          </w:tcPr>
          <w:p w14:paraId="74A750F6">
            <w:pPr>
              <w:widowControl/>
              <w:jc w:val="center"/>
              <w:rPr>
                <w:rFonts w:eastAsia="等线"/>
                <w:kern w:val="0"/>
                <w:sz w:val="18"/>
                <w:szCs w:val="18"/>
                <w:lang w:val="en-US"/>
              </w:rPr>
            </w:pPr>
          </w:p>
        </w:tc>
        <w:tc>
          <w:tcPr>
            <w:tcW w:w="1259" w:type="dxa"/>
            <w:vMerge w:val="continue"/>
            <w:tcBorders>
              <w:left w:val="single" w:color="auto" w:sz="4" w:space="0"/>
              <w:bottom w:val="single" w:color="auto" w:sz="4" w:space="0"/>
              <w:right w:val="single" w:color="auto" w:sz="4" w:space="0"/>
            </w:tcBorders>
            <w:shd w:val="clear" w:color="000000" w:fill="BDD7EE"/>
            <w:vAlign w:val="center"/>
          </w:tcPr>
          <w:p w14:paraId="51D9D90A">
            <w:pPr>
              <w:widowControl/>
              <w:jc w:val="center"/>
              <w:rPr>
                <w:rFonts w:eastAsia="等线"/>
                <w:kern w:val="0"/>
                <w:sz w:val="18"/>
                <w:szCs w:val="18"/>
                <w:lang w:val="en-US"/>
              </w:rPr>
            </w:pPr>
          </w:p>
        </w:tc>
        <w:tc>
          <w:tcPr>
            <w:tcW w:w="3035" w:type="dxa"/>
            <w:tcBorders>
              <w:top w:val="single" w:color="auto" w:sz="4" w:space="0"/>
              <w:left w:val="single" w:color="auto" w:sz="4" w:space="0"/>
              <w:bottom w:val="single" w:color="auto" w:sz="4" w:space="0"/>
              <w:right w:val="single" w:color="auto" w:sz="4" w:space="0"/>
            </w:tcBorders>
            <w:shd w:val="clear" w:color="000000" w:fill="BDD7EE"/>
            <w:vAlign w:val="center"/>
          </w:tcPr>
          <w:p w14:paraId="2D684627">
            <w:pPr>
              <w:widowControl/>
              <w:rPr>
                <w:rFonts w:eastAsia="等线"/>
                <w:kern w:val="0"/>
                <w:sz w:val="18"/>
                <w:szCs w:val="18"/>
                <w:lang w:val="en-US"/>
              </w:rPr>
            </w:pPr>
            <w:r>
              <w:rPr>
                <w:rFonts w:hint="eastAsia" w:eastAsia="等线"/>
                <w:kern w:val="0"/>
                <w:sz w:val="18"/>
                <w:szCs w:val="18"/>
                <w:lang w:val="en-US"/>
              </w:rPr>
              <w:t>其他工程费用及行政手续费（含社区协调费用）</w:t>
            </w:r>
          </w:p>
          <w:p w14:paraId="145800C4">
            <w:pPr>
              <w:widowControl/>
              <w:rPr>
                <w:rFonts w:eastAsia="等线"/>
                <w:kern w:val="0"/>
                <w:sz w:val="18"/>
                <w:szCs w:val="18"/>
              </w:rPr>
            </w:pPr>
            <w:r>
              <w:rPr>
                <w:rFonts w:eastAsia="等线"/>
                <w:kern w:val="0"/>
                <w:sz w:val="18"/>
                <w:szCs w:val="18"/>
              </w:rPr>
              <w:t>Frais divers de travaux et frais administratifs</w:t>
            </w:r>
            <w:r>
              <w:rPr>
                <w:rFonts w:hint="eastAsia" w:eastAsia="等线"/>
                <w:kern w:val="0"/>
                <w:sz w:val="18"/>
                <w:szCs w:val="18"/>
              </w:rPr>
              <w:t xml:space="preserve"> </w:t>
            </w:r>
            <w:r>
              <w:rPr>
                <w:rFonts w:eastAsia="等线"/>
                <w:kern w:val="0"/>
                <w:sz w:val="18"/>
                <w:szCs w:val="18"/>
              </w:rPr>
              <w:t> (incluant les frais de coordination communautaire)</w:t>
            </w:r>
          </w:p>
        </w:tc>
        <w:tc>
          <w:tcPr>
            <w:tcW w:w="894" w:type="dxa"/>
            <w:tcBorders>
              <w:top w:val="single" w:color="auto" w:sz="4" w:space="0"/>
              <w:left w:val="single" w:color="auto" w:sz="4" w:space="0"/>
              <w:bottom w:val="single" w:color="auto" w:sz="4" w:space="0"/>
              <w:right w:val="single" w:color="auto" w:sz="4" w:space="0"/>
            </w:tcBorders>
            <w:shd w:val="clear" w:color="000000" w:fill="BDD7EE"/>
            <w:vAlign w:val="center"/>
          </w:tcPr>
          <w:p w14:paraId="0F221455">
            <w:pPr>
              <w:widowControl/>
              <w:jc w:val="center"/>
              <w:rPr>
                <w:rFonts w:eastAsia="等线"/>
                <w:kern w:val="0"/>
                <w:sz w:val="18"/>
                <w:szCs w:val="18"/>
              </w:rPr>
            </w:pPr>
            <w:r>
              <w:rPr>
                <w:rFonts w:hint="eastAsia" w:eastAsia="等线"/>
                <w:kern w:val="0"/>
                <w:sz w:val="18"/>
                <w:szCs w:val="18"/>
              </w:rPr>
              <w:t>1</w:t>
            </w:r>
          </w:p>
        </w:tc>
        <w:tc>
          <w:tcPr>
            <w:tcW w:w="636" w:type="dxa"/>
            <w:tcBorders>
              <w:top w:val="single" w:color="auto" w:sz="4" w:space="0"/>
              <w:left w:val="single" w:color="auto" w:sz="4" w:space="0"/>
              <w:bottom w:val="single" w:color="auto" w:sz="4" w:space="0"/>
              <w:right w:val="single" w:color="auto" w:sz="4" w:space="0"/>
            </w:tcBorders>
            <w:shd w:val="clear" w:color="000000" w:fill="BDD7EE"/>
            <w:vAlign w:val="center"/>
          </w:tcPr>
          <w:p w14:paraId="2972AC0A">
            <w:pPr>
              <w:widowControl/>
              <w:jc w:val="center"/>
              <w:rPr>
                <w:rFonts w:eastAsia="等线"/>
                <w:kern w:val="0"/>
                <w:sz w:val="20"/>
              </w:rPr>
            </w:pPr>
            <w:r>
              <w:rPr>
                <w:rFonts w:eastAsia="等线"/>
                <w:kern w:val="0"/>
                <w:sz w:val="20"/>
                <w:lang w:val="en-US"/>
              </w:rPr>
              <w:t>uinté</w:t>
            </w:r>
          </w:p>
        </w:tc>
        <w:tc>
          <w:tcPr>
            <w:tcW w:w="611" w:type="dxa"/>
            <w:tcBorders>
              <w:top w:val="nil"/>
              <w:left w:val="nil"/>
              <w:bottom w:val="single" w:color="auto" w:sz="4" w:space="0"/>
              <w:right w:val="single" w:color="auto" w:sz="4" w:space="0"/>
            </w:tcBorders>
            <w:shd w:val="clear" w:color="000000" w:fill="BDD7EE"/>
            <w:noWrap/>
            <w:vAlign w:val="bottom"/>
          </w:tcPr>
          <w:p w14:paraId="2F3EC716">
            <w:pPr>
              <w:widowControl/>
              <w:jc w:val="left"/>
              <w:rPr>
                <w:rFonts w:eastAsia="等线"/>
                <w:kern w:val="0"/>
                <w:sz w:val="18"/>
                <w:szCs w:val="18"/>
              </w:rPr>
            </w:pPr>
          </w:p>
        </w:tc>
        <w:tc>
          <w:tcPr>
            <w:tcW w:w="930" w:type="dxa"/>
            <w:tcBorders>
              <w:top w:val="nil"/>
              <w:left w:val="nil"/>
              <w:bottom w:val="single" w:color="auto" w:sz="4" w:space="0"/>
              <w:right w:val="single" w:color="auto" w:sz="4" w:space="0"/>
            </w:tcBorders>
            <w:shd w:val="clear" w:color="000000" w:fill="BDD7EE"/>
            <w:noWrap/>
            <w:vAlign w:val="bottom"/>
          </w:tcPr>
          <w:p w14:paraId="16686D76">
            <w:pPr>
              <w:widowControl/>
              <w:jc w:val="left"/>
              <w:rPr>
                <w:rFonts w:eastAsia="等线"/>
                <w:kern w:val="0"/>
                <w:sz w:val="18"/>
                <w:szCs w:val="18"/>
              </w:rPr>
            </w:pPr>
          </w:p>
        </w:tc>
        <w:tc>
          <w:tcPr>
            <w:tcW w:w="1470" w:type="dxa"/>
            <w:tcBorders>
              <w:top w:val="nil"/>
              <w:left w:val="nil"/>
              <w:bottom w:val="single" w:color="auto" w:sz="4" w:space="0"/>
              <w:right w:val="single" w:color="auto" w:sz="4" w:space="0"/>
            </w:tcBorders>
            <w:shd w:val="clear" w:color="000000" w:fill="BDD7EE"/>
            <w:noWrap/>
            <w:vAlign w:val="bottom"/>
          </w:tcPr>
          <w:p w14:paraId="3F3C12DF">
            <w:pPr>
              <w:widowControl/>
              <w:jc w:val="left"/>
              <w:rPr>
                <w:rFonts w:eastAsia="等线"/>
                <w:kern w:val="0"/>
                <w:sz w:val="18"/>
                <w:szCs w:val="18"/>
              </w:rPr>
            </w:pPr>
          </w:p>
        </w:tc>
      </w:tr>
      <w:tr w14:paraId="43D84410">
        <w:tblPrEx>
          <w:tblCellMar>
            <w:top w:w="0" w:type="dxa"/>
            <w:left w:w="108" w:type="dxa"/>
            <w:bottom w:w="0" w:type="dxa"/>
            <w:right w:w="108" w:type="dxa"/>
          </w:tblCellMar>
        </w:tblPrEx>
        <w:trPr>
          <w:trHeight w:val="301" w:hRule="atLeast"/>
        </w:trPr>
        <w:tc>
          <w:tcPr>
            <w:tcW w:w="9423" w:type="dxa"/>
            <w:gridSpan w:val="8"/>
            <w:tcBorders>
              <w:top w:val="single" w:color="auto" w:sz="4" w:space="0"/>
              <w:left w:val="single" w:color="auto" w:sz="4" w:space="0"/>
              <w:bottom w:val="single" w:color="auto" w:sz="4" w:space="0"/>
              <w:right w:val="single" w:color="auto" w:sz="4" w:space="0"/>
            </w:tcBorders>
            <w:shd w:val="clear" w:color="000000" w:fill="BDD7EE"/>
            <w:vAlign w:val="center"/>
          </w:tcPr>
          <w:p w14:paraId="4582BEA3">
            <w:pPr>
              <w:widowControl/>
              <w:jc w:val="center"/>
              <w:rPr>
                <w:rFonts w:eastAsia="等线"/>
                <w:kern w:val="0"/>
                <w:sz w:val="18"/>
                <w:szCs w:val="18"/>
                <w:lang w:val="en-US"/>
              </w:rPr>
            </w:pPr>
            <w:r>
              <w:rPr>
                <w:rFonts w:eastAsia="等线"/>
                <w:kern w:val="0"/>
                <w:sz w:val="18"/>
                <w:szCs w:val="18"/>
              </w:rPr>
              <w:t xml:space="preserve"> </w:t>
            </w:r>
            <w:r>
              <w:rPr>
                <w:rFonts w:hint="eastAsia" w:ascii="宋体" w:hAnsi="宋体"/>
                <w:kern w:val="0"/>
                <w:sz w:val="18"/>
                <w:szCs w:val="18"/>
                <w:lang w:val="en-US"/>
              </w:rPr>
              <w:t xml:space="preserve">小计(不含税价) </w:t>
            </w:r>
            <w:r>
              <w:rPr>
                <w:rFonts w:eastAsia="等线"/>
                <w:kern w:val="0"/>
                <w:sz w:val="18"/>
                <w:szCs w:val="18"/>
                <w:lang w:val="en-US"/>
              </w:rPr>
              <w:t>Sous-total</w:t>
            </w:r>
            <w:r>
              <w:rPr>
                <w:rFonts w:hint="eastAsia" w:eastAsia="等线"/>
                <w:kern w:val="0"/>
                <w:sz w:val="18"/>
                <w:szCs w:val="18"/>
                <w:lang w:val="en-US"/>
              </w:rPr>
              <w:t xml:space="preserve"> (</w:t>
            </w:r>
            <w:r>
              <w:rPr>
                <w:rFonts w:ascii="Segoe UI" w:hAnsi="Segoe UI" w:eastAsia="Segoe UI" w:cs="Segoe UI"/>
                <w:sz w:val="16"/>
                <w:szCs w:val="16"/>
                <w:shd w:val="clear" w:color="auto" w:fill="FFFFFF"/>
              </w:rPr>
              <w:t>Prix hors taxes</w:t>
            </w:r>
            <w:r>
              <w:rPr>
                <w:rFonts w:hint="eastAsia" w:eastAsia="等线"/>
                <w:kern w:val="0"/>
                <w:sz w:val="18"/>
                <w:szCs w:val="18"/>
                <w:lang w:val="en-US"/>
              </w:rPr>
              <w:t>)</w:t>
            </w:r>
          </w:p>
        </w:tc>
      </w:tr>
      <w:tr w14:paraId="5DFCBFFC">
        <w:tblPrEx>
          <w:tblCellMar>
            <w:top w:w="0" w:type="dxa"/>
            <w:left w:w="108" w:type="dxa"/>
            <w:bottom w:w="0" w:type="dxa"/>
            <w:right w:w="108" w:type="dxa"/>
          </w:tblCellMar>
        </w:tblPrEx>
        <w:trPr>
          <w:trHeight w:val="275" w:hRule="atLeast"/>
        </w:trPr>
        <w:tc>
          <w:tcPr>
            <w:tcW w:w="9423" w:type="dxa"/>
            <w:gridSpan w:val="8"/>
            <w:tcBorders>
              <w:top w:val="single" w:color="auto" w:sz="4" w:space="0"/>
              <w:left w:val="single" w:color="auto" w:sz="4" w:space="0"/>
              <w:bottom w:val="single" w:color="auto" w:sz="4" w:space="0"/>
              <w:right w:val="single" w:color="auto" w:sz="4" w:space="0"/>
            </w:tcBorders>
            <w:shd w:val="clear" w:color="000000" w:fill="FCE4D6"/>
            <w:vAlign w:val="center"/>
          </w:tcPr>
          <w:p w14:paraId="5AB7F347">
            <w:pPr>
              <w:widowControl/>
              <w:numPr>
                <w:ilvl w:val="255"/>
                <w:numId w:val="0"/>
              </w:numPr>
              <w:jc w:val="center"/>
              <w:rPr>
                <w:rFonts w:eastAsia="等线"/>
                <w:b/>
                <w:bCs/>
                <w:kern w:val="0"/>
                <w:sz w:val="18"/>
                <w:szCs w:val="18"/>
                <w:lang w:val="en-US"/>
              </w:rPr>
            </w:pPr>
            <w:r>
              <w:rPr>
                <w:rFonts w:hint="eastAsia" w:ascii="宋体" w:hAnsi="宋体"/>
                <w:b/>
                <w:bCs/>
                <w:kern w:val="0"/>
                <w:sz w:val="18"/>
                <w:szCs w:val="18"/>
                <w:lang w:val="en-US"/>
              </w:rPr>
              <w:t>足球场修缮</w:t>
            </w:r>
            <w:r>
              <w:rPr>
                <w:rFonts w:eastAsia="等线"/>
                <w:b/>
                <w:bCs/>
                <w:kern w:val="0"/>
                <w:sz w:val="18"/>
                <w:szCs w:val="18"/>
                <w:lang w:val="en-US"/>
              </w:rPr>
              <w:t>Réhabilitation des terrains de football</w:t>
            </w:r>
          </w:p>
        </w:tc>
      </w:tr>
      <w:tr w14:paraId="71453ED0">
        <w:tblPrEx>
          <w:tblCellMar>
            <w:top w:w="0" w:type="dxa"/>
            <w:left w:w="108" w:type="dxa"/>
            <w:bottom w:w="0" w:type="dxa"/>
            <w:right w:w="108" w:type="dxa"/>
          </w:tblCellMar>
        </w:tblPrEx>
        <w:trPr>
          <w:trHeight w:val="261" w:hRule="atLeast"/>
        </w:trPr>
        <w:tc>
          <w:tcPr>
            <w:tcW w:w="588" w:type="dxa"/>
            <w:tcBorders>
              <w:top w:val="nil"/>
              <w:left w:val="single" w:color="auto" w:sz="4" w:space="0"/>
              <w:bottom w:val="single" w:color="auto" w:sz="4" w:space="0"/>
              <w:right w:val="single" w:color="auto" w:sz="4" w:space="0"/>
            </w:tcBorders>
            <w:vAlign w:val="center"/>
          </w:tcPr>
          <w:p w14:paraId="445E148B">
            <w:pPr>
              <w:widowControl/>
              <w:jc w:val="center"/>
              <w:rPr>
                <w:rFonts w:ascii="宋体" w:hAnsi="宋体" w:cs="宋体"/>
                <w:b/>
                <w:bCs/>
                <w:kern w:val="0"/>
                <w:sz w:val="18"/>
                <w:szCs w:val="18"/>
                <w:lang w:val="en-US"/>
              </w:rPr>
            </w:pPr>
            <w:r>
              <w:rPr>
                <w:rFonts w:hint="eastAsia" w:ascii="宋体" w:hAnsi="宋体" w:cs="宋体"/>
                <w:b/>
                <w:bCs/>
                <w:kern w:val="0"/>
                <w:sz w:val="18"/>
                <w:szCs w:val="18"/>
                <w:lang w:val="en-US"/>
              </w:rPr>
              <w:t>序号</w:t>
            </w:r>
          </w:p>
        </w:tc>
        <w:tc>
          <w:tcPr>
            <w:tcW w:w="1259" w:type="dxa"/>
            <w:tcBorders>
              <w:top w:val="nil"/>
              <w:left w:val="nil"/>
              <w:bottom w:val="single" w:color="auto" w:sz="4" w:space="0"/>
              <w:right w:val="single" w:color="auto" w:sz="4" w:space="0"/>
            </w:tcBorders>
            <w:vAlign w:val="center"/>
          </w:tcPr>
          <w:p w14:paraId="6846E4D9">
            <w:pPr>
              <w:widowControl/>
              <w:jc w:val="center"/>
              <w:rPr>
                <w:rFonts w:ascii="宋体" w:hAnsi="宋体" w:cs="宋体"/>
                <w:b/>
                <w:bCs/>
                <w:kern w:val="0"/>
                <w:sz w:val="18"/>
                <w:szCs w:val="18"/>
                <w:lang w:val="en-US"/>
              </w:rPr>
            </w:pPr>
            <w:r>
              <w:rPr>
                <w:rFonts w:hint="eastAsia" w:ascii="宋体" w:hAnsi="宋体" w:cs="宋体"/>
                <w:b/>
                <w:bCs/>
                <w:kern w:val="0"/>
                <w:sz w:val="18"/>
                <w:szCs w:val="18"/>
                <w:lang w:val="en-US"/>
              </w:rPr>
              <w:t>项目名称</w:t>
            </w:r>
          </w:p>
        </w:tc>
        <w:tc>
          <w:tcPr>
            <w:tcW w:w="3035" w:type="dxa"/>
            <w:vMerge w:val="restart"/>
            <w:tcBorders>
              <w:top w:val="nil"/>
              <w:left w:val="single" w:color="auto" w:sz="4" w:space="0"/>
              <w:bottom w:val="single" w:color="auto" w:sz="4" w:space="0"/>
              <w:right w:val="single" w:color="auto" w:sz="4" w:space="0"/>
            </w:tcBorders>
            <w:vAlign w:val="center"/>
          </w:tcPr>
          <w:p w14:paraId="02C63632">
            <w:pPr>
              <w:widowControl/>
              <w:jc w:val="left"/>
              <w:rPr>
                <w:rFonts w:eastAsia="等线"/>
                <w:b/>
                <w:bCs/>
                <w:kern w:val="0"/>
                <w:sz w:val="18"/>
                <w:szCs w:val="18"/>
                <w:lang w:val="en-US"/>
              </w:rPr>
            </w:pPr>
            <w:r>
              <w:rPr>
                <w:rFonts w:hint="eastAsia" w:ascii="宋体" w:hAnsi="宋体"/>
                <w:b/>
                <w:bCs/>
                <w:kern w:val="0"/>
                <w:sz w:val="18"/>
                <w:szCs w:val="18"/>
                <w:lang w:val="en-US"/>
              </w:rPr>
              <w:t>工作内容</w:t>
            </w:r>
            <w:r>
              <w:rPr>
                <w:rFonts w:eastAsia="等线"/>
                <w:b/>
                <w:bCs/>
                <w:kern w:val="0"/>
                <w:sz w:val="18"/>
                <w:szCs w:val="18"/>
                <w:lang w:val="en-US"/>
              </w:rPr>
              <w:t xml:space="preserve">    Travaux spécifiques</w:t>
            </w:r>
          </w:p>
        </w:tc>
        <w:tc>
          <w:tcPr>
            <w:tcW w:w="894" w:type="dxa"/>
            <w:tcBorders>
              <w:top w:val="nil"/>
              <w:left w:val="nil"/>
              <w:bottom w:val="single" w:color="auto" w:sz="4" w:space="0"/>
              <w:right w:val="single" w:color="auto" w:sz="4" w:space="0"/>
            </w:tcBorders>
            <w:vAlign w:val="center"/>
          </w:tcPr>
          <w:p w14:paraId="0919DC15">
            <w:pPr>
              <w:widowControl/>
              <w:jc w:val="center"/>
              <w:rPr>
                <w:rFonts w:ascii="宋体" w:hAnsi="宋体" w:cs="宋体"/>
                <w:b/>
                <w:bCs/>
                <w:kern w:val="0"/>
                <w:sz w:val="18"/>
                <w:szCs w:val="18"/>
                <w:lang w:val="en-US"/>
              </w:rPr>
            </w:pPr>
            <w:r>
              <w:rPr>
                <w:rFonts w:hint="eastAsia" w:ascii="宋体" w:hAnsi="宋体" w:cs="宋体"/>
                <w:b/>
                <w:bCs/>
                <w:kern w:val="0"/>
                <w:sz w:val="18"/>
                <w:szCs w:val="18"/>
                <w:lang w:val="en-US"/>
              </w:rPr>
              <w:t>工程量</w:t>
            </w:r>
          </w:p>
        </w:tc>
        <w:tc>
          <w:tcPr>
            <w:tcW w:w="636" w:type="dxa"/>
            <w:tcBorders>
              <w:top w:val="nil"/>
              <w:left w:val="nil"/>
              <w:bottom w:val="single" w:color="auto" w:sz="4" w:space="0"/>
              <w:right w:val="single" w:color="auto" w:sz="4" w:space="0"/>
            </w:tcBorders>
            <w:vAlign w:val="center"/>
          </w:tcPr>
          <w:p w14:paraId="401CC2C9">
            <w:pPr>
              <w:widowControl/>
              <w:jc w:val="center"/>
              <w:rPr>
                <w:rFonts w:ascii="宋体" w:hAnsi="宋体" w:cs="宋体"/>
                <w:b/>
                <w:bCs/>
                <w:kern w:val="0"/>
                <w:sz w:val="18"/>
                <w:szCs w:val="18"/>
                <w:lang w:val="en-US"/>
              </w:rPr>
            </w:pPr>
            <w:r>
              <w:rPr>
                <w:rFonts w:hint="eastAsia" w:ascii="宋体" w:hAnsi="宋体" w:cs="宋体"/>
                <w:b/>
                <w:bCs/>
                <w:kern w:val="0"/>
                <w:sz w:val="18"/>
                <w:szCs w:val="18"/>
                <w:lang w:val="en-US"/>
              </w:rPr>
              <w:t>单位</w:t>
            </w:r>
          </w:p>
        </w:tc>
        <w:tc>
          <w:tcPr>
            <w:tcW w:w="611" w:type="dxa"/>
            <w:tcBorders>
              <w:top w:val="nil"/>
              <w:left w:val="nil"/>
              <w:bottom w:val="single" w:color="auto" w:sz="4" w:space="0"/>
              <w:right w:val="single" w:color="auto" w:sz="4" w:space="0"/>
            </w:tcBorders>
            <w:vAlign w:val="center"/>
          </w:tcPr>
          <w:p w14:paraId="2A69697C">
            <w:pPr>
              <w:widowControl/>
              <w:jc w:val="center"/>
              <w:rPr>
                <w:rFonts w:eastAsia="等线"/>
                <w:b/>
                <w:bCs/>
                <w:kern w:val="0"/>
                <w:sz w:val="18"/>
                <w:szCs w:val="18"/>
                <w:lang w:val="en-US"/>
              </w:rPr>
            </w:pPr>
            <w:r>
              <w:rPr>
                <w:rFonts w:eastAsia="等线"/>
                <w:b/>
                <w:bCs/>
                <w:kern w:val="0"/>
                <w:sz w:val="18"/>
                <w:szCs w:val="18"/>
                <w:lang w:val="en-US"/>
              </w:rPr>
              <w:t xml:space="preserve"> 单价 </w:t>
            </w:r>
          </w:p>
        </w:tc>
        <w:tc>
          <w:tcPr>
            <w:tcW w:w="930" w:type="dxa"/>
            <w:tcBorders>
              <w:top w:val="nil"/>
              <w:left w:val="nil"/>
              <w:bottom w:val="single" w:color="auto" w:sz="4" w:space="0"/>
              <w:right w:val="single" w:color="auto" w:sz="4" w:space="0"/>
            </w:tcBorders>
            <w:vAlign w:val="center"/>
          </w:tcPr>
          <w:p w14:paraId="290087C0">
            <w:pPr>
              <w:widowControl/>
              <w:jc w:val="center"/>
              <w:rPr>
                <w:rFonts w:eastAsia="等线"/>
                <w:b/>
                <w:bCs/>
                <w:kern w:val="0"/>
                <w:sz w:val="18"/>
                <w:szCs w:val="18"/>
                <w:lang w:val="en-US"/>
              </w:rPr>
            </w:pPr>
            <w:r>
              <w:rPr>
                <w:rFonts w:eastAsia="等线"/>
                <w:b/>
                <w:bCs/>
                <w:kern w:val="0"/>
                <w:sz w:val="18"/>
                <w:szCs w:val="18"/>
                <w:lang w:val="en-US"/>
              </w:rPr>
              <w:t xml:space="preserve">合价 </w:t>
            </w:r>
          </w:p>
        </w:tc>
        <w:tc>
          <w:tcPr>
            <w:tcW w:w="1470" w:type="dxa"/>
            <w:tcBorders>
              <w:top w:val="nil"/>
              <w:left w:val="nil"/>
              <w:bottom w:val="single" w:color="auto" w:sz="4" w:space="0"/>
              <w:right w:val="single" w:color="auto" w:sz="4" w:space="0"/>
            </w:tcBorders>
            <w:vAlign w:val="center"/>
          </w:tcPr>
          <w:p w14:paraId="14649217">
            <w:pPr>
              <w:widowControl/>
              <w:jc w:val="center"/>
              <w:rPr>
                <w:rFonts w:eastAsia="等线"/>
                <w:b/>
                <w:bCs/>
                <w:kern w:val="0"/>
                <w:sz w:val="18"/>
                <w:szCs w:val="18"/>
                <w:lang w:val="en-US"/>
              </w:rPr>
            </w:pPr>
          </w:p>
        </w:tc>
      </w:tr>
      <w:tr w14:paraId="060B409D">
        <w:tblPrEx>
          <w:tblCellMar>
            <w:top w:w="0" w:type="dxa"/>
            <w:left w:w="108" w:type="dxa"/>
            <w:bottom w:w="0" w:type="dxa"/>
            <w:right w:w="108" w:type="dxa"/>
          </w:tblCellMar>
        </w:tblPrEx>
        <w:trPr>
          <w:trHeight w:val="393" w:hRule="atLeast"/>
        </w:trPr>
        <w:tc>
          <w:tcPr>
            <w:tcW w:w="588" w:type="dxa"/>
            <w:tcBorders>
              <w:top w:val="nil"/>
              <w:left w:val="single" w:color="auto" w:sz="4" w:space="0"/>
              <w:bottom w:val="single" w:color="auto" w:sz="4" w:space="0"/>
              <w:right w:val="single" w:color="auto" w:sz="4" w:space="0"/>
            </w:tcBorders>
            <w:vAlign w:val="center"/>
          </w:tcPr>
          <w:p w14:paraId="0887B630">
            <w:pPr>
              <w:widowControl/>
              <w:jc w:val="center"/>
              <w:rPr>
                <w:rFonts w:eastAsia="等线"/>
                <w:b/>
                <w:bCs/>
                <w:kern w:val="0"/>
                <w:sz w:val="18"/>
                <w:szCs w:val="18"/>
                <w:lang w:val="en-US"/>
              </w:rPr>
            </w:pPr>
            <w:r>
              <w:rPr>
                <w:rFonts w:eastAsia="等线"/>
                <w:b/>
                <w:bCs/>
                <w:kern w:val="0"/>
                <w:sz w:val="18"/>
                <w:szCs w:val="18"/>
                <w:lang w:val="en-US"/>
              </w:rPr>
              <w:t>N</w:t>
            </w:r>
            <w:r>
              <w:rPr>
                <w:rFonts w:hint="eastAsia" w:ascii="宋体" w:hAnsi="宋体"/>
                <w:b/>
                <w:bCs/>
                <w:kern w:val="0"/>
                <w:sz w:val="18"/>
                <w:szCs w:val="18"/>
                <w:lang w:val="en-US"/>
              </w:rPr>
              <w:t>°</w:t>
            </w:r>
          </w:p>
        </w:tc>
        <w:tc>
          <w:tcPr>
            <w:tcW w:w="1259" w:type="dxa"/>
            <w:tcBorders>
              <w:top w:val="nil"/>
              <w:left w:val="nil"/>
              <w:bottom w:val="single" w:color="auto" w:sz="4" w:space="0"/>
              <w:right w:val="single" w:color="auto" w:sz="4" w:space="0"/>
            </w:tcBorders>
            <w:vAlign w:val="center"/>
          </w:tcPr>
          <w:p w14:paraId="59651665">
            <w:pPr>
              <w:widowControl/>
              <w:jc w:val="center"/>
              <w:rPr>
                <w:rFonts w:eastAsia="等线"/>
                <w:b/>
                <w:bCs/>
                <w:kern w:val="0"/>
                <w:sz w:val="18"/>
                <w:szCs w:val="18"/>
                <w:lang w:val="en-US"/>
              </w:rPr>
            </w:pPr>
            <w:r>
              <w:rPr>
                <w:rFonts w:eastAsia="等线"/>
                <w:b/>
                <w:bCs/>
                <w:kern w:val="0"/>
                <w:sz w:val="18"/>
                <w:szCs w:val="18"/>
                <w:lang w:val="en-US"/>
              </w:rPr>
              <w:t>Nom du travail</w:t>
            </w:r>
          </w:p>
        </w:tc>
        <w:tc>
          <w:tcPr>
            <w:tcW w:w="3035" w:type="dxa"/>
            <w:vMerge w:val="continue"/>
            <w:tcBorders>
              <w:top w:val="nil"/>
              <w:left w:val="single" w:color="auto" w:sz="4" w:space="0"/>
              <w:bottom w:val="single" w:color="auto" w:sz="4" w:space="0"/>
              <w:right w:val="single" w:color="auto" w:sz="4" w:space="0"/>
            </w:tcBorders>
            <w:vAlign w:val="center"/>
          </w:tcPr>
          <w:p w14:paraId="1618FB0F">
            <w:pPr>
              <w:widowControl/>
              <w:jc w:val="left"/>
              <w:rPr>
                <w:rFonts w:eastAsia="等线"/>
                <w:b/>
                <w:bCs/>
                <w:kern w:val="0"/>
                <w:sz w:val="18"/>
                <w:szCs w:val="18"/>
                <w:lang w:val="en-US"/>
              </w:rPr>
            </w:pPr>
          </w:p>
        </w:tc>
        <w:tc>
          <w:tcPr>
            <w:tcW w:w="894" w:type="dxa"/>
            <w:tcBorders>
              <w:top w:val="nil"/>
              <w:left w:val="nil"/>
              <w:bottom w:val="single" w:color="auto" w:sz="4" w:space="0"/>
              <w:right w:val="single" w:color="auto" w:sz="4" w:space="0"/>
            </w:tcBorders>
            <w:vAlign w:val="center"/>
          </w:tcPr>
          <w:p w14:paraId="5764242C">
            <w:pPr>
              <w:widowControl/>
              <w:jc w:val="center"/>
              <w:rPr>
                <w:rFonts w:eastAsia="等线"/>
                <w:b/>
                <w:bCs/>
                <w:kern w:val="0"/>
                <w:sz w:val="18"/>
                <w:szCs w:val="18"/>
                <w:lang w:val="en-US"/>
              </w:rPr>
            </w:pPr>
            <w:r>
              <w:rPr>
                <w:rFonts w:hint="eastAsia" w:eastAsia="等线"/>
                <w:b/>
                <w:bCs/>
                <w:kern w:val="0"/>
                <w:sz w:val="18"/>
                <w:szCs w:val="18"/>
                <w:lang w:val="en-US"/>
              </w:rPr>
              <w:t>V</w:t>
            </w:r>
            <w:r>
              <w:rPr>
                <w:rFonts w:eastAsia="等线"/>
                <w:b/>
                <w:bCs/>
                <w:kern w:val="0"/>
                <w:sz w:val="18"/>
                <w:szCs w:val="18"/>
                <w:lang w:val="en-US"/>
              </w:rPr>
              <w:t>olumes</w:t>
            </w:r>
          </w:p>
        </w:tc>
        <w:tc>
          <w:tcPr>
            <w:tcW w:w="636" w:type="dxa"/>
            <w:tcBorders>
              <w:top w:val="nil"/>
              <w:left w:val="nil"/>
              <w:bottom w:val="single" w:color="auto" w:sz="4" w:space="0"/>
              <w:right w:val="single" w:color="auto" w:sz="4" w:space="0"/>
            </w:tcBorders>
            <w:vAlign w:val="center"/>
          </w:tcPr>
          <w:p w14:paraId="37CC8EE4">
            <w:pPr>
              <w:widowControl/>
              <w:jc w:val="center"/>
              <w:rPr>
                <w:rFonts w:eastAsia="等线"/>
                <w:b/>
                <w:bCs/>
                <w:kern w:val="0"/>
                <w:sz w:val="18"/>
                <w:szCs w:val="18"/>
                <w:lang w:val="en-US"/>
              </w:rPr>
            </w:pPr>
            <w:r>
              <w:rPr>
                <w:rFonts w:hint="eastAsia" w:eastAsia="等线"/>
                <w:b/>
                <w:bCs/>
                <w:kern w:val="0"/>
                <w:sz w:val="18"/>
                <w:szCs w:val="18"/>
                <w:lang w:val="en-US"/>
              </w:rPr>
              <w:t>U</w:t>
            </w:r>
            <w:r>
              <w:rPr>
                <w:rFonts w:eastAsia="等线"/>
                <w:b/>
                <w:bCs/>
                <w:kern w:val="0"/>
                <w:sz w:val="18"/>
                <w:szCs w:val="18"/>
                <w:lang w:val="en-US"/>
              </w:rPr>
              <w:t>nité</w:t>
            </w:r>
          </w:p>
        </w:tc>
        <w:tc>
          <w:tcPr>
            <w:tcW w:w="611" w:type="dxa"/>
            <w:tcBorders>
              <w:top w:val="nil"/>
              <w:left w:val="nil"/>
              <w:bottom w:val="single" w:color="auto" w:sz="4" w:space="0"/>
              <w:right w:val="single" w:color="auto" w:sz="4" w:space="0"/>
            </w:tcBorders>
            <w:vAlign w:val="center"/>
          </w:tcPr>
          <w:p w14:paraId="3D9291AD">
            <w:pPr>
              <w:widowControl/>
              <w:jc w:val="center"/>
              <w:rPr>
                <w:rFonts w:eastAsia="等线"/>
                <w:b/>
                <w:bCs/>
                <w:kern w:val="0"/>
                <w:sz w:val="18"/>
                <w:szCs w:val="18"/>
                <w:lang w:val="en-US"/>
              </w:rPr>
            </w:pPr>
            <w:r>
              <w:rPr>
                <w:rFonts w:hint="eastAsia" w:eastAsia="等线"/>
                <w:b/>
                <w:bCs/>
                <w:kern w:val="0"/>
                <w:sz w:val="18"/>
                <w:szCs w:val="18"/>
                <w:lang w:val="en-US"/>
              </w:rPr>
              <w:t>P</w:t>
            </w:r>
            <w:r>
              <w:rPr>
                <w:rFonts w:eastAsia="等线"/>
                <w:b/>
                <w:bCs/>
                <w:kern w:val="0"/>
                <w:sz w:val="18"/>
                <w:szCs w:val="18"/>
                <w:lang w:val="en-US"/>
              </w:rPr>
              <w:t xml:space="preserve">rix </w:t>
            </w:r>
          </w:p>
        </w:tc>
        <w:tc>
          <w:tcPr>
            <w:tcW w:w="930" w:type="dxa"/>
            <w:tcBorders>
              <w:top w:val="nil"/>
              <w:left w:val="nil"/>
              <w:bottom w:val="single" w:color="auto" w:sz="4" w:space="0"/>
              <w:right w:val="single" w:color="auto" w:sz="4" w:space="0"/>
            </w:tcBorders>
            <w:vAlign w:val="center"/>
          </w:tcPr>
          <w:p w14:paraId="3AEB7350">
            <w:pPr>
              <w:widowControl/>
              <w:jc w:val="center"/>
              <w:rPr>
                <w:rFonts w:eastAsia="等线"/>
                <w:b/>
                <w:bCs/>
                <w:kern w:val="0"/>
                <w:sz w:val="18"/>
                <w:szCs w:val="18"/>
                <w:lang w:val="en-US"/>
              </w:rPr>
            </w:pPr>
            <w:r>
              <w:rPr>
                <w:rFonts w:eastAsia="等线"/>
                <w:b/>
                <w:bCs/>
                <w:kern w:val="0"/>
                <w:sz w:val="18"/>
                <w:szCs w:val="18"/>
                <w:lang w:val="en-US"/>
              </w:rPr>
              <w:t xml:space="preserve">Montant </w:t>
            </w:r>
          </w:p>
        </w:tc>
        <w:tc>
          <w:tcPr>
            <w:tcW w:w="1470" w:type="dxa"/>
            <w:tcBorders>
              <w:top w:val="nil"/>
              <w:left w:val="nil"/>
              <w:bottom w:val="single" w:color="auto" w:sz="4" w:space="0"/>
              <w:right w:val="single" w:color="auto" w:sz="4" w:space="0"/>
            </w:tcBorders>
            <w:vAlign w:val="center"/>
          </w:tcPr>
          <w:p w14:paraId="75B39941">
            <w:pPr>
              <w:widowControl/>
              <w:jc w:val="center"/>
              <w:rPr>
                <w:rFonts w:eastAsia="等线"/>
                <w:b/>
                <w:bCs/>
                <w:kern w:val="0"/>
                <w:sz w:val="18"/>
                <w:szCs w:val="18"/>
                <w:lang w:val="en-US"/>
              </w:rPr>
            </w:pPr>
          </w:p>
        </w:tc>
      </w:tr>
      <w:tr w14:paraId="0A5E82EB">
        <w:tblPrEx>
          <w:tblCellMar>
            <w:top w:w="0" w:type="dxa"/>
            <w:left w:w="108" w:type="dxa"/>
            <w:bottom w:w="0" w:type="dxa"/>
            <w:right w:w="108" w:type="dxa"/>
          </w:tblCellMar>
        </w:tblPrEx>
        <w:trPr>
          <w:trHeight w:val="530" w:hRule="atLeast"/>
        </w:trPr>
        <w:tc>
          <w:tcPr>
            <w:tcW w:w="588" w:type="dxa"/>
            <w:vMerge w:val="restart"/>
            <w:tcBorders>
              <w:top w:val="nil"/>
              <w:left w:val="single" w:color="auto" w:sz="4" w:space="0"/>
              <w:bottom w:val="single" w:color="auto" w:sz="4" w:space="0"/>
              <w:right w:val="single" w:color="auto" w:sz="4" w:space="0"/>
            </w:tcBorders>
            <w:vAlign w:val="center"/>
          </w:tcPr>
          <w:p w14:paraId="78BA6D05">
            <w:pPr>
              <w:widowControl/>
              <w:jc w:val="center"/>
              <w:rPr>
                <w:rFonts w:eastAsia="等线"/>
                <w:kern w:val="0"/>
                <w:sz w:val="18"/>
                <w:szCs w:val="18"/>
                <w:lang w:val="en-US"/>
              </w:rPr>
            </w:pPr>
            <w:r>
              <w:rPr>
                <w:rFonts w:eastAsia="等线"/>
                <w:kern w:val="0"/>
                <w:sz w:val="18"/>
                <w:szCs w:val="18"/>
                <w:lang w:val="en-US"/>
              </w:rPr>
              <w:t>2</w:t>
            </w:r>
          </w:p>
        </w:tc>
        <w:tc>
          <w:tcPr>
            <w:tcW w:w="1259" w:type="dxa"/>
            <w:vMerge w:val="restart"/>
            <w:tcBorders>
              <w:top w:val="nil"/>
              <w:left w:val="single" w:color="auto" w:sz="4" w:space="0"/>
              <w:bottom w:val="single" w:color="000000" w:sz="4" w:space="0"/>
              <w:right w:val="single" w:color="auto" w:sz="4" w:space="0"/>
            </w:tcBorders>
            <w:vAlign w:val="center"/>
          </w:tcPr>
          <w:p w14:paraId="22F55C8B">
            <w:pPr>
              <w:widowControl/>
              <w:jc w:val="center"/>
              <w:rPr>
                <w:rFonts w:eastAsia="等线"/>
                <w:kern w:val="0"/>
                <w:sz w:val="18"/>
                <w:szCs w:val="18"/>
              </w:rPr>
            </w:pPr>
            <w:r>
              <w:rPr>
                <w:rFonts w:eastAsia="等线"/>
                <w:kern w:val="0"/>
                <w:sz w:val="18"/>
                <w:szCs w:val="18"/>
              </w:rPr>
              <w:t>Konsatamy社区足球场</w:t>
            </w:r>
          </w:p>
          <w:p w14:paraId="39EC008F">
            <w:pPr>
              <w:widowControl/>
              <w:jc w:val="center"/>
              <w:rPr>
                <w:rFonts w:eastAsia="等线"/>
                <w:kern w:val="0"/>
                <w:sz w:val="18"/>
                <w:szCs w:val="18"/>
              </w:rPr>
            </w:pPr>
            <w:r>
              <w:rPr>
                <w:rFonts w:hint="eastAsia" w:eastAsia="等线"/>
                <w:kern w:val="0"/>
                <w:sz w:val="18"/>
                <w:szCs w:val="18"/>
              </w:rPr>
              <w:t>T</w:t>
            </w:r>
            <w:r>
              <w:rPr>
                <w:rFonts w:eastAsia="等线"/>
                <w:kern w:val="0"/>
                <w:sz w:val="18"/>
                <w:szCs w:val="18"/>
              </w:rPr>
              <w:t>errain de football communautaire de Konsatamy</w:t>
            </w:r>
            <w:r>
              <w:rPr>
                <w:rFonts w:eastAsia="等线"/>
                <w:kern w:val="0"/>
                <w:sz w:val="18"/>
                <w:szCs w:val="18"/>
              </w:rPr>
              <w:br w:type="textWrapping"/>
            </w:r>
            <w:r>
              <w:rPr>
                <w:rFonts w:eastAsia="等线"/>
                <w:kern w:val="0"/>
                <w:sz w:val="18"/>
                <w:szCs w:val="18"/>
              </w:rPr>
              <w:t xml:space="preserve">  </w:t>
            </w:r>
            <w:r>
              <w:rPr>
                <w:rFonts w:hint="eastAsia" w:ascii="宋体" w:hAnsi="宋体"/>
                <w:kern w:val="0"/>
                <w:sz w:val="18"/>
                <w:szCs w:val="18"/>
              </w:rPr>
              <w:t>（</w:t>
            </w:r>
            <w:r>
              <w:rPr>
                <w:rFonts w:eastAsia="等线"/>
                <w:kern w:val="0"/>
                <w:sz w:val="18"/>
                <w:szCs w:val="18"/>
              </w:rPr>
              <w:t>S=8000</w:t>
            </w:r>
            <w:r>
              <w:rPr>
                <w:rFonts w:hint="eastAsia" w:ascii="宋体" w:hAnsi="宋体"/>
                <w:kern w:val="0"/>
                <w:sz w:val="18"/>
                <w:szCs w:val="18"/>
                <w:lang w:val="en-US"/>
              </w:rPr>
              <w:t>㎡</w:t>
            </w:r>
            <w:r>
              <w:rPr>
                <w:rFonts w:eastAsia="等线"/>
                <w:kern w:val="0"/>
                <w:sz w:val="18"/>
                <w:szCs w:val="18"/>
              </w:rPr>
              <w:t xml:space="preserve">  C=360m</w:t>
            </w:r>
            <w:r>
              <w:rPr>
                <w:rFonts w:hint="eastAsia" w:ascii="宋体" w:hAnsi="宋体"/>
                <w:kern w:val="0"/>
                <w:sz w:val="18"/>
                <w:szCs w:val="18"/>
              </w:rPr>
              <w:t>）</w:t>
            </w:r>
          </w:p>
        </w:tc>
        <w:tc>
          <w:tcPr>
            <w:tcW w:w="3035" w:type="dxa"/>
            <w:tcBorders>
              <w:top w:val="nil"/>
              <w:left w:val="nil"/>
              <w:bottom w:val="single" w:color="auto" w:sz="4" w:space="0"/>
              <w:right w:val="single" w:color="auto" w:sz="4" w:space="0"/>
            </w:tcBorders>
            <w:vAlign w:val="center"/>
          </w:tcPr>
          <w:p w14:paraId="2DDE5367">
            <w:pPr>
              <w:widowControl/>
              <w:rPr>
                <w:rFonts w:eastAsia="等线"/>
                <w:kern w:val="0"/>
                <w:sz w:val="18"/>
                <w:szCs w:val="18"/>
                <w:lang w:val="en-US"/>
              </w:rPr>
            </w:pPr>
            <w:r>
              <w:rPr>
                <w:rFonts w:hint="eastAsia" w:ascii="宋体" w:hAnsi="宋体"/>
                <w:kern w:val="0"/>
                <w:sz w:val="18"/>
                <w:szCs w:val="18"/>
                <w:lang w:val="en-US"/>
              </w:rPr>
              <w:t>基层作业面清理</w:t>
            </w:r>
            <w:r>
              <w:rPr>
                <w:rFonts w:eastAsia="等线"/>
                <w:kern w:val="0"/>
                <w:sz w:val="18"/>
                <w:szCs w:val="18"/>
                <w:lang w:val="en-US"/>
              </w:rPr>
              <w:t>Nettoyage de la surface originale du terrain de football</w:t>
            </w:r>
          </w:p>
        </w:tc>
        <w:tc>
          <w:tcPr>
            <w:tcW w:w="894" w:type="dxa"/>
            <w:tcBorders>
              <w:top w:val="nil"/>
              <w:left w:val="nil"/>
              <w:bottom w:val="single" w:color="auto" w:sz="4" w:space="0"/>
              <w:right w:val="single" w:color="auto" w:sz="4" w:space="0"/>
            </w:tcBorders>
            <w:vAlign w:val="center"/>
          </w:tcPr>
          <w:p w14:paraId="45326E02">
            <w:pPr>
              <w:widowControl/>
              <w:jc w:val="center"/>
              <w:rPr>
                <w:rFonts w:eastAsia="等线"/>
                <w:kern w:val="0"/>
                <w:sz w:val="18"/>
                <w:szCs w:val="18"/>
                <w:lang w:val="en-US"/>
              </w:rPr>
            </w:pPr>
            <w:r>
              <w:rPr>
                <w:rFonts w:eastAsia="等线"/>
                <w:kern w:val="0"/>
                <w:sz w:val="18"/>
                <w:szCs w:val="18"/>
                <w:lang w:val="en-US"/>
              </w:rPr>
              <w:t>8000</w:t>
            </w:r>
          </w:p>
        </w:tc>
        <w:tc>
          <w:tcPr>
            <w:tcW w:w="636" w:type="dxa"/>
            <w:tcBorders>
              <w:top w:val="nil"/>
              <w:left w:val="nil"/>
              <w:bottom w:val="single" w:color="auto" w:sz="4" w:space="0"/>
              <w:right w:val="single" w:color="auto" w:sz="4" w:space="0"/>
            </w:tcBorders>
            <w:vAlign w:val="center"/>
          </w:tcPr>
          <w:p w14:paraId="3AB32987">
            <w:pPr>
              <w:widowControl/>
              <w:jc w:val="center"/>
              <w:rPr>
                <w:rFonts w:ascii="宋体" w:hAnsi="宋体" w:cs="宋体"/>
                <w:kern w:val="0"/>
                <w:sz w:val="18"/>
                <w:szCs w:val="18"/>
                <w:lang w:val="en-US"/>
              </w:rPr>
            </w:pPr>
            <w:r>
              <w:rPr>
                <w:rFonts w:hint="eastAsia" w:ascii="宋体" w:hAnsi="宋体" w:cs="宋体"/>
                <w:kern w:val="0"/>
                <w:sz w:val="18"/>
                <w:szCs w:val="18"/>
                <w:lang w:val="en-US"/>
              </w:rPr>
              <w:t>㎡</w:t>
            </w:r>
          </w:p>
        </w:tc>
        <w:tc>
          <w:tcPr>
            <w:tcW w:w="611" w:type="dxa"/>
            <w:tcBorders>
              <w:top w:val="nil"/>
              <w:left w:val="nil"/>
              <w:bottom w:val="single" w:color="auto" w:sz="4" w:space="0"/>
              <w:right w:val="single" w:color="auto" w:sz="4" w:space="0"/>
            </w:tcBorders>
            <w:noWrap/>
            <w:vAlign w:val="bottom"/>
          </w:tcPr>
          <w:p w14:paraId="064D01FA">
            <w:pPr>
              <w:widowControl/>
              <w:jc w:val="left"/>
              <w:rPr>
                <w:rFonts w:eastAsia="等线"/>
                <w:kern w:val="0"/>
                <w:sz w:val="18"/>
                <w:szCs w:val="18"/>
                <w:lang w:val="en-US"/>
              </w:rPr>
            </w:pPr>
          </w:p>
        </w:tc>
        <w:tc>
          <w:tcPr>
            <w:tcW w:w="930" w:type="dxa"/>
            <w:tcBorders>
              <w:top w:val="nil"/>
              <w:left w:val="nil"/>
              <w:bottom w:val="single" w:color="auto" w:sz="4" w:space="0"/>
              <w:right w:val="single" w:color="auto" w:sz="4" w:space="0"/>
            </w:tcBorders>
            <w:noWrap/>
            <w:vAlign w:val="bottom"/>
          </w:tcPr>
          <w:p w14:paraId="535196CE">
            <w:pPr>
              <w:widowControl/>
              <w:jc w:val="left"/>
              <w:rPr>
                <w:rFonts w:eastAsia="等线"/>
                <w:kern w:val="0"/>
                <w:sz w:val="18"/>
                <w:szCs w:val="18"/>
                <w:lang w:val="en-US"/>
              </w:rPr>
            </w:pPr>
          </w:p>
        </w:tc>
        <w:tc>
          <w:tcPr>
            <w:tcW w:w="1470" w:type="dxa"/>
            <w:tcBorders>
              <w:top w:val="nil"/>
              <w:left w:val="nil"/>
              <w:bottom w:val="single" w:color="auto" w:sz="4" w:space="0"/>
              <w:right w:val="single" w:color="auto" w:sz="4" w:space="0"/>
            </w:tcBorders>
            <w:noWrap/>
            <w:vAlign w:val="bottom"/>
          </w:tcPr>
          <w:p w14:paraId="7C134582">
            <w:pPr>
              <w:widowControl/>
              <w:jc w:val="center"/>
              <w:rPr>
                <w:rFonts w:eastAsia="等线"/>
                <w:kern w:val="0"/>
                <w:sz w:val="18"/>
                <w:szCs w:val="18"/>
                <w:lang w:val="en-US"/>
              </w:rPr>
            </w:pPr>
            <w:r>
              <w:rPr>
                <w:rFonts w:eastAsia="等线"/>
                <w:kern w:val="0"/>
                <w:sz w:val="18"/>
                <w:szCs w:val="18"/>
                <w:lang w:val="en-US"/>
              </w:rPr>
              <w:t xml:space="preserve">          -   </w:t>
            </w:r>
          </w:p>
        </w:tc>
      </w:tr>
      <w:tr w14:paraId="3945C8BC">
        <w:tblPrEx>
          <w:tblCellMar>
            <w:top w:w="0" w:type="dxa"/>
            <w:left w:w="108" w:type="dxa"/>
            <w:bottom w:w="0" w:type="dxa"/>
            <w:right w:w="108" w:type="dxa"/>
          </w:tblCellMar>
        </w:tblPrEx>
        <w:trPr>
          <w:trHeight w:val="659" w:hRule="atLeast"/>
        </w:trPr>
        <w:tc>
          <w:tcPr>
            <w:tcW w:w="588" w:type="dxa"/>
            <w:vMerge w:val="continue"/>
            <w:tcBorders>
              <w:top w:val="nil"/>
              <w:left w:val="single" w:color="auto" w:sz="4" w:space="0"/>
              <w:bottom w:val="single" w:color="auto" w:sz="4" w:space="0"/>
              <w:right w:val="single" w:color="auto" w:sz="4" w:space="0"/>
            </w:tcBorders>
            <w:vAlign w:val="center"/>
          </w:tcPr>
          <w:p w14:paraId="66D11A0E">
            <w:pPr>
              <w:widowControl/>
              <w:jc w:val="center"/>
              <w:rPr>
                <w:rFonts w:eastAsia="等线"/>
                <w:kern w:val="0"/>
                <w:sz w:val="18"/>
                <w:szCs w:val="18"/>
                <w:lang w:val="en-US"/>
              </w:rPr>
            </w:pPr>
          </w:p>
        </w:tc>
        <w:tc>
          <w:tcPr>
            <w:tcW w:w="1259" w:type="dxa"/>
            <w:vMerge w:val="continue"/>
            <w:tcBorders>
              <w:top w:val="nil"/>
              <w:left w:val="single" w:color="auto" w:sz="4" w:space="0"/>
              <w:bottom w:val="single" w:color="000000" w:sz="4" w:space="0"/>
              <w:right w:val="single" w:color="auto" w:sz="4" w:space="0"/>
            </w:tcBorders>
            <w:vAlign w:val="center"/>
          </w:tcPr>
          <w:p w14:paraId="7EE17D20">
            <w:pPr>
              <w:widowControl/>
              <w:jc w:val="center"/>
              <w:rPr>
                <w:rFonts w:eastAsia="等线"/>
                <w:kern w:val="0"/>
                <w:sz w:val="18"/>
                <w:szCs w:val="18"/>
                <w:lang w:val="en-US"/>
              </w:rPr>
            </w:pPr>
          </w:p>
        </w:tc>
        <w:tc>
          <w:tcPr>
            <w:tcW w:w="3035" w:type="dxa"/>
            <w:tcBorders>
              <w:top w:val="nil"/>
              <w:left w:val="nil"/>
              <w:bottom w:val="single" w:color="auto" w:sz="4" w:space="0"/>
              <w:right w:val="single" w:color="auto" w:sz="4" w:space="0"/>
            </w:tcBorders>
            <w:vAlign w:val="center"/>
          </w:tcPr>
          <w:p w14:paraId="2B8A2000">
            <w:pPr>
              <w:widowControl/>
              <w:rPr>
                <w:rFonts w:ascii="宋体" w:hAnsi="宋体"/>
                <w:kern w:val="0"/>
                <w:sz w:val="18"/>
                <w:szCs w:val="18"/>
                <w:lang w:val="en-US"/>
              </w:rPr>
            </w:pPr>
            <w:r>
              <w:rPr>
                <w:rFonts w:hint="eastAsia" w:ascii="宋体" w:hAnsi="宋体"/>
                <w:kern w:val="0"/>
                <w:sz w:val="18"/>
                <w:szCs w:val="18"/>
                <w:lang w:val="en-US"/>
              </w:rPr>
              <w:t>红土粒料摊铺、压实，厚度10cm</w:t>
            </w:r>
            <w:r>
              <w:rPr>
                <w:rFonts w:eastAsia="等线"/>
                <w:kern w:val="0"/>
                <w:sz w:val="18"/>
                <w:szCs w:val="18"/>
                <w:lang w:val="en-US"/>
              </w:rPr>
              <w:br w:type="textWrapping"/>
            </w:r>
            <w:r>
              <w:rPr>
                <w:rFonts w:eastAsia="等线"/>
                <w:kern w:val="0"/>
                <w:sz w:val="18"/>
                <w:szCs w:val="18"/>
                <w:lang w:val="en-US"/>
              </w:rPr>
              <w:t>Pose et compactage de granulés de latérite</w:t>
            </w:r>
          </w:p>
        </w:tc>
        <w:tc>
          <w:tcPr>
            <w:tcW w:w="894" w:type="dxa"/>
            <w:tcBorders>
              <w:top w:val="nil"/>
              <w:left w:val="nil"/>
              <w:bottom w:val="single" w:color="auto" w:sz="4" w:space="0"/>
              <w:right w:val="single" w:color="auto" w:sz="4" w:space="0"/>
            </w:tcBorders>
            <w:vAlign w:val="center"/>
          </w:tcPr>
          <w:p w14:paraId="6CFA5EB6">
            <w:pPr>
              <w:widowControl/>
              <w:jc w:val="center"/>
              <w:rPr>
                <w:rFonts w:eastAsia="等线"/>
                <w:kern w:val="0"/>
                <w:sz w:val="18"/>
                <w:szCs w:val="18"/>
                <w:lang w:val="en-US"/>
              </w:rPr>
            </w:pPr>
            <w:r>
              <w:rPr>
                <w:rFonts w:hint="eastAsia" w:eastAsia="等线"/>
                <w:kern w:val="0"/>
                <w:sz w:val="18"/>
                <w:szCs w:val="18"/>
                <w:lang w:val="en-US"/>
              </w:rPr>
              <w:t>800</w:t>
            </w:r>
          </w:p>
        </w:tc>
        <w:tc>
          <w:tcPr>
            <w:tcW w:w="636" w:type="dxa"/>
            <w:tcBorders>
              <w:top w:val="nil"/>
              <w:left w:val="nil"/>
              <w:bottom w:val="single" w:color="auto" w:sz="4" w:space="0"/>
              <w:right w:val="single" w:color="auto" w:sz="4" w:space="0"/>
            </w:tcBorders>
            <w:vAlign w:val="center"/>
          </w:tcPr>
          <w:p w14:paraId="5C106D98">
            <w:pPr>
              <w:widowControl/>
              <w:jc w:val="center"/>
              <w:rPr>
                <w:rFonts w:ascii="宋体" w:hAnsi="宋体" w:cs="宋体"/>
                <w:kern w:val="0"/>
                <w:sz w:val="18"/>
                <w:szCs w:val="18"/>
                <w:lang w:val="en-US"/>
              </w:rPr>
            </w:pPr>
            <w:r>
              <w:rPr>
                <w:rFonts w:hint="eastAsia" w:ascii="宋体" w:hAnsi="宋体" w:cs="宋体"/>
                <w:kern w:val="0"/>
                <w:sz w:val="18"/>
                <w:szCs w:val="18"/>
                <w:lang w:val="en-US"/>
              </w:rPr>
              <w:t>m</w:t>
            </w:r>
            <w:r>
              <w:rPr>
                <w:rFonts w:hint="eastAsia" w:ascii="宋体" w:hAnsi="宋体" w:cs="宋体"/>
                <w:kern w:val="0"/>
                <w:sz w:val="18"/>
                <w:szCs w:val="18"/>
                <w:vertAlign w:val="superscript"/>
                <w:lang w:val="en-US"/>
              </w:rPr>
              <w:t>3</w:t>
            </w:r>
          </w:p>
        </w:tc>
        <w:tc>
          <w:tcPr>
            <w:tcW w:w="611" w:type="dxa"/>
            <w:tcBorders>
              <w:top w:val="nil"/>
              <w:left w:val="nil"/>
              <w:bottom w:val="single" w:color="auto" w:sz="4" w:space="0"/>
              <w:right w:val="single" w:color="auto" w:sz="4" w:space="0"/>
            </w:tcBorders>
            <w:noWrap/>
            <w:vAlign w:val="bottom"/>
          </w:tcPr>
          <w:p w14:paraId="7D493542">
            <w:pPr>
              <w:widowControl/>
              <w:jc w:val="left"/>
              <w:rPr>
                <w:rFonts w:eastAsia="等线"/>
                <w:kern w:val="0"/>
                <w:sz w:val="18"/>
                <w:szCs w:val="18"/>
                <w:lang w:val="en-US"/>
              </w:rPr>
            </w:pPr>
          </w:p>
        </w:tc>
        <w:tc>
          <w:tcPr>
            <w:tcW w:w="930" w:type="dxa"/>
            <w:tcBorders>
              <w:top w:val="nil"/>
              <w:left w:val="nil"/>
              <w:bottom w:val="single" w:color="auto" w:sz="4" w:space="0"/>
              <w:right w:val="single" w:color="auto" w:sz="4" w:space="0"/>
            </w:tcBorders>
            <w:noWrap/>
            <w:vAlign w:val="bottom"/>
          </w:tcPr>
          <w:p w14:paraId="7C8D2B65">
            <w:pPr>
              <w:widowControl/>
              <w:jc w:val="left"/>
              <w:rPr>
                <w:rFonts w:eastAsia="等线"/>
                <w:kern w:val="0"/>
                <w:sz w:val="18"/>
                <w:szCs w:val="18"/>
                <w:lang w:val="en-US"/>
              </w:rPr>
            </w:pPr>
          </w:p>
        </w:tc>
        <w:tc>
          <w:tcPr>
            <w:tcW w:w="1470" w:type="dxa"/>
            <w:tcBorders>
              <w:top w:val="nil"/>
              <w:left w:val="nil"/>
              <w:bottom w:val="single" w:color="auto" w:sz="4" w:space="0"/>
              <w:right w:val="single" w:color="auto" w:sz="4" w:space="0"/>
            </w:tcBorders>
            <w:noWrap/>
            <w:vAlign w:val="bottom"/>
          </w:tcPr>
          <w:p w14:paraId="4EC6BCCC">
            <w:pPr>
              <w:widowControl/>
              <w:jc w:val="center"/>
              <w:rPr>
                <w:rFonts w:eastAsia="等线"/>
                <w:kern w:val="0"/>
                <w:sz w:val="18"/>
                <w:szCs w:val="18"/>
                <w:lang w:val="en-US"/>
              </w:rPr>
            </w:pPr>
            <w:r>
              <w:rPr>
                <w:rFonts w:hint="eastAsia" w:eastAsia="等线"/>
                <w:kern w:val="0"/>
                <w:sz w:val="18"/>
                <w:szCs w:val="18"/>
                <w:lang w:val="en-US"/>
              </w:rPr>
              <w:t>暂定工程量（Les V</w:t>
            </w:r>
            <w:r>
              <w:rPr>
                <w:rFonts w:eastAsia="等线"/>
                <w:kern w:val="0"/>
                <w:sz w:val="18"/>
                <w:szCs w:val="18"/>
                <w:lang w:val="en-US"/>
              </w:rPr>
              <w:t>olumes</w:t>
            </w:r>
            <w:r>
              <w:rPr>
                <w:rFonts w:hint="eastAsia" w:eastAsia="等线"/>
                <w:kern w:val="0"/>
                <w:sz w:val="18"/>
                <w:szCs w:val="18"/>
                <w:lang w:val="en-US"/>
              </w:rPr>
              <w:t xml:space="preserve"> sont </w:t>
            </w:r>
            <w:r>
              <w:rPr>
                <w:rFonts w:ascii="Segoe UI" w:hAnsi="Segoe UI" w:eastAsia="Segoe UI" w:cs="Segoe UI"/>
                <w:sz w:val="16"/>
                <w:szCs w:val="16"/>
                <w:shd w:val="clear" w:color="auto" w:fill="FFFFFF"/>
              </w:rPr>
              <w:t>provisoire</w:t>
            </w:r>
            <w:r>
              <w:rPr>
                <w:rFonts w:hint="eastAsia" w:ascii="Segoe UI" w:hAnsi="Segoe UI" w:cs="Segoe UI"/>
                <w:sz w:val="16"/>
                <w:szCs w:val="16"/>
                <w:shd w:val="clear" w:color="auto" w:fill="FFFFFF"/>
                <w:lang w:val="en-US"/>
              </w:rPr>
              <w:t>s</w:t>
            </w:r>
            <w:r>
              <w:rPr>
                <w:rFonts w:hint="eastAsia" w:eastAsia="等线"/>
                <w:kern w:val="0"/>
                <w:sz w:val="18"/>
                <w:szCs w:val="18"/>
                <w:lang w:val="en-US"/>
              </w:rPr>
              <w:t>）</w:t>
            </w:r>
          </w:p>
        </w:tc>
      </w:tr>
      <w:tr w14:paraId="69FDF939">
        <w:tblPrEx>
          <w:tblCellMar>
            <w:top w:w="0" w:type="dxa"/>
            <w:left w:w="108" w:type="dxa"/>
            <w:bottom w:w="0" w:type="dxa"/>
            <w:right w:w="108" w:type="dxa"/>
          </w:tblCellMar>
        </w:tblPrEx>
        <w:trPr>
          <w:trHeight w:val="439" w:hRule="atLeast"/>
        </w:trPr>
        <w:tc>
          <w:tcPr>
            <w:tcW w:w="588" w:type="dxa"/>
            <w:vMerge w:val="continue"/>
            <w:tcBorders>
              <w:top w:val="nil"/>
              <w:left w:val="single" w:color="auto" w:sz="4" w:space="0"/>
              <w:bottom w:val="single" w:color="auto" w:sz="4" w:space="0"/>
              <w:right w:val="single" w:color="auto" w:sz="4" w:space="0"/>
            </w:tcBorders>
            <w:vAlign w:val="center"/>
          </w:tcPr>
          <w:p w14:paraId="453299FB">
            <w:pPr>
              <w:widowControl/>
              <w:jc w:val="left"/>
              <w:rPr>
                <w:rFonts w:eastAsia="等线"/>
                <w:kern w:val="0"/>
                <w:sz w:val="18"/>
                <w:szCs w:val="18"/>
                <w:lang w:val="en-US"/>
              </w:rPr>
            </w:pPr>
          </w:p>
        </w:tc>
        <w:tc>
          <w:tcPr>
            <w:tcW w:w="1259" w:type="dxa"/>
            <w:vMerge w:val="continue"/>
            <w:tcBorders>
              <w:top w:val="nil"/>
              <w:left w:val="single" w:color="auto" w:sz="4" w:space="0"/>
              <w:bottom w:val="single" w:color="000000" w:sz="4" w:space="0"/>
              <w:right w:val="single" w:color="auto" w:sz="4" w:space="0"/>
            </w:tcBorders>
            <w:vAlign w:val="center"/>
          </w:tcPr>
          <w:p w14:paraId="414A092D">
            <w:pPr>
              <w:widowControl/>
              <w:jc w:val="left"/>
              <w:rPr>
                <w:rFonts w:eastAsia="等线"/>
                <w:kern w:val="0"/>
                <w:sz w:val="18"/>
                <w:szCs w:val="18"/>
                <w:lang w:val="en-US"/>
              </w:rPr>
            </w:pPr>
          </w:p>
        </w:tc>
        <w:tc>
          <w:tcPr>
            <w:tcW w:w="3035" w:type="dxa"/>
            <w:tcBorders>
              <w:top w:val="nil"/>
              <w:left w:val="nil"/>
              <w:bottom w:val="single" w:color="auto" w:sz="4" w:space="0"/>
              <w:right w:val="single" w:color="auto" w:sz="4" w:space="0"/>
            </w:tcBorders>
            <w:vAlign w:val="center"/>
          </w:tcPr>
          <w:p w14:paraId="504ED8C4">
            <w:pPr>
              <w:widowControl/>
              <w:rPr>
                <w:rFonts w:eastAsia="等线"/>
                <w:kern w:val="0"/>
                <w:sz w:val="18"/>
                <w:szCs w:val="18"/>
                <w:lang w:val="en-US"/>
              </w:rPr>
            </w:pPr>
            <w:r>
              <w:rPr>
                <w:rFonts w:hint="eastAsia" w:ascii="宋体" w:hAnsi="宋体"/>
                <w:kern w:val="0"/>
                <w:sz w:val="18"/>
                <w:szCs w:val="18"/>
                <w:lang w:val="en-US"/>
              </w:rPr>
              <w:t>足球场四周排水沟进行修整</w:t>
            </w:r>
            <w:r>
              <w:rPr>
                <w:rFonts w:eastAsia="等线"/>
                <w:kern w:val="0"/>
                <w:sz w:val="18"/>
                <w:szCs w:val="18"/>
                <w:lang w:val="en-US"/>
              </w:rPr>
              <w:t xml:space="preserve"> </w:t>
            </w:r>
            <w:r>
              <w:rPr>
                <w:rFonts w:hint="eastAsia" w:ascii="宋体" w:hAnsi="宋体"/>
                <w:kern w:val="0"/>
                <w:sz w:val="18"/>
                <w:szCs w:val="18"/>
                <w:lang w:val="en-US"/>
              </w:rPr>
              <w:t>（宽40cm 深30cm）</w:t>
            </w:r>
            <w:r>
              <w:rPr>
                <w:rFonts w:eastAsia="等线"/>
                <w:kern w:val="0"/>
                <w:sz w:val="18"/>
                <w:szCs w:val="18"/>
                <w:lang w:val="en-US"/>
              </w:rPr>
              <w:br w:type="textWrapping"/>
            </w:r>
            <w:r>
              <w:rPr>
                <w:rFonts w:eastAsia="等线"/>
                <w:kern w:val="0"/>
                <w:sz w:val="18"/>
                <w:szCs w:val="18"/>
                <w:lang w:val="en-US"/>
              </w:rPr>
              <w:t>Réhabilitation des fossés de drainage  (largeur : 40 cm, profondeur : 30 cm)</w:t>
            </w:r>
            <w:r>
              <w:rPr>
                <w:rFonts w:hint="eastAsia" w:eastAsia="等线"/>
                <w:kern w:val="0"/>
                <w:sz w:val="18"/>
                <w:szCs w:val="18"/>
                <w:lang w:val="en-US"/>
              </w:rPr>
              <w:t xml:space="preserve"> </w:t>
            </w:r>
            <w:r>
              <w:rPr>
                <w:rFonts w:eastAsia="等线"/>
                <w:kern w:val="0"/>
                <w:sz w:val="18"/>
                <w:szCs w:val="18"/>
                <w:lang w:val="en-US"/>
              </w:rPr>
              <w:t>autour des terrains de football</w:t>
            </w:r>
          </w:p>
        </w:tc>
        <w:tc>
          <w:tcPr>
            <w:tcW w:w="894" w:type="dxa"/>
            <w:tcBorders>
              <w:top w:val="nil"/>
              <w:left w:val="nil"/>
              <w:bottom w:val="single" w:color="auto" w:sz="4" w:space="0"/>
              <w:right w:val="single" w:color="auto" w:sz="4" w:space="0"/>
            </w:tcBorders>
            <w:vAlign w:val="center"/>
          </w:tcPr>
          <w:p w14:paraId="7BDEB3BC">
            <w:pPr>
              <w:widowControl/>
              <w:jc w:val="center"/>
              <w:rPr>
                <w:rFonts w:eastAsia="等线"/>
                <w:kern w:val="0"/>
                <w:sz w:val="18"/>
                <w:szCs w:val="18"/>
                <w:lang w:val="en-US"/>
              </w:rPr>
            </w:pPr>
            <w:r>
              <w:rPr>
                <w:rFonts w:eastAsia="等线"/>
                <w:kern w:val="0"/>
                <w:sz w:val="18"/>
                <w:szCs w:val="18"/>
                <w:lang w:val="en-US"/>
              </w:rPr>
              <w:t>360</w:t>
            </w:r>
          </w:p>
        </w:tc>
        <w:tc>
          <w:tcPr>
            <w:tcW w:w="636" w:type="dxa"/>
            <w:tcBorders>
              <w:top w:val="nil"/>
              <w:left w:val="nil"/>
              <w:bottom w:val="single" w:color="auto" w:sz="4" w:space="0"/>
              <w:right w:val="single" w:color="auto" w:sz="4" w:space="0"/>
            </w:tcBorders>
            <w:vAlign w:val="center"/>
          </w:tcPr>
          <w:p w14:paraId="29A24004">
            <w:pPr>
              <w:widowControl/>
              <w:jc w:val="center"/>
              <w:rPr>
                <w:rFonts w:ascii="宋体" w:hAnsi="宋体" w:cs="宋体"/>
                <w:kern w:val="0"/>
                <w:sz w:val="18"/>
                <w:szCs w:val="18"/>
                <w:lang w:val="en-US"/>
              </w:rPr>
            </w:pPr>
            <w:r>
              <w:rPr>
                <w:rFonts w:eastAsia="等线"/>
                <w:kern w:val="0"/>
                <w:sz w:val="18"/>
                <w:szCs w:val="18"/>
                <w:lang w:val="en-US"/>
              </w:rPr>
              <w:t>m</w:t>
            </w:r>
          </w:p>
        </w:tc>
        <w:tc>
          <w:tcPr>
            <w:tcW w:w="611" w:type="dxa"/>
            <w:tcBorders>
              <w:top w:val="nil"/>
              <w:left w:val="nil"/>
              <w:bottom w:val="single" w:color="auto" w:sz="4" w:space="0"/>
              <w:right w:val="single" w:color="auto" w:sz="4" w:space="0"/>
            </w:tcBorders>
            <w:noWrap/>
            <w:vAlign w:val="bottom"/>
          </w:tcPr>
          <w:p w14:paraId="507E91B9">
            <w:pPr>
              <w:widowControl/>
              <w:jc w:val="left"/>
              <w:rPr>
                <w:rFonts w:eastAsia="等线"/>
                <w:kern w:val="0"/>
                <w:sz w:val="18"/>
                <w:szCs w:val="18"/>
                <w:lang w:val="en-US"/>
              </w:rPr>
            </w:pPr>
          </w:p>
        </w:tc>
        <w:tc>
          <w:tcPr>
            <w:tcW w:w="930" w:type="dxa"/>
            <w:tcBorders>
              <w:top w:val="nil"/>
              <w:left w:val="nil"/>
              <w:bottom w:val="single" w:color="auto" w:sz="4" w:space="0"/>
              <w:right w:val="single" w:color="auto" w:sz="4" w:space="0"/>
            </w:tcBorders>
            <w:noWrap/>
            <w:vAlign w:val="bottom"/>
          </w:tcPr>
          <w:p w14:paraId="22A94FDC">
            <w:pPr>
              <w:widowControl/>
              <w:jc w:val="left"/>
              <w:rPr>
                <w:rFonts w:eastAsia="等线"/>
                <w:kern w:val="0"/>
                <w:sz w:val="18"/>
                <w:szCs w:val="18"/>
                <w:lang w:val="en-US"/>
              </w:rPr>
            </w:pPr>
          </w:p>
        </w:tc>
        <w:tc>
          <w:tcPr>
            <w:tcW w:w="1470" w:type="dxa"/>
            <w:tcBorders>
              <w:top w:val="nil"/>
              <w:left w:val="nil"/>
              <w:bottom w:val="single" w:color="auto" w:sz="4" w:space="0"/>
              <w:right w:val="single" w:color="auto" w:sz="4" w:space="0"/>
            </w:tcBorders>
            <w:noWrap/>
            <w:vAlign w:val="bottom"/>
          </w:tcPr>
          <w:p w14:paraId="546962BE">
            <w:pPr>
              <w:widowControl/>
              <w:jc w:val="center"/>
              <w:rPr>
                <w:rFonts w:eastAsia="等线"/>
                <w:kern w:val="0"/>
                <w:sz w:val="18"/>
                <w:szCs w:val="18"/>
                <w:lang w:val="en-US"/>
              </w:rPr>
            </w:pPr>
            <w:r>
              <w:rPr>
                <w:rFonts w:eastAsia="等线"/>
                <w:kern w:val="0"/>
                <w:sz w:val="18"/>
                <w:szCs w:val="18"/>
                <w:lang w:val="en-US"/>
              </w:rPr>
              <w:t xml:space="preserve">          -   </w:t>
            </w:r>
          </w:p>
        </w:tc>
      </w:tr>
      <w:tr w14:paraId="58A7FF07">
        <w:tblPrEx>
          <w:tblCellMar>
            <w:top w:w="0" w:type="dxa"/>
            <w:left w:w="108" w:type="dxa"/>
            <w:bottom w:w="0" w:type="dxa"/>
            <w:right w:w="108" w:type="dxa"/>
          </w:tblCellMar>
        </w:tblPrEx>
        <w:trPr>
          <w:trHeight w:val="439" w:hRule="atLeast"/>
        </w:trPr>
        <w:tc>
          <w:tcPr>
            <w:tcW w:w="588" w:type="dxa"/>
            <w:vMerge w:val="continue"/>
            <w:tcBorders>
              <w:top w:val="nil"/>
              <w:left w:val="single" w:color="auto" w:sz="4" w:space="0"/>
              <w:bottom w:val="single" w:color="auto" w:sz="4" w:space="0"/>
              <w:right w:val="single" w:color="auto" w:sz="4" w:space="0"/>
            </w:tcBorders>
            <w:vAlign w:val="center"/>
          </w:tcPr>
          <w:p w14:paraId="4F4EF69E">
            <w:pPr>
              <w:widowControl/>
              <w:jc w:val="left"/>
              <w:rPr>
                <w:rFonts w:eastAsia="等线"/>
                <w:kern w:val="0"/>
                <w:sz w:val="18"/>
                <w:szCs w:val="18"/>
                <w:lang w:val="en-US"/>
              </w:rPr>
            </w:pPr>
          </w:p>
        </w:tc>
        <w:tc>
          <w:tcPr>
            <w:tcW w:w="1259" w:type="dxa"/>
            <w:vMerge w:val="continue"/>
            <w:tcBorders>
              <w:top w:val="nil"/>
              <w:left w:val="single" w:color="auto" w:sz="4" w:space="0"/>
              <w:bottom w:val="single" w:color="000000" w:sz="4" w:space="0"/>
              <w:right w:val="single" w:color="auto" w:sz="4" w:space="0"/>
            </w:tcBorders>
            <w:vAlign w:val="center"/>
          </w:tcPr>
          <w:p w14:paraId="2357EF5B">
            <w:pPr>
              <w:widowControl/>
              <w:jc w:val="left"/>
              <w:rPr>
                <w:rFonts w:eastAsia="等线"/>
                <w:kern w:val="0"/>
                <w:sz w:val="18"/>
                <w:szCs w:val="18"/>
                <w:lang w:val="en-US"/>
              </w:rPr>
            </w:pPr>
          </w:p>
        </w:tc>
        <w:tc>
          <w:tcPr>
            <w:tcW w:w="3035" w:type="dxa"/>
            <w:tcBorders>
              <w:top w:val="nil"/>
              <w:left w:val="nil"/>
              <w:bottom w:val="single" w:color="auto" w:sz="4" w:space="0"/>
              <w:right w:val="single" w:color="auto" w:sz="4" w:space="0"/>
            </w:tcBorders>
            <w:vAlign w:val="center"/>
          </w:tcPr>
          <w:p w14:paraId="7F86355F">
            <w:pPr>
              <w:widowControl/>
              <w:rPr>
                <w:rFonts w:eastAsia="等线"/>
                <w:kern w:val="0"/>
                <w:sz w:val="18"/>
                <w:szCs w:val="18"/>
                <w:lang w:val="en-US"/>
              </w:rPr>
            </w:pPr>
            <w:r>
              <w:rPr>
                <w:rFonts w:hint="eastAsia" w:ascii="宋体" w:hAnsi="宋体"/>
                <w:kern w:val="0"/>
                <w:sz w:val="18"/>
                <w:szCs w:val="18"/>
                <w:lang w:val="en-US"/>
              </w:rPr>
              <w:t>砖砌长凳（宽</w:t>
            </w:r>
            <w:r>
              <w:rPr>
                <w:rFonts w:eastAsia="等线"/>
                <w:kern w:val="0"/>
                <w:sz w:val="18"/>
                <w:szCs w:val="18"/>
                <w:lang w:val="en-US"/>
              </w:rPr>
              <w:t xml:space="preserve">50cm  </w:t>
            </w:r>
            <w:r>
              <w:rPr>
                <w:rFonts w:hint="eastAsia" w:ascii="宋体" w:hAnsi="宋体"/>
                <w:kern w:val="0"/>
                <w:sz w:val="18"/>
                <w:szCs w:val="18"/>
                <w:lang w:val="en-US"/>
              </w:rPr>
              <w:t>高</w:t>
            </w:r>
            <w:r>
              <w:rPr>
                <w:rFonts w:eastAsia="等线"/>
                <w:kern w:val="0"/>
                <w:sz w:val="18"/>
                <w:szCs w:val="18"/>
                <w:lang w:val="en-US"/>
              </w:rPr>
              <w:t>45cm</w:t>
            </w:r>
            <w:r>
              <w:rPr>
                <w:rFonts w:hint="eastAsia" w:ascii="宋体" w:hAnsi="宋体"/>
                <w:kern w:val="0"/>
                <w:sz w:val="18"/>
                <w:szCs w:val="18"/>
                <w:lang w:val="en-US"/>
              </w:rPr>
              <w:t>）</w:t>
            </w:r>
            <w:r>
              <w:rPr>
                <w:rFonts w:hint="eastAsia" w:ascii="宋体" w:hAnsi="宋体"/>
                <w:kern w:val="0"/>
                <w:sz w:val="18"/>
                <w:szCs w:val="18"/>
                <w:lang w:val="en-US"/>
              </w:rPr>
              <w:br w:type="textWrapping"/>
            </w:r>
            <w:r>
              <w:rPr>
                <w:rFonts w:eastAsia="等线"/>
                <w:kern w:val="0"/>
                <w:sz w:val="18"/>
                <w:szCs w:val="18"/>
                <w:lang w:val="en-US"/>
              </w:rPr>
              <w:t>Utiliser des bancs en maçonnerie de briques (50 cm de large et 45 cm de haut).</w:t>
            </w:r>
          </w:p>
        </w:tc>
        <w:tc>
          <w:tcPr>
            <w:tcW w:w="894" w:type="dxa"/>
            <w:tcBorders>
              <w:top w:val="nil"/>
              <w:left w:val="nil"/>
              <w:bottom w:val="single" w:color="auto" w:sz="4" w:space="0"/>
              <w:right w:val="single" w:color="auto" w:sz="4" w:space="0"/>
            </w:tcBorders>
            <w:vAlign w:val="center"/>
          </w:tcPr>
          <w:p w14:paraId="5ABA6A02">
            <w:pPr>
              <w:widowControl/>
              <w:jc w:val="center"/>
              <w:rPr>
                <w:rFonts w:eastAsia="等线"/>
                <w:kern w:val="0"/>
                <w:sz w:val="18"/>
                <w:szCs w:val="18"/>
                <w:lang w:val="en-US"/>
              </w:rPr>
            </w:pPr>
            <w:r>
              <w:rPr>
                <w:rFonts w:eastAsia="等线"/>
                <w:kern w:val="0"/>
                <w:sz w:val="18"/>
                <w:szCs w:val="18"/>
                <w:lang w:val="en-US"/>
              </w:rPr>
              <w:t>30</w:t>
            </w:r>
          </w:p>
        </w:tc>
        <w:tc>
          <w:tcPr>
            <w:tcW w:w="636" w:type="dxa"/>
            <w:tcBorders>
              <w:top w:val="nil"/>
              <w:left w:val="nil"/>
              <w:bottom w:val="single" w:color="auto" w:sz="4" w:space="0"/>
              <w:right w:val="single" w:color="auto" w:sz="4" w:space="0"/>
            </w:tcBorders>
            <w:vAlign w:val="center"/>
          </w:tcPr>
          <w:p w14:paraId="3C81A92A">
            <w:pPr>
              <w:widowControl/>
              <w:jc w:val="center"/>
              <w:rPr>
                <w:rFonts w:eastAsia="等线"/>
                <w:kern w:val="0"/>
                <w:sz w:val="18"/>
                <w:szCs w:val="18"/>
                <w:lang w:val="en-US"/>
              </w:rPr>
            </w:pPr>
            <w:r>
              <w:rPr>
                <w:rFonts w:eastAsia="等线"/>
                <w:kern w:val="0"/>
                <w:sz w:val="18"/>
                <w:szCs w:val="18"/>
                <w:lang w:val="en-US"/>
              </w:rPr>
              <w:t>m</w:t>
            </w:r>
          </w:p>
        </w:tc>
        <w:tc>
          <w:tcPr>
            <w:tcW w:w="611" w:type="dxa"/>
            <w:tcBorders>
              <w:top w:val="nil"/>
              <w:left w:val="nil"/>
              <w:bottom w:val="single" w:color="auto" w:sz="4" w:space="0"/>
              <w:right w:val="single" w:color="auto" w:sz="4" w:space="0"/>
            </w:tcBorders>
            <w:noWrap/>
            <w:vAlign w:val="bottom"/>
          </w:tcPr>
          <w:p w14:paraId="55439350">
            <w:pPr>
              <w:widowControl/>
              <w:jc w:val="left"/>
              <w:rPr>
                <w:rFonts w:eastAsia="等线"/>
                <w:kern w:val="0"/>
                <w:sz w:val="18"/>
                <w:szCs w:val="18"/>
                <w:lang w:val="en-US"/>
              </w:rPr>
            </w:pPr>
          </w:p>
        </w:tc>
        <w:tc>
          <w:tcPr>
            <w:tcW w:w="930" w:type="dxa"/>
            <w:tcBorders>
              <w:top w:val="nil"/>
              <w:left w:val="nil"/>
              <w:bottom w:val="single" w:color="auto" w:sz="4" w:space="0"/>
              <w:right w:val="single" w:color="auto" w:sz="4" w:space="0"/>
            </w:tcBorders>
            <w:noWrap/>
            <w:vAlign w:val="bottom"/>
          </w:tcPr>
          <w:p w14:paraId="1C7742D9">
            <w:pPr>
              <w:widowControl/>
              <w:jc w:val="left"/>
              <w:rPr>
                <w:rFonts w:eastAsia="等线"/>
                <w:kern w:val="0"/>
                <w:sz w:val="18"/>
                <w:szCs w:val="18"/>
                <w:lang w:val="en-US"/>
              </w:rPr>
            </w:pPr>
          </w:p>
        </w:tc>
        <w:tc>
          <w:tcPr>
            <w:tcW w:w="1470" w:type="dxa"/>
            <w:tcBorders>
              <w:top w:val="nil"/>
              <w:left w:val="nil"/>
              <w:bottom w:val="single" w:color="auto" w:sz="4" w:space="0"/>
              <w:right w:val="single" w:color="auto" w:sz="4" w:space="0"/>
            </w:tcBorders>
            <w:noWrap/>
            <w:vAlign w:val="bottom"/>
          </w:tcPr>
          <w:p w14:paraId="264C500E">
            <w:pPr>
              <w:widowControl/>
              <w:jc w:val="left"/>
              <w:rPr>
                <w:rFonts w:eastAsia="等线"/>
                <w:kern w:val="0"/>
                <w:sz w:val="18"/>
                <w:szCs w:val="18"/>
                <w:lang w:val="en-US"/>
              </w:rPr>
            </w:pPr>
            <w:r>
              <w:rPr>
                <w:rFonts w:eastAsia="等线"/>
                <w:kern w:val="0"/>
                <w:sz w:val="18"/>
                <w:szCs w:val="18"/>
                <w:lang w:val="en-US"/>
              </w:rPr>
              <w:t xml:space="preserve">          -   </w:t>
            </w:r>
          </w:p>
        </w:tc>
      </w:tr>
      <w:tr w14:paraId="082DF1AE">
        <w:tblPrEx>
          <w:tblCellMar>
            <w:top w:w="0" w:type="dxa"/>
            <w:left w:w="108" w:type="dxa"/>
            <w:bottom w:w="0" w:type="dxa"/>
            <w:right w:w="108" w:type="dxa"/>
          </w:tblCellMar>
        </w:tblPrEx>
        <w:trPr>
          <w:trHeight w:val="659" w:hRule="atLeast"/>
        </w:trPr>
        <w:tc>
          <w:tcPr>
            <w:tcW w:w="588" w:type="dxa"/>
            <w:vMerge w:val="continue"/>
            <w:tcBorders>
              <w:top w:val="nil"/>
              <w:left w:val="single" w:color="auto" w:sz="4" w:space="0"/>
              <w:bottom w:val="single" w:color="auto" w:sz="4" w:space="0"/>
              <w:right w:val="single" w:color="auto" w:sz="4" w:space="0"/>
            </w:tcBorders>
            <w:vAlign w:val="center"/>
          </w:tcPr>
          <w:p w14:paraId="3FEF967F">
            <w:pPr>
              <w:widowControl/>
              <w:jc w:val="left"/>
              <w:rPr>
                <w:rFonts w:eastAsia="等线"/>
                <w:kern w:val="0"/>
                <w:sz w:val="18"/>
                <w:szCs w:val="18"/>
                <w:lang w:val="en-US"/>
              </w:rPr>
            </w:pPr>
          </w:p>
        </w:tc>
        <w:tc>
          <w:tcPr>
            <w:tcW w:w="1259" w:type="dxa"/>
            <w:vMerge w:val="continue"/>
            <w:tcBorders>
              <w:top w:val="nil"/>
              <w:left w:val="single" w:color="auto" w:sz="4" w:space="0"/>
              <w:bottom w:val="single" w:color="000000" w:sz="4" w:space="0"/>
              <w:right w:val="single" w:color="auto" w:sz="4" w:space="0"/>
            </w:tcBorders>
            <w:vAlign w:val="center"/>
          </w:tcPr>
          <w:p w14:paraId="656D4FA4">
            <w:pPr>
              <w:widowControl/>
              <w:jc w:val="left"/>
              <w:rPr>
                <w:rFonts w:eastAsia="等线"/>
                <w:kern w:val="0"/>
                <w:sz w:val="18"/>
                <w:szCs w:val="18"/>
                <w:lang w:val="en-US"/>
              </w:rPr>
            </w:pPr>
          </w:p>
        </w:tc>
        <w:tc>
          <w:tcPr>
            <w:tcW w:w="3035" w:type="dxa"/>
            <w:tcBorders>
              <w:top w:val="nil"/>
              <w:left w:val="nil"/>
              <w:bottom w:val="single" w:color="auto" w:sz="4" w:space="0"/>
              <w:right w:val="single" w:color="auto" w:sz="4" w:space="0"/>
            </w:tcBorders>
            <w:vAlign w:val="center"/>
          </w:tcPr>
          <w:p w14:paraId="2D9527B0">
            <w:pPr>
              <w:widowControl/>
              <w:rPr>
                <w:rFonts w:eastAsia="等线"/>
                <w:kern w:val="0"/>
                <w:sz w:val="18"/>
                <w:szCs w:val="18"/>
                <w:lang w:val="en-US"/>
              </w:rPr>
            </w:pPr>
            <w:r>
              <w:rPr>
                <w:rFonts w:hint="eastAsia" w:ascii="宋体" w:hAnsi="宋体"/>
                <w:kern w:val="0"/>
                <w:sz w:val="18"/>
                <w:szCs w:val="18"/>
                <w:lang w:val="en-US"/>
              </w:rPr>
              <w:t>安装钢制球门，长</w:t>
            </w:r>
            <w:r>
              <w:rPr>
                <w:rFonts w:eastAsia="等线"/>
                <w:kern w:val="0"/>
                <w:sz w:val="18"/>
                <w:szCs w:val="18"/>
                <w:lang w:val="en-US"/>
              </w:rPr>
              <w:t>7.3m×</w:t>
            </w:r>
            <w:r>
              <w:rPr>
                <w:rFonts w:hint="eastAsia" w:ascii="宋体" w:hAnsi="宋体"/>
                <w:kern w:val="0"/>
                <w:sz w:val="18"/>
                <w:szCs w:val="18"/>
                <w:lang w:val="en-US"/>
              </w:rPr>
              <w:t>高</w:t>
            </w:r>
            <w:r>
              <w:rPr>
                <w:rFonts w:eastAsia="等线"/>
                <w:kern w:val="0"/>
                <w:sz w:val="18"/>
                <w:szCs w:val="18"/>
                <w:lang w:val="en-US"/>
              </w:rPr>
              <w:t>2.4m</w:t>
            </w:r>
            <w:r>
              <w:rPr>
                <w:rFonts w:hint="eastAsia" w:ascii="宋体" w:hAnsi="宋体"/>
                <w:kern w:val="0"/>
                <w:sz w:val="18"/>
                <w:szCs w:val="18"/>
                <w:lang w:val="en-US"/>
              </w:rPr>
              <w:t>，配备球网</w:t>
            </w:r>
            <w:r>
              <w:rPr>
                <w:rFonts w:eastAsia="等线"/>
                <w:kern w:val="0"/>
                <w:sz w:val="18"/>
                <w:szCs w:val="18"/>
                <w:lang w:val="en-US"/>
              </w:rPr>
              <w:br w:type="textWrapping"/>
            </w:r>
            <w:r>
              <w:rPr>
                <w:rFonts w:eastAsia="等线"/>
                <w:kern w:val="0"/>
                <w:sz w:val="18"/>
                <w:szCs w:val="18"/>
                <w:lang w:val="en-US"/>
              </w:rPr>
              <w:t>Installation d’un but en acier, longueur 7,3m, hauteur 2,4m, avec un filet</w:t>
            </w:r>
          </w:p>
        </w:tc>
        <w:tc>
          <w:tcPr>
            <w:tcW w:w="894" w:type="dxa"/>
            <w:tcBorders>
              <w:top w:val="nil"/>
              <w:left w:val="nil"/>
              <w:bottom w:val="single" w:color="auto" w:sz="4" w:space="0"/>
              <w:right w:val="single" w:color="auto" w:sz="4" w:space="0"/>
            </w:tcBorders>
            <w:vAlign w:val="center"/>
          </w:tcPr>
          <w:p w14:paraId="4E204DFF">
            <w:pPr>
              <w:widowControl/>
              <w:jc w:val="center"/>
              <w:rPr>
                <w:rFonts w:eastAsia="等线"/>
                <w:kern w:val="0"/>
                <w:sz w:val="18"/>
                <w:szCs w:val="18"/>
                <w:lang w:val="en-US"/>
              </w:rPr>
            </w:pPr>
            <w:r>
              <w:rPr>
                <w:rFonts w:eastAsia="等线"/>
                <w:kern w:val="0"/>
                <w:sz w:val="18"/>
                <w:szCs w:val="18"/>
                <w:lang w:val="en-US"/>
              </w:rPr>
              <w:t>2</w:t>
            </w:r>
          </w:p>
        </w:tc>
        <w:tc>
          <w:tcPr>
            <w:tcW w:w="636" w:type="dxa"/>
            <w:tcBorders>
              <w:top w:val="nil"/>
              <w:left w:val="nil"/>
              <w:bottom w:val="single" w:color="auto" w:sz="4" w:space="0"/>
              <w:right w:val="single" w:color="auto" w:sz="4" w:space="0"/>
            </w:tcBorders>
            <w:vAlign w:val="center"/>
          </w:tcPr>
          <w:p w14:paraId="485D1F48">
            <w:pPr>
              <w:widowControl/>
              <w:jc w:val="center"/>
              <w:rPr>
                <w:rFonts w:eastAsia="等线"/>
                <w:kern w:val="0"/>
                <w:sz w:val="18"/>
                <w:szCs w:val="18"/>
                <w:lang w:val="en-US"/>
              </w:rPr>
            </w:pPr>
            <w:r>
              <w:rPr>
                <w:rFonts w:eastAsia="等线"/>
                <w:kern w:val="0"/>
                <w:sz w:val="18"/>
                <w:szCs w:val="18"/>
                <w:lang w:val="en-US"/>
              </w:rPr>
              <w:t>uinté</w:t>
            </w:r>
          </w:p>
        </w:tc>
        <w:tc>
          <w:tcPr>
            <w:tcW w:w="611" w:type="dxa"/>
            <w:tcBorders>
              <w:top w:val="nil"/>
              <w:left w:val="nil"/>
              <w:bottom w:val="single" w:color="auto" w:sz="4" w:space="0"/>
              <w:right w:val="single" w:color="auto" w:sz="4" w:space="0"/>
            </w:tcBorders>
            <w:noWrap/>
            <w:vAlign w:val="bottom"/>
          </w:tcPr>
          <w:p w14:paraId="3785D95C">
            <w:pPr>
              <w:widowControl/>
              <w:jc w:val="left"/>
              <w:rPr>
                <w:rFonts w:eastAsia="等线"/>
                <w:kern w:val="0"/>
                <w:sz w:val="18"/>
                <w:szCs w:val="18"/>
                <w:lang w:val="en-US"/>
              </w:rPr>
            </w:pPr>
          </w:p>
        </w:tc>
        <w:tc>
          <w:tcPr>
            <w:tcW w:w="930" w:type="dxa"/>
            <w:tcBorders>
              <w:top w:val="nil"/>
              <w:left w:val="nil"/>
              <w:bottom w:val="single" w:color="auto" w:sz="4" w:space="0"/>
              <w:right w:val="single" w:color="auto" w:sz="4" w:space="0"/>
            </w:tcBorders>
            <w:noWrap/>
            <w:vAlign w:val="bottom"/>
          </w:tcPr>
          <w:p w14:paraId="24F06DD9">
            <w:pPr>
              <w:widowControl/>
              <w:jc w:val="left"/>
              <w:rPr>
                <w:rFonts w:eastAsia="等线"/>
                <w:kern w:val="0"/>
                <w:sz w:val="18"/>
                <w:szCs w:val="18"/>
                <w:lang w:val="en-US"/>
              </w:rPr>
            </w:pPr>
          </w:p>
        </w:tc>
        <w:tc>
          <w:tcPr>
            <w:tcW w:w="1470" w:type="dxa"/>
            <w:tcBorders>
              <w:top w:val="nil"/>
              <w:left w:val="nil"/>
              <w:bottom w:val="single" w:color="auto" w:sz="4" w:space="0"/>
              <w:right w:val="single" w:color="auto" w:sz="4" w:space="0"/>
            </w:tcBorders>
            <w:noWrap/>
            <w:vAlign w:val="bottom"/>
          </w:tcPr>
          <w:p w14:paraId="36B2E5FD">
            <w:pPr>
              <w:widowControl/>
              <w:jc w:val="left"/>
              <w:rPr>
                <w:rFonts w:eastAsia="等线"/>
                <w:kern w:val="0"/>
                <w:sz w:val="18"/>
                <w:szCs w:val="18"/>
                <w:lang w:val="en-US"/>
              </w:rPr>
            </w:pPr>
            <w:r>
              <w:rPr>
                <w:rFonts w:eastAsia="等线"/>
                <w:kern w:val="0"/>
                <w:sz w:val="18"/>
                <w:szCs w:val="18"/>
                <w:lang w:val="en-US"/>
              </w:rPr>
              <w:t xml:space="preserve">          -   </w:t>
            </w:r>
          </w:p>
        </w:tc>
      </w:tr>
      <w:tr w14:paraId="2195AC56">
        <w:tblPrEx>
          <w:tblCellMar>
            <w:top w:w="0" w:type="dxa"/>
            <w:left w:w="108" w:type="dxa"/>
            <w:bottom w:w="0" w:type="dxa"/>
            <w:right w:w="108" w:type="dxa"/>
          </w:tblCellMar>
        </w:tblPrEx>
        <w:trPr>
          <w:trHeight w:val="439" w:hRule="atLeast"/>
        </w:trPr>
        <w:tc>
          <w:tcPr>
            <w:tcW w:w="588" w:type="dxa"/>
            <w:vMerge w:val="continue"/>
            <w:tcBorders>
              <w:top w:val="nil"/>
              <w:left w:val="single" w:color="auto" w:sz="4" w:space="0"/>
              <w:bottom w:val="single" w:color="auto" w:sz="4" w:space="0"/>
              <w:right w:val="single" w:color="auto" w:sz="4" w:space="0"/>
            </w:tcBorders>
            <w:vAlign w:val="center"/>
          </w:tcPr>
          <w:p w14:paraId="659D60B9">
            <w:pPr>
              <w:widowControl/>
              <w:jc w:val="left"/>
              <w:rPr>
                <w:rFonts w:eastAsia="等线"/>
                <w:kern w:val="0"/>
                <w:sz w:val="18"/>
                <w:szCs w:val="18"/>
                <w:lang w:val="en-US"/>
              </w:rPr>
            </w:pPr>
          </w:p>
        </w:tc>
        <w:tc>
          <w:tcPr>
            <w:tcW w:w="1259" w:type="dxa"/>
            <w:vMerge w:val="continue"/>
            <w:tcBorders>
              <w:top w:val="nil"/>
              <w:left w:val="single" w:color="auto" w:sz="4" w:space="0"/>
              <w:bottom w:val="single" w:color="000000" w:sz="4" w:space="0"/>
              <w:right w:val="single" w:color="auto" w:sz="4" w:space="0"/>
            </w:tcBorders>
            <w:vAlign w:val="center"/>
          </w:tcPr>
          <w:p w14:paraId="6194821B">
            <w:pPr>
              <w:widowControl/>
              <w:jc w:val="left"/>
              <w:rPr>
                <w:rFonts w:eastAsia="等线"/>
                <w:kern w:val="0"/>
                <w:sz w:val="18"/>
                <w:szCs w:val="18"/>
                <w:lang w:val="en-US"/>
              </w:rPr>
            </w:pPr>
          </w:p>
        </w:tc>
        <w:tc>
          <w:tcPr>
            <w:tcW w:w="3035" w:type="dxa"/>
            <w:tcBorders>
              <w:top w:val="nil"/>
              <w:left w:val="nil"/>
              <w:bottom w:val="single" w:color="auto" w:sz="4" w:space="0"/>
              <w:right w:val="single" w:color="auto" w:sz="4" w:space="0"/>
            </w:tcBorders>
            <w:vAlign w:val="center"/>
          </w:tcPr>
          <w:p w14:paraId="19502B0A">
            <w:pPr>
              <w:widowControl/>
              <w:rPr>
                <w:rFonts w:eastAsia="等线"/>
                <w:kern w:val="0"/>
                <w:sz w:val="18"/>
                <w:szCs w:val="18"/>
                <w:lang w:val="en-US"/>
              </w:rPr>
            </w:pPr>
            <w:r>
              <w:rPr>
                <w:rFonts w:hint="eastAsia" w:eastAsia="等线"/>
                <w:kern w:val="0"/>
                <w:sz w:val="18"/>
                <w:szCs w:val="18"/>
                <w:lang w:val="en-US"/>
              </w:rPr>
              <w:t>其他工程费用及行政手续费（含社区协调费用）</w:t>
            </w:r>
          </w:p>
          <w:p w14:paraId="338FE152">
            <w:pPr>
              <w:widowControl/>
              <w:rPr>
                <w:rFonts w:eastAsia="等线"/>
                <w:kern w:val="0"/>
                <w:sz w:val="18"/>
                <w:szCs w:val="18"/>
              </w:rPr>
            </w:pPr>
            <w:r>
              <w:rPr>
                <w:rFonts w:eastAsia="等线"/>
                <w:kern w:val="0"/>
                <w:sz w:val="18"/>
                <w:szCs w:val="18"/>
              </w:rPr>
              <w:t>Frais divers de travaux et frais administratifs</w:t>
            </w:r>
            <w:r>
              <w:rPr>
                <w:rFonts w:hint="eastAsia" w:eastAsia="等线"/>
                <w:kern w:val="0"/>
                <w:sz w:val="18"/>
                <w:szCs w:val="18"/>
              </w:rPr>
              <w:t xml:space="preserve"> </w:t>
            </w:r>
            <w:r>
              <w:rPr>
                <w:rFonts w:eastAsia="等线"/>
                <w:kern w:val="0"/>
                <w:sz w:val="18"/>
                <w:szCs w:val="18"/>
              </w:rPr>
              <w:t> (incluant les frais de coordination communautaire)</w:t>
            </w:r>
          </w:p>
        </w:tc>
        <w:tc>
          <w:tcPr>
            <w:tcW w:w="894" w:type="dxa"/>
            <w:tcBorders>
              <w:top w:val="nil"/>
              <w:left w:val="nil"/>
              <w:bottom w:val="single" w:color="auto" w:sz="4" w:space="0"/>
              <w:right w:val="single" w:color="auto" w:sz="4" w:space="0"/>
            </w:tcBorders>
            <w:vAlign w:val="center"/>
          </w:tcPr>
          <w:p w14:paraId="31C3D397">
            <w:pPr>
              <w:widowControl/>
              <w:jc w:val="center"/>
              <w:rPr>
                <w:rFonts w:eastAsia="等线"/>
                <w:kern w:val="0"/>
                <w:sz w:val="18"/>
                <w:szCs w:val="18"/>
              </w:rPr>
            </w:pPr>
            <w:r>
              <w:rPr>
                <w:rFonts w:hint="eastAsia" w:eastAsia="等线"/>
                <w:kern w:val="0"/>
                <w:sz w:val="18"/>
                <w:szCs w:val="18"/>
              </w:rPr>
              <w:t>1</w:t>
            </w:r>
          </w:p>
        </w:tc>
        <w:tc>
          <w:tcPr>
            <w:tcW w:w="636" w:type="dxa"/>
            <w:tcBorders>
              <w:top w:val="nil"/>
              <w:left w:val="nil"/>
              <w:bottom w:val="single" w:color="auto" w:sz="4" w:space="0"/>
              <w:right w:val="single" w:color="auto" w:sz="4" w:space="0"/>
            </w:tcBorders>
            <w:vAlign w:val="center"/>
          </w:tcPr>
          <w:p w14:paraId="409928AA">
            <w:pPr>
              <w:widowControl/>
              <w:jc w:val="center"/>
              <w:rPr>
                <w:rFonts w:eastAsia="等线"/>
                <w:kern w:val="0"/>
                <w:sz w:val="18"/>
                <w:szCs w:val="18"/>
              </w:rPr>
            </w:pPr>
            <w:r>
              <w:rPr>
                <w:rFonts w:eastAsia="等线"/>
                <w:kern w:val="0"/>
                <w:sz w:val="18"/>
                <w:szCs w:val="18"/>
                <w:lang w:val="en-US"/>
              </w:rPr>
              <w:t>uinté</w:t>
            </w:r>
            <w:r>
              <w:rPr>
                <w:rFonts w:eastAsia="等线"/>
                <w:kern w:val="0"/>
                <w:sz w:val="18"/>
                <w:szCs w:val="18"/>
              </w:rPr>
              <w:t xml:space="preserve"> </w:t>
            </w:r>
          </w:p>
        </w:tc>
        <w:tc>
          <w:tcPr>
            <w:tcW w:w="611" w:type="dxa"/>
            <w:tcBorders>
              <w:top w:val="nil"/>
              <w:left w:val="nil"/>
              <w:bottom w:val="single" w:color="auto" w:sz="4" w:space="0"/>
              <w:right w:val="single" w:color="auto" w:sz="4" w:space="0"/>
            </w:tcBorders>
            <w:noWrap/>
            <w:vAlign w:val="bottom"/>
          </w:tcPr>
          <w:p w14:paraId="4EB9CF4F">
            <w:pPr>
              <w:widowControl/>
              <w:jc w:val="left"/>
              <w:rPr>
                <w:rFonts w:eastAsia="等线"/>
                <w:kern w:val="0"/>
                <w:sz w:val="18"/>
                <w:szCs w:val="18"/>
              </w:rPr>
            </w:pPr>
          </w:p>
        </w:tc>
        <w:tc>
          <w:tcPr>
            <w:tcW w:w="930" w:type="dxa"/>
            <w:tcBorders>
              <w:top w:val="nil"/>
              <w:left w:val="nil"/>
              <w:bottom w:val="single" w:color="auto" w:sz="4" w:space="0"/>
              <w:right w:val="single" w:color="auto" w:sz="4" w:space="0"/>
            </w:tcBorders>
            <w:noWrap/>
            <w:vAlign w:val="bottom"/>
          </w:tcPr>
          <w:p w14:paraId="4952E377">
            <w:pPr>
              <w:widowControl/>
              <w:jc w:val="left"/>
              <w:rPr>
                <w:rFonts w:eastAsia="等线"/>
                <w:kern w:val="0"/>
                <w:sz w:val="18"/>
                <w:szCs w:val="18"/>
              </w:rPr>
            </w:pPr>
          </w:p>
        </w:tc>
        <w:tc>
          <w:tcPr>
            <w:tcW w:w="1470" w:type="dxa"/>
            <w:tcBorders>
              <w:top w:val="nil"/>
              <w:left w:val="nil"/>
              <w:bottom w:val="single" w:color="auto" w:sz="4" w:space="0"/>
              <w:right w:val="single" w:color="auto" w:sz="4" w:space="0"/>
            </w:tcBorders>
            <w:noWrap/>
            <w:vAlign w:val="bottom"/>
          </w:tcPr>
          <w:p w14:paraId="0BED16F0">
            <w:pPr>
              <w:widowControl/>
              <w:jc w:val="left"/>
              <w:rPr>
                <w:rFonts w:eastAsia="等线"/>
                <w:kern w:val="0"/>
                <w:sz w:val="18"/>
                <w:szCs w:val="18"/>
                <w:lang w:val="en-US"/>
              </w:rPr>
            </w:pPr>
            <w:r>
              <w:rPr>
                <w:rFonts w:eastAsia="等线"/>
                <w:kern w:val="0"/>
                <w:sz w:val="18"/>
                <w:szCs w:val="18"/>
              </w:rPr>
              <w:t xml:space="preserve">          </w:t>
            </w:r>
            <w:r>
              <w:rPr>
                <w:rFonts w:eastAsia="等线"/>
                <w:kern w:val="0"/>
                <w:sz w:val="18"/>
                <w:szCs w:val="18"/>
                <w:lang w:val="en-US"/>
              </w:rPr>
              <w:t xml:space="preserve">-   </w:t>
            </w:r>
          </w:p>
        </w:tc>
      </w:tr>
      <w:tr w14:paraId="0797B0DC">
        <w:tblPrEx>
          <w:tblCellMar>
            <w:top w:w="0" w:type="dxa"/>
            <w:left w:w="108" w:type="dxa"/>
            <w:bottom w:w="0" w:type="dxa"/>
            <w:right w:w="108" w:type="dxa"/>
          </w:tblCellMar>
        </w:tblPrEx>
        <w:trPr>
          <w:trHeight w:val="443" w:hRule="atLeast"/>
        </w:trPr>
        <w:tc>
          <w:tcPr>
            <w:tcW w:w="6412" w:type="dxa"/>
            <w:gridSpan w:val="5"/>
            <w:tcBorders>
              <w:top w:val="single" w:color="auto" w:sz="4" w:space="0"/>
              <w:left w:val="single" w:color="auto" w:sz="4" w:space="0"/>
              <w:bottom w:val="single" w:color="auto" w:sz="4" w:space="0"/>
              <w:right w:val="single" w:color="auto" w:sz="4" w:space="0"/>
            </w:tcBorders>
            <w:shd w:val="clear" w:color="000000" w:fill="BDD7EE"/>
            <w:vAlign w:val="center"/>
          </w:tcPr>
          <w:p w14:paraId="06012D19">
            <w:pPr>
              <w:widowControl/>
              <w:jc w:val="center"/>
              <w:rPr>
                <w:rFonts w:eastAsia="等线"/>
                <w:kern w:val="0"/>
                <w:sz w:val="18"/>
                <w:szCs w:val="18"/>
                <w:lang w:val="en-US"/>
              </w:rPr>
            </w:pPr>
            <w:r>
              <w:rPr>
                <w:rFonts w:hint="eastAsia" w:ascii="宋体" w:hAnsi="宋体"/>
                <w:kern w:val="0"/>
                <w:sz w:val="18"/>
                <w:szCs w:val="18"/>
                <w:lang w:val="en-US"/>
              </w:rPr>
              <w:t xml:space="preserve">小计(不含税价) </w:t>
            </w:r>
            <w:r>
              <w:rPr>
                <w:rFonts w:eastAsia="等线"/>
                <w:kern w:val="0"/>
                <w:sz w:val="18"/>
                <w:szCs w:val="18"/>
                <w:lang w:val="en-US"/>
              </w:rPr>
              <w:t>Sous-total</w:t>
            </w:r>
            <w:r>
              <w:rPr>
                <w:rFonts w:hint="eastAsia" w:eastAsia="等线"/>
                <w:kern w:val="0"/>
                <w:sz w:val="18"/>
                <w:szCs w:val="18"/>
                <w:lang w:val="en-US"/>
              </w:rPr>
              <w:t>(</w:t>
            </w:r>
            <w:r>
              <w:rPr>
                <w:rFonts w:ascii="Segoe UI" w:hAnsi="Segoe UI" w:eastAsia="Segoe UI" w:cs="Segoe UI"/>
                <w:sz w:val="16"/>
                <w:szCs w:val="16"/>
                <w:shd w:val="clear" w:color="auto" w:fill="FFFFFF"/>
              </w:rPr>
              <w:t>Prix hors taxes</w:t>
            </w:r>
            <w:r>
              <w:rPr>
                <w:rFonts w:hint="eastAsia" w:eastAsia="等线"/>
                <w:kern w:val="0"/>
                <w:sz w:val="18"/>
                <w:szCs w:val="18"/>
                <w:lang w:val="en-US"/>
              </w:rPr>
              <w:t>)</w:t>
            </w:r>
          </w:p>
        </w:tc>
        <w:tc>
          <w:tcPr>
            <w:tcW w:w="3011" w:type="dxa"/>
            <w:gridSpan w:val="3"/>
            <w:tcBorders>
              <w:top w:val="nil"/>
              <w:left w:val="nil"/>
              <w:bottom w:val="single" w:color="auto" w:sz="4" w:space="0"/>
              <w:right w:val="single" w:color="auto" w:sz="4" w:space="0"/>
            </w:tcBorders>
            <w:shd w:val="clear" w:color="000000" w:fill="BDD7EE"/>
            <w:noWrap/>
            <w:vAlign w:val="bottom"/>
          </w:tcPr>
          <w:p w14:paraId="762BC0FD">
            <w:pPr>
              <w:widowControl/>
              <w:jc w:val="left"/>
              <w:rPr>
                <w:rFonts w:eastAsia="等线"/>
                <w:kern w:val="0"/>
                <w:sz w:val="18"/>
                <w:szCs w:val="18"/>
                <w:lang w:val="en-US"/>
              </w:rPr>
            </w:pPr>
            <w:r>
              <w:rPr>
                <w:rFonts w:eastAsia="等线"/>
                <w:kern w:val="0"/>
                <w:sz w:val="18"/>
                <w:szCs w:val="18"/>
                <w:lang w:val="en-US"/>
              </w:rPr>
              <w:t xml:space="preserve">          -   </w:t>
            </w:r>
          </w:p>
        </w:tc>
      </w:tr>
      <w:tr w14:paraId="220BD24F">
        <w:tblPrEx>
          <w:tblCellMar>
            <w:top w:w="0" w:type="dxa"/>
            <w:left w:w="108" w:type="dxa"/>
            <w:bottom w:w="0" w:type="dxa"/>
            <w:right w:w="108" w:type="dxa"/>
          </w:tblCellMar>
        </w:tblPrEx>
        <w:trPr>
          <w:trHeight w:val="425" w:hRule="atLeast"/>
        </w:trPr>
        <w:tc>
          <w:tcPr>
            <w:tcW w:w="6412" w:type="dxa"/>
            <w:gridSpan w:val="5"/>
            <w:tcBorders>
              <w:top w:val="single" w:color="auto" w:sz="4" w:space="0"/>
              <w:left w:val="nil"/>
              <w:bottom w:val="single" w:color="auto" w:sz="4" w:space="0"/>
              <w:right w:val="single" w:color="000000" w:sz="4" w:space="0"/>
            </w:tcBorders>
            <w:shd w:val="clear" w:color="000000" w:fill="C6E0B4"/>
            <w:noWrap/>
            <w:vAlign w:val="bottom"/>
          </w:tcPr>
          <w:p w14:paraId="6168A0A4">
            <w:pPr>
              <w:widowControl/>
              <w:jc w:val="center"/>
              <w:rPr>
                <w:rFonts w:eastAsia="等线"/>
                <w:kern w:val="0"/>
                <w:sz w:val="18"/>
                <w:szCs w:val="18"/>
                <w:lang w:val="en-US"/>
              </w:rPr>
            </w:pPr>
            <w:r>
              <w:rPr>
                <w:rFonts w:hint="eastAsia" w:ascii="宋体" w:hAnsi="宋体"/>
                <w:kern w:val="0"/>
                <w:sz w:val="18"/>
                <w:szCs w:val="18"/>
                <w:lang w:val="en-US"/>
              </w:rPr>
              <w:t>总金额(不含税价)</w:t>
            </w:r>
            <w:r>
              <w:rPr>
                <w:rFonts w:eastAsia="等线"/>
                <w:kern w:val="0"/>
                <w:sz w:val="18"/>
                <w:szCs w:val="18"/>
                <w:lang w:val="en-US"/>
              </w:rPr>
              <w:t xml:space="preserve">  </w:t>
            </w:r>
            <w:r>
              <w:rPr>
                <w:rFonts w:hint="eastAsia" w:eastAsia="等线"/>
                <w:kern w:val="0"/>
                <w:sz w:val="18"/>
                <w:szCs w:val="18"/>
                <w:lang w:val="en-US"/>
              </w:rPr>
              <w:t>M</w:t>
            </w:r>
            <w:r>
              <w:rPr>
                <w:rFonts w:eastAsia="等线"/>
                <w:kern w:val="0"/>
                <w:sz w:val="18"/>
                <w:szCs w:val="18"/>
                <w:lang w:val="en-US"/>
              </w:rPr>
              <w:t>ontant total</w:t>
            </w:r>
            <w:r>
              <w:rPr>
                <w:rFonts w:hint="eastAsia" w:eastAsia="等线"/>
                <w:kern w:val="0"/>
                <w:sz w:val="18"/>
                <w:szCs w:val="18"/>
                <w:lang w:val="en-US"/>
              </w:rPr>
              <w:t>（</w:t>
            </w:r>
            <w:r>
              <w:rPr>
                <w:rFonts w:ascii="Segoe UI" w:hAnsi="Segoe UI" w:eastAsia="Segoe UI" w:cs="Segoe UI"/>
                <w:sz w:val="16"/>
                <w:szCs w:val="16"/>
                <w:shd w:val="clear" w:color="auto" w:fill="FFFFFF"/>
              </w:rPr>
              <w:t>Prix hors taxes</w:t>
            </w:r>
            <w:r>
              <w:rPr>
                <w:rFonts w:hint="eastAsia" w:eastAsia="等线"/>
                <w:kern w:val="0"/>
                <w:sz w:val="18"/>
                <w:szCs w:val="18"/>
                <w:lang w:val="en-US"/>
              </w:rPr>
              <w:t>）</w:t>
            </w:r>
          </w:p>
        </w:tc>
        <w:tc>
          <w:tcPr>
            <w:tcW w:w="3011" w:type="dxa"/>
            <w:gridSpan w:val="3"/>
            <w:tcBorders>
              <w:top w:val="single" w:color="auto" w:sz="4" w:space="0"/>
              <w:left w:val="nil"/>
              <w:bottom w:val="single" w:color="auto" w:sz="4" w:space="0"/>
              <w:right w:val="single" w:color="000000" w:sz="4" w:space="0"/>
            </w:tcBorders>
            <w:shd w:val="clear" w:color="000000" w:fill="C6E0B4"/>
            <w:noWrap/>
            <w:vAlign w:val="bottom"/>
          </w:tcPr>
          <w:p w14:paraId="05E7A0AD">
            <w:pPr>
              <w:widowControl/>
              <w:jc w:val="center"/>
              <w:rPr>
                <w:rFonts w:eastAsia="等线"/>
                <w:kern w:val="0"/>
                <w:sz w:val="18"/>
                <w:szCs w:val="18"/>
                <w:lang w:val="en-US"/>
              </w:rPr>
            </w:pPr>
            <w:r>
              <w:rPr>
                <w:rFonts w:eastAsia="等线"/>
                <w:kern w:val="0"/>
                <w:sz w:val="18"/>
                <w:szCs w:val="18"/>
                <w:lang w:val="en-US"/>
              </w:rPr>
              <w:t xml:space="preserve">                         -   </w:t>
            </w:r>
          </w:p>
        </w:tc>
      </w:tr>
    </w:tbl>
    <w:p w14:paraId="3A8FE2C9">
      <w:pPr>
        <w:spacing w:line="360" w:lineRule="auto"/>
        <w:rPr>
          <w:rFonts w:cs="宋体"/>
          <w:b/>
          <w:kern w:val="0"/>
          <w:szCs w:val="21"/>
        </w:rPr>
      </w:pPr>
      <w:r>
        <w:rPr>
          <w:rFonts w:hint="eastAsia" w:cs="宋体"/>
          <w:b/>
          <w:kern w:val="0"/>
          <w:szCs w:val="21"/>
        </w:rPr>
        <w:t xml:space="preserve">    五、质量技术标准和要求 </w:t>
      </w:r>
      <w:r>
        <w:rPr>
          <w:rFonts w:cs="宋体"/>
          <w:b/>
          <w:kern w:val="0"/>
          <w:szCs w:val="21"/>
        </w:rPr>
        <w:t>Normes de qualité et exigences techniques</w:t>
      </w:r>
    </w:p>
    <w:p w14:paraId="3CFC1ACD">
      <w:pPr>
        <w:adjustRightInd w:val="0"/>
        <w:snapToGrid w:val="0"/>
        <w:spacing w:line="360" w:lineRule="auto"/>
        <w:ind w:firstLine="422" w:firstLineChars="200"/>
        <w:rPr>
          <w:kern w:val="0"/>
          <w:szCs w:val="21"/>
        </w:rPr>
      </w:pPr>
      <w:r>
        <w:rPr>
          <w:rFonts w:hint="eastAsia" w:cs="宋体"/>
          <w:b/>
          <w:bCs/>
          <w:kern w:val="0"/>
          <w:szCs w:val="21"/>
        </w:rPr>
        <w:t>5.1道路修缮的技术标准和要求</w:t>
      </w:r>
      <w:r>
        <w:rPr>
          <w:kern w:val="0"/>
          <w:szCs w:val="21"/>
        </w:rPr>
        <w:br w:type="textWrapping"/>
      </w:r>
      <w:r>
        <w:rPr>
          <w:rFonts w:hint="eastAsia" w:cs="宋体"/>
          <w:kern w:val="0"/>
          <w:szCs w:val="21"/>
        </w:rPr>
        <w:t xml:space="preserve">    5.1.</w:t>
      </w:r>
      <w:r>
        <w:rPr>
          <w:rFonts w:hint="eastAsia" w:cs="宋体"/>
          <w:kern w:val="0"/>
          <w:szCs w:val="21"/>
          <w:lang w:val="en-US"/>
        </w:rPr>
        <w:t>1</w:t>
      </w:r>
      <w:r>
        <w:rPr>
          <w:rFonts w:hint="eastAsia" w:cs="宋体"/>
          <w:kern w:val="0"/>
          <w:szCs w:val="21"/>
        </w:rPr>
        <w:t xml:space="preserve"> 道路</w:t>
      </w:r>
      <w:r>
        <w:rPr>
          <w:rFonts w:hint="eastAsia"/>
          <w:kern w:val="0"/>
          <w:szCs w:val="21"/>
        </w:rPr>
        <w:t>基层浮土清理后，对原有路面的坑洼处采用红土粒料回填，并用压路机碾压密实，红土粒料摊铺厚度根据现场实际情况可调整，平均摊铺压实厚度不小于</w:t>
      </w:r>
      <w:r>
        <w:rPr>
          <w:rFonts w:hint="eastAsia"/>
          <w:kern w:val="0"/>
          <w:szCs w:val="21"/>
          <w:lang w:val="en-US"/>
        </w:rPr>
        <w:t>3</w:t>
      </w:r>
      <w:r>
        <w:rPr>
          <w:rFonts w:hint="eastAsia"/>
          <w:kern w:val="0"/>
          <w:szCs w:val="21"/>
        </w:rPr>
        <w:t>0</w:t>
      </w:r>
      <w:r>
        <w:rPr>
          <w:kern w:val="0"/>
          <w:szCs w:val="21"/>
        </w:rPr>
        <w:t>cm</w:t>
      </w:r>
      <w:r>
        <w:rPr>
          <w:rFonts w:hint="eastAsia"/>
          <w:kern w:val="0"/>
          <w:szCs w:val="21"/>
        </w:rPr>
        <w:t>；</w:t>
      </w:r>
    </w:p>
    <w:p w14:paraId="2E9D05E3">
      <w:pPr>
        <w:adjustRightInd w:val="0"/>
        <w:snapToGrid w:val="0"/>
        <w:spacing w:line="360" w:lineRule="auto"/>
        <w:ind w:firstLine="420" w:firstLineChars="200"/>
        <w:rPr>
          <w:kern w:val="0"/>
          <w:szCs w:val="21"/>
        </w:rPr>
      </w:pPr>
      <w:r>
        <w:rPr>
          <w:rFonts w:hint="eastAsia" w:cs="宋体"/>
          <w:kern w:val="0"/>
          <w:szCs w:val="21"/>
        </w:rPr>
        <w:t>5.1.</w:t>
      </w:r>
      <w:r>
        <w:rPr>
          <w:rFonts w:hint="eastAsia" w:cs="宋体"/>
          <w:kern w:val="0"/>
          <w:szCs w:val="21"/>
          <w:lang w:val="en-US"/>
        </w:rPr>
        <w:t>2</w:t>
      </w:r>
      <w:r>
        <w:rPr>
          <w:rFonts w:hint="eastAsia" w:cs="宋体"/>
          <w:kern w:val="0"/>
          <w:szCs w:val="21"/>
        </w:rPr>
        <w:t xml:space="preserve"> </w:t>
      </w:r>
      <w:r>
        <w:rPr>
          <w:rFonts w:hint="eastAsia"/>
          <w:kern w:val="0"/>
          <w:szCs w:val="21"/>
        </w:rPr>
        <w:t>确保路面平整，横向排水坡度</w:t>
      </w:r>
      <w:r>
        <w:rPr>
          <w:kern w:val="0"/>
          <w:szCs w:val="21"/>
        </w:rPr>
        <w:t>2%</w:t>
      </w:r>
      <w:r>
        <w:rPr>
          <w:rFonts w:hint="eastAsia"/>
          <w:kern w:val="0"/>
          <w:szCs w:val="21"/>
        </w:rPr>
        <w:t>，纵向坡度根据地形确定。确保雨季期间路面排水顺畅；</w:t>
      </w:r>
    </w:p>
    <w:p w14:paraId="58F7A004">
      <w:pPr>
        <w:adjustRightInd w:val="0"/>
        <w:snapToGrid w:val="0"/>
        <w:spacing w:line="360" w:lineRule="auto"/>
        <w:ind w:firstLine="420" w:firstLineChars="200"/>
        <w:rPr>
          <w:kern w:val="0"/>
          <w:szCs w:val="21"/>
        </w:rPr>
      </w:pPr>
      <w:r>
        <w:rPr>
          <w:rFonts w:hint="eastAsia" w:cs="宋体"/>
          <w:kern w:val="0"/>
          <w:szCs w:val="21"/>
        </w:rPr>
        <w:t>5.1.</w:t>
      </w:r>
      <w:r>
        <w:rPr>
          <w:rFonts w:hint="eastAsia" w:cs="宋体"/>
          <w:kern w:val="0"/>
          <w:szCs w:val="21"/>
          <w:lang w:val="en-US"/>
        </w:rPr>
        <w:t>3</w:t>
      </w:r>
      <w:r>
        <w:rPr>
          <w:rFonts w:hint="eastAsia" w:cs="宋体"/>
          <w:kern w:val="0"/>
          <w:szCs w:val="21"/>
        </w:rPr>
        <w:t xml:space="preserve"> </w:t>
      </w:r>
      <w:r>
        <w:rPr>
          <w:rFonts w:hint="eastAsia"/>
          <w:kern w:val="0"/>
          <w:szCs w:val="21"/>
        </w:rPr>
        <w:t>道路两侧排水沟宽度＞</w:t>
      </w:r>
      <w:r>
        <w:rPr>
          <w:rFonts w:hint="eastAsia"/>
          <w:kern w:val="0"/>
          <w:szCs w:val="21"/>
          <w:lang w:val="en-US"/>
        </w:rPr>
        <w:t>10</w:t>
      </w:r>
      <w:r>
        <w:rPr>
          <w:kern w:val="0"/>
          <w:szCs w:val="21"/>
        </w:rPr>
        <w:t>0cm</w:t>
      </w:r>
      <w:r>
        <w:rPr>
          <w:rFonts w:hint="eastAsia"/>
          <w:kern w:val="0"/>
          <w:szCs w:val="21"/>
        </w:rPr>
        <w:t>，深度＞</w:t>
      </w:r>
      <w:r>
        <w:rPr>
          <w:rFonts w:hint="eastAsia"/>
          <w:kern w:val="0"/>
          <w:szCs w:val="21"/>
          <w:lang w:val="en-US"/>
        </w:rPr>
        <w:t>5</w:t>
      </w:r>
      <w:r>
        <w:rPr>
          <w:kern w:val="0"/>
          <w:szCs w:val="21"/>
        </w:rPr>
        <w:t>0cm</w:t>
      </w:r>
      <w:r>
        <w:rPr>
          <w:rFonts w:hint="eastAsia"/>
          <w:kern w:val="0"/>
          <w:szCs w:val="21"/>
        </w:rPr>
        <w:t>，沟底纵坡不小于0.5%，施工时考虑坡度、保证雨季期间排水顺畅；</w:t>
      </w:r>
    </w:p>
    <w:p w14:paraId="2EC2AF64">
      <w:pPr>
        <w:adjustRightInd w:val="0"/>
        <w:snapToGrid w:val="0"/>
        <w:spacing w:line="360" w:lineRule="auto"/>
        <w:ind w:firstLine="420" w:firstLineChars="200"/>
        <w:rPr>
          <w:kern w:val="0"/>
          <w:szCs w:val="21"/>
        </w:rPr>
      </w:pPr>
      <w:r>
        <w:rPr>
          <w:rFonts w:hint="eastAsia"/>
          <w:kern w:val="0"/>
          <w:szCs w:val="21"/>
        </w:rPr>
        <w:t>5.1.</w:t>
      </w:r>
      <w:r>
        <w:rPr>
          <w:rFonts w:hint="eastAsia"/>
          <w:kern w:val="0"/>
          <w:szCs w:val="21"/>
          <w:lang w:val="en-US"/>
        </w:rPr>
        <w:t>4</w:t>
      </w:r>
      <w:r>
        <w:rPr>
          <w:rFonts w:hint="eastAsia"/>
          <w:kern w:val="0"/>
          <w:szCs w:val="21"/>
        </w:rPr>
        <w:t xml:space="preserve"> 在原有道路过水路段设置混凝土过水路面，不改变道路原有的过水条件；</w:t>
      </w:r>
    </w:p>
    <w:p w14:paraId="7DCF656B">
      <w:pPr>
        <w:adjustRightInd w:val="0"/>
        <w:snapToGrid w:val="0"/>
        <w:spacing w:line="360" w:lineRule="auto"/>
        <w:ind w:firstLine="420" w:firstLineChars="200"/>
        <w:rPr>
          <w:kern w:val="0"/>
          <w:szCs w:val="21"/>
        </w:rPr>
      </w:pPr>
      <w:r>
        <w:rPr>
          <w:rFonts w:hint="eastAsia"/>
          <w:kern w:val="0"/>
          <w:szCs w:val="21"/>
        </w:rPr>
        <w:t>5.1.</w:t>
      </w:r>
      <w:r>
        <w:rPr>
          <w:rFonts w:hint="eastAsia"/>
          <w:kern w:val="0"/>
          <w:szCs w:val="21"/>
          <w:lang w:val="en-US"/>
        </w:rPr>
        <w:t>5</w:t>
      </w:r>
      <w:r>
        <w:rPr>
          <w:rFonts w:hint="eastAsia"/>
          <w:kern w:val="0"/>
          <w:szCs w:val="21"/>
        </w:rPr>
        <w:t xml:space="preserve"> 临近村内房屋处注意施工安全，避免压路机损坏当地房屋，若因此原因造成的一切后果由施工方自行承担；</w:t>
      </w:r>
    </w:p>
    <w:p w14:paraId="1872AEC3">
      <w:pPr>
        <w:adjustRightInd w:val="0"/>
        <w:snapToGrid w:val="0"/>
        <w:spacing w:line="360" w:lineRule="auto"/>
        <w:ind w:firstLine="420" w:firstLineChars="200"/>
        <w:rPr>
          <w:kern w:val="0"/>
          <w:szCs w:val="21"/>
        </w:rPr>
      </w:pPr>
      <w:r>
        <w:rPr>
          <w:rFonts w:hint="eastAsia"/>
          <w:kern w:val="0"/>
          <w:szCs w:val="21"/>
        </w:rPr>
        <w:t>5.1.</w:t>
      </w:r>
      <w:r>
        <w:rPr>
          <w:rFonts w:hint="eastAsia"/>
          <w:kern w:val="0"/>
          <w:szCs w:val="21"/>
          <w:lang w:val="en-US"/>
        </w:rPr>
        <w:t>6</w:t>
      </w:r>
      <w:r>
        <w:rPr>
          <w:rFonts w:hint="eastAsia"/>
          <w:kern w:val="0"/>
          <w:szCs w:val="21"/>
        </w:rPr>
        <w:t xml:space="preserve"> 排水沟终端排水点应参考修复前状况，如需改变排水方向需与当地社区充分沟通，由社区指定合理的排水位置。</w:t>
      </w:r>
    </w:p>
    <w:p w14:paraId="02A7301B">
      <w:pPr>
        <w:adjustRightInd w:val="0"/>
        <w:snapToGrid w:val="0"/>
        <w:spacing w:line="360" w:lineRule="auto"/>
        <w:ind w:firstLine="420" w:firstLineChars="200"/>
        <w:rPr>
          <w:bCs/>
          <w:kern w:val="0"/>
          <w:szCs w:val="21"/>
        </w:rPr>
      </w:pPr>
      <w:r>
        <w:rPr>
          <w:rFonts w:hint="eastAsia"/>
          <w:kern w:val="0"/>
          <w:szCs w:val="21"/>
        </w:rPr>
        <w:t>5.1.</w:t>
      </w:r>
      <w:r>
        <w:rPr>
          <w:rFonts w:hint="eastAsia"/>
          <w:kern w:val="0"/>
          <w:szCs w:val="21"/>
          <w:lang w:val="en-US"/>
        </w:rPr>
        <w:t>7</w:t>
      </w:r>
      <w:r>
        <w:rPr>
          <w:rFonts w:hint="eastAsia"/>
          <w:bCs/>
          <w:kern w:val="0"/>
          <w:szCs w:val="21"/>
        </w:rPr>
        <w:t>红土由分包商自行负责，涉及的红土粒料资源税均包含在报价中，发包方不再另行支付。</w:t>
      </w:r>
    </w:p>
    <w:p w14:paraId="62ED374D">
      <w:pPr>
        <w:adjustRightInd w:val="0"/>
        <w:snapToGrid w:val="0"/>
        <w:spacing w:line="360" w:lineRule="auto"/>
        <w:ind w:firstLine="420" w:firstLineChars="200"/>
        <w:rPr>
          <w:kern w:val="0"/>
          <w:szCs w:val="21"/>
        </w:rPr>
      </w:pPr>
      <w:r>
        <w:rPr>
          <w:kern w:val="0"/>
          <w:szCs w:val="21"/>
        </w:rPr>
        <w:t xml:space="preserve">5.1 Normes et exigences techniques pour la </w:t>
      </w:r>
      <w:r>
        <w:rPr>
          <w:rFonts w:hint="eastAsia"/>
          <w:kern w:val="0"/>
          <w:szCs w:val="21"/>
        </w:rPr>
        <w:t>R</w:t>
      </w:r>
      <w:r>
        <w:rPr>
          <w:kern w:val="0"/>
          <w:szCs w:val="21"/>
        </w:rPr>
        <w:t xml:space="preserve">éhabilitation des routes </w:t>
      </w:r>
    </w:p>
    <w:p w14:paraId="416F675B">
      <w:pPr>
        <w:adjustRightInd w:val="0"/>
        <w:snapToGrid w:val="0"/>
        <w:spacing w:line="360" w:lineRule="auto"/>
        <w:ind w:firstLine="420" w:firstLineChars="200"/>
        <w:rPr>
          <w:kern w:val="0"/>
          <w:szCs w:val="21"/>
        </w:rPr>
      </w:pPr>
      <w:r>
        <w:rPr>
          <w:kern w:val="0"/>
          <w:szCs w:val="21"/>
        </w:rPr>
        <w:t>5.1.</w:t>
      </w:r>
      <w:r>
        <w:rPr>
          <w:rFonts w:hint="eastAsia"/>
          <w:kern w:val="0"/>
          <w:szCs w:val="21"/>
          <w:lang w:val="en-US"/>
        </w:rPr>
        <w:t>1</w:t>
      </w:r>
      <w:r>
        <w:rPr>
          <w:rFonts w:ascii="Segoe UI" w:hAnsi="Segoe UI" w:cs="Segoe UI"/>
          <w:b/>
          <w:bCs/>
          <w:shd w:val="clear" w:color="auto" w:fill="FFFFFF"/>
        </w:rPr>
        <w:t xml:space="preserve"> </w:t>
      </w:r>
      <w:r>
        <w:rPr>
          <w:kern w:val="0"/>
          <w:szCs w:val="21"/>
        </w:rPr>
        <w:t xml:space="preserve">Après le décapage de la terre meuble de la plate-forme, les ornières et nids-de-poule de la chaussée existante seront remblayés avec des granulats latéritiques et compactés au rouleau compresseur. L’épaisseur de mise en place des granulats pourra être ajustée en fonction des conditions du site, à condition que l’épaisseur moyenne de la couche compactée finale soit au minimum de </w:t>
      </w:r>
      <w:r>
        <w:rPr>
          <w:rFonts w:hint="eastAsia"/>
          <w:kern w:val="0"/>
          <w:szCs w:val="21"/>
          <w:lang w:val="en-US"/>
        </w:rPr>
        <w:t>3</w:t>
      </w:r>
      <w:r>
        <w:rPr>
          <w:kern w:val="0"/>
          <w:szCs w:val="21"/>
        </w:rPr>
        <w:t>0 cm.</w:t>
      </w:r>
    </w:p>
    <w:p w14:paraId="69DCEB7E">
      <w:pPr>
        <w:adjustRightInd w:val="0"/>
        <w:snapToGrid w:val="0"/>
        <w:spacing w:line="360" w:lineRule="auto"/>
        <w:ind w:firstLine="420" w:firstLineChars="200"/>
        <w:rPr>
          <w:kern w:val="0"/>
          <w:szCs w:val="21"/>
        </w:rPr>
      </w:pPr>
      <w:r>
        <w:rPr>
          <w:kern w:val="0"/>
          <w:szCs w:val="21"/>
        </w:rPr>
        <w:t>5.1.</w:t>
      </w:r>
      <w:r>
        <w:rPr>
          <w:rFonts w:hint="eastAsia"/>
          <w:kern w:val="0"/>
          <w:szCs w:val="21"/>
          <w:lang w:val="en-US"/>
        </w:rPr>
        <w:t>2</w:t>
      </w:r>
      <w:r>
        <w:rPr>
          <w:kern w:val="0"/>
          <w:szCs w:val="21"/>
        </w:rPr>
        <w:t xml:space="preserve"> La chaussée doit être plane, avec une pente transversale de 2% pour le drainage et une pente longitudinale adaptée à la topographie. Un écoulement efficace des eaux doit être garanti en saison des pluies.</w:t>
      </w:r>
    </w:p>
    <w:p w14:paraId="5B432E04">
      <w:pPr>
        <w:adjustRightInd w:val="0"/>
        <w:snapToGrid w:val="0"/>
        <w:spacing w:line="360" w:lineRule="auto"/>
        <w:ind w:firstLine="420" w:firstLineChars="200"/>
        <w:rPr>
          <w:kern w:val="0"/>
          <w:szCs w:val="21"/>
        </w:rPr>
      </w:pPr>
      <w:r>
        <w:rPr>
          <w:kern w:val="0"/>
          <w:szCs w:val="21"/>
        </w:rPr>
        <w:t>5.1.</w:t>
      </w:r>
      <w:r>
        <w:rPr>
          <w:rFonts w:hint="eastAsia"/>
          <w:kern w:val="0"/>
          <w:szCs w:val="21"/>
          <w:lang w:val="en-US"/>
        </w:rPr>
        <w:t>3</w:t>
      </w:r>
      <w:r>
        <w:rPr>
          <w:kern w:val="0"/>
          <w:szCs w:val="21"/>
        </w:rPr>
        <w:t xml:space="preserve"> Les fossés de drainage latéraux doivent avoir une largeur &gt; </w:t>
      </w:r>
      <w:r>
        <w:rPr>
          <w:rFonts w:hint="eastAsia"/>
          <w:kern w:val="0"/>
          <w:szCs w:val="21"/>
          <w:lang w:val="en-US"/>
        </w:rPr>
        <w:t>10</w:t>
      </w:r>
      <w:r>
        <w:rPr>
          <w:kern w:val="0"/>
          <w:szCs w:val="21"/>
        </w:rPr>
        <w:t xml:space="preserve">0 cm et une profondeur &gt; </w:t>
      </w:r>
      <w:r>
        <w:rPr>
          <w:rFonts w:hint="eastAsia"/>
          <w:kern w:val="0"/>
          <w:szCs w:val="21"/>
          <w:lang w:val="en-US"/>
        </w:rPr>
        <w:t>5</w:t>
      </w:r>
      <w:r>
        <w:rPr>
          <w:kern w:val="0"/>
          <w:szCs w:val="21"/>
        </w:rPr>
        <w:t>0 cm</w:t>
      </w:r>
      <w:r>
        <w:rPr>
          <w:rFonts w:hint="eastAsia"/>
          <w:kern w:val="0"/>
          <w:szCs w:val="21"/>
        </w:rPr>
        <w:t>，</w:t>
      </w:r>
      <w:r>
        <w:rPr>
          <w:kern w:val="0"/>
          <w:szCs w:val="21"/>
        </w:rPr>
        <w:t>avec une pente longitudinale au fond d’au moins 0,5 %. Leur pente doit être assurée lors des travaux pour un drainage efficace en saison des pluies.</w:t>
      </w:r>
    </w:p>
    <w:p w14:paraId="3B494936">
      <w:pPr>
        <w:adjustRightInd w:val="0"/>
        <w:snapToGrid w:val="0"/>
        <w:spacing w:line="360" w:lineRule="auto"/>
        <w:ind w:firstLine="420" w:firstLineChars="200"/>
        <w:rPr>
          <w:kern w:val="0"/>
          <w:szCs w:val="21"/>
        </w:rPr>
      </w:pPr>
      <w:r>
        <w:rPr>
          <w:kern w:val="0"/>
          <w:szCs w:val="21"/>
        </w:rPr>
        <w:t>5.1.</w:t>
      </w:r>
      <w:r>
        <w:rPr>
          <w:rFonts w:hint="eastAsia"/>
          <w:kern w:val="0"/>
          <w:szCs w:val="21"/>
          <w:lang w:val="en-US"/>
        </w:rPr>
        <w:t>4</w:t>
      </w:r>
      <w:r>
        <w:rPr>
          <w:kern w:val="0"/>
          <w:szCs w:val="21"/>
        </w:rPr>
        <w:t xml:space="preserve"> Au niveau des passages à gué existants, un radier en béton sera aménagé sans modifier les conditions hydrauliques d’origine.</w:t>
      </w:r>
    </w:p>
    <w:p w14:paraId="058A7CD4">
      <w:pPr>
        <w:adjustRightInd w:val="0"/>
        <w:snapToGrid w:val="0"/>
        <w:spacing w:line="360" w:lineRule="auto"/>
        <w:ind w:firstLine="420" w:firstLineChars="200"/>
        <w:rPr>
          <w:kern w:val="0"/>
          <w:szCs w:val="21"/>
        </w:rPr>
      </w:pPr>
      <w:r>
        <w:rPr>
          <w:kern w:val="0"/>
          <w:szCs w:val="21"/>
        </w:rPr>
        <w:t>5.1.</w:t>
      </w:r>
      <w:r>
        <w:rPr>
          <w:rFonts w:hint="eastAsia"/>
          <w:kern w:val="0"/>
          <w:szCs w:val="21"/>
          <w:lang w:val="en-US"/>
        </w:rPr>
        <w:t>5</w:t>
      </w:r>
      <w:r>
        <w:rPr>
          <w:kern w:val="0"/>
          <w:szCs w:val="21"/>
        </w:rPr>
        <w:t xml:space="preserve"> À proximité des habitations, la sécurité des travaux doit être une priorité pour éviter tout dommage aux constructions par les engins de compactage. L’Entrepreneur assume l’entière et exclusive responsabilité des dégâts causés par ses engins.</w:t>
      </w:r>
    </w:p>
    <w:p w14:paraId="2CE38D2F">
      <w:pPr>
        <w:adjustRightInd w:val="0"/>
        <w:snapToGrid w:val="0"/>
        <w:spacing w:line="360" w:lineRule="auto"/>
        <w:ind w:firstLine="420" w:firstLineChars="200"/>
        <w:rPr>
          <w:kern w:val="0"/>
          <w:szCs w:val="21"/>
        </w:rPr>
      </w:pPr>
      <w:r>
        <w:rPr>
          <w:kern w:val="0"/>
          <w:szCs w:val="21"/>
        </w:rPr>
        <w:t>5.1.</w:t>
      </w:r>
      <w:r>
        <w:rPr>
          <w:rFonts w:hint="eastAsia"/>
          <w:kern w:val="0"/>
          <w:szCs w:val="21"/>
          <w:lang w:val="en-US"/>
        </w:rPr>
        <w:t>6</w:t>
      </w:r>
      <w:r>
        <w:rPr>
          <w:kern w:val="0"/>
          <w:szCs w:val="21"/>
        </w:rPr>
        <w:t xml:space="preserve"> Le point de rejet des eaux de drainage doit respecter la situation préexistante. Toute modification du sens d’écoulement doit faire l’objet d’une concertation préalable avec la communauté, qui désignera un point de rejet approprié.</w:t>
      </w:r>
    </w:p>
    <w:p w14:paraId="30AC1872">
      <w:pPr>
        <w:adjustRightInd w:val="0"/>
        <w:snapToGrid w:val="0"/>
        <w:spacing w:line="360" w:lineRule="auto"/>
        <w:ind w:firstLine="420" w:firstLineChars="200"/>
        <w:rPr>
          <w:kern w:val="0"/>
          <w:szCs w:val="21"/>
        </w:rPr>
      </w:pPr>
      <w:r>
        <w:rPr>
          <w:kern w:val="0"/>
          <w:szCs w:val="21"/>
        </w:rPr>
        <w:t>5.1.</w:t>
      </w:r>
      <w:r>
        <w:rPr>
          <w:rFonts w:hint="eastAsia"/>
          <w:kern w:val="0"/>
          <w:szCs w:val="21"/>
          <w:lang w:val="en-US"/>
        </w:rPr>
        <w:t>7</w:t>
      </w:r>
      <w:r>
        <w:rPr>
          <w:kern w:val="0"/>
          <w:szCs w:val="21"/>
        </w:rPr>
        <w:t xml:space="preserve"> Les granulats latéritiques sont fournis à ses frais par l’Entrepreneur. Tous les coûts associés, notamment les taxes sur les ressources, sont inclus dans son offre financière et ne donneront lieu à aucun supplément.</w:t>
      </w:r>
    </w:p>
    <w:p w14:paraId="5532951F">
      <w:pPr>
        <w:adjustRightInd w:val="0"/>
        <w:snapToGrid w:val="0"/>
        <w:spacing w:line="360" w:lineRule="auto"/>
        <w:ind w:firstLine="422" w:firstLineChars="200"/>
        <w:rPr>
          <w:b/>
          <w:bCs/>
          <w:kern w:val="0"/>
          <w:szCs w:val="21"/>
        </w:rPr>
      </w:pPr>
      <w:r>
        <w:rPr>
          <w:rFonts w:hint="eastAsia"/>
          <w:b/>
          <w:bCs/>
          <w:kern w:val="0"/>
          <w:szCs w:val="21"/>
        </w:rPr>
        <w:t>5.2 足球场修缮工程的技术标准和要求</w:t>
      </w:r>
    </w:p>
    <w:p w14:paraId="108F9996">
      <w:pPr>
        <w:adjustRightInd w:val="0"/>
        <w:snapToGrid w:val="0"/>
        <w:spacing w:line="360" w:lineRule="auto"/>
        <w:ind w:firstLine="420" w:firstLineChars="200"/>
        <w:rPr>
          <w:rFonts w:cs="宋体"/>
          <w:bCs/>
          <w:kern w:val="0"/>
          <w:szCs w:val="21"/>
        </w:rPr>
      </w:pPr>
      <w:r>
        <w:rPr>
          <w:rFonts w:hint="eastAsia" w:cs="宋体"/>
          <w:bCs/>
          <w:kern w:val="0"/>
          <w:szCs w:val="21"/>
        </w:rPr>
        <w:t>5.2.1 平整原足球场，清除表面杂草和植被。</w:t>
      </w:r>
    </w:p>
    <w:p w14:paraId="7003C25E">
      <w:pPr>
        <w:adjustRightInd w:val="0"/>
        <w:snapToGrid w:val="0"/>
        <w:spacing w:line="360" w:lineRule="auto"/>
        <w:ind w:firstLine="420" w:firstLineChars="200"/>
        <w:rPr>
          <w:rFonts w:cs="宋体"/>
          <w:bCs/>
          <w:kern w:val="0"/>
          <w:szCs w:val="21"/>
        </w:rPr>
      </w:pPr>
      <w:r>
        <w:rPr>
          <w:rFonts w:hint="eastAsia" w:cs="宋体"/>
          <w:bCs/>
          <w:kern w:val="0"/>
          <w:szCs w:val="21"/>
        </w:rPr>
        <w:t xml:space="preserve">5.2.2 清理草根浮土后，用红土颗粒回填，并用压路机压实，平均铺设厚度不小于 </w:t>
      </w:r>
      <w:r>
        <w:rPr>
          <w:rFonts w:hint="eastAsia" w:cs="宋体"/>
          <w:bCs/>
          <w:kern w:val="0"/>
          <w:szCs w:val="21"/>
          <w:lang w:val="en-US"/>
        </w:rPr>
        <w:t>10</w:t>
      </w:r>
      <w:r>
        <w:rPr>
          <w:rFonts w:hint="eastAsia" w:cs="宋体"/>
          <w:bCs/>
          <w:kern w:val="0"/>
          <w:szCs w:val="21"/>
        </w:rPr>
        <w:t xml:space="preserve"> 厘米。红土颗粒的成本由分包商承担。红土颗粒资源税包含在投标报价中。</w:t>
      </w:r>
    </w:p>
    <w:p w14:paraId="5B4476CD">
      <w:pPr>
        <w:adjustRightInd w:val="0"/>
        <w:snapToGrid w:val="0"/>
        <w:spacing w:line="360" w:lineRule="auto"/>
        <w:ind w:firstLine="420" w:firstLineChars="200"/>
        <w:rPr>
          <w:rFonts w:cs="宋体"/>
          <w:bCs/>
          <w:kern w:val="0"/>
          <w:szCs w:val="21"/>
        </w:rPr>
      </w:pPr>
      <w:r>
        <w:rPr>
          <w:rFonts w:hint="eastAsia" w:cs="宋体"/>
          <w:bCs/>
          <w:kern w:val="0"/>
          <w:szCs w:val="21"/>
        </w:rPr>
        <w:t>5.2.3 排水沟尺寸要求：宽度大于 40 厘米，深度大于 30 厘米。</w:t>
      </w:r>
    </w:p>
    <w:p w14:paraId="6C8E6A9D">
      <w:pPr>
        <w:adjustRightInd w:val="0"/>
        <w:snapToGrid w:val="0"/>
        <w:spacing w:line="360" w:lineRule="auto"/>
        <w:ind w:firstLine="420" w:firstLineChars="200"/>
        <w:rPr>
          <w:rFonts w:cs="宋体"/>
          <w:bCs/>
          <w:kern w:val="0"/>
          <w:szCs w:val="21"/>
        </w:rPr>
      </w:pPr>
      <w:r>
        <w:rPr>
          <w:rFonts w:hint="eastAsia" w:cs="宋体"/>
          <w:bCs/>
          <w:kern w:val="0"/>
          <w:szCs w:val="21"/>
        </w:rPr>
        <w:t>5.2.4 建造排水沟时必须考虑坡度，以确保水流均匀。</w:t>
      </w:r>
    </w:p>
    <w:p w14:paraId="2E9D0891">
      <w:pPr>
        <w:adjustRightInd w:val="0"/>
        <w:snapToGrid w:val="0"/>
        <w:spacing w:line="360" w:lineRule="auto"/>
        <w:ind w:firstLine="420" w:firstLineChars="200"/>
        <w:rPr>
          <w:rFonts w:cs="宋体"/>
          <w:bCs/>
          <w:kern w:val="0"/>
          <w:szCs w:val="21"/>
        </w:rPr>
      </w:pPr>
      <w:r>
        <w:rPr>
          <w:rFonts w:hint="eastAsia" w:cs="宋体"/>
          <w:bCs/>
          <w:kern w:val="0"/>
          <w:szCs w:val="21"/>
        </w:rPr>
        <w:t>5.2.5 砖砌足球场凳的尺寸为宽 50 厘米、高 45 厘米，总长度见工程量。(实际施工时可根据场地条件将其分成若干个长凳）。</w:t>
      </w:r>
    </w:p>
    <w:p w14:paraId="595E5C25">
      <w:pPr>
        <w:adjustRightInd w:val="0"/>
        <w:snapToGrid w:val="0"/>
        <w:spacing w:line="360" w:lineRule="auto"/>
        <w:ind w:firstLine="420" w:firstLineChars="200"/>
        <w:rPr>
          <w:rFonts w:cs="宋体"/>
          <w:bCs/>
          <w:kern w:val="0"/>
          <w:szCs w:val="21"/>
        </w:rPr>
      </w:pPr>
      <w:r>
        <w:rPr>
          <w:rFonts w:hint="eastAsia" w:cs="宋体"/>
          <w:bCs/>
          <w:kern w:val="0"/>
          <w:szCs w:val="21"/>
        </w:rPr>
        <w:t>5.2.6 足球场砖砌长凳采用当地几内亚砖砌筑，采用水泥砂浆抹灰，水泥砂浆厚度为 2 厘米，要求粉刷后表面光滑，一般美观。</w:t>
      </w:r>
    </w:p>
    <w:p w14:paraId="1401DD7F">
      <w:pPr>
        <w:adjustRightInd w:val="0"/>
        <w:snapToGrid w:val="0"/>
        <w:spacing w:line="360" w:lineRule="auto"/>
        <w:ind w:firstLine="420" w:firstLineChars="200"/>
        <w:rPr>
          <w:rFonts w:cs="宋体"/>
          <w:bCs/>
          <w:kern w:val="0"/>
          <w:szCs w:val="21"/>
        </w:rPr>
      </w:pPr>
      <w:r>
        <w:rPr>
          <w:rFonts w:hint="eastAsia" w:cs="宋体"/>
          <w:bCs/>
          <w:kern w:val="0"/>
          <w:szCs w:val="21"/>
        </w:rPr>
        <w:t>5.2.7 钢制球门宽 7.3 米，高 2.4 米，球架钢管直径 55 毫米，预埋深度 70 厘米，填充采用混凝土。</w:t>
      </w:r>
    </w:p>
    <w:p w14:paraId="269B13C0">
      <w:pPr>
        <w:adjustRightInd w:val="0"/>
        <w:snapToGrid w:val="0"/>
        <w:spacing w:line="360" w:lineRule="auto"/>
        <w:ind w:firstLine="420" w:firstLineChars="200"/>
        <w:rPr>
          <w:rFonts w:cs="宋体"/>
          <w:bCs/>
          <w:kern w:val="0"/>
          <w:szCs w:val="21"/>
        </w:rPr>
      </w:pPr>
      <w:r>
        <w:rPr>
          <w:rFonts w:hint="eastAsia" w:cs="宋体"/>
          <w:bCs/>
          <w:kern w:val="0"/>
          <w:szCs w:val="21"/>
        </w:rPr>
        <w:t>5.2.8 钢制球门涂有白色和红色防腐漆</w:t>
      </w:r>
      <w:r>
        <w:rPr>
          <w:rFonts w:hint="eastAsia" w:cs="宋体"/>
          <w:bCs/>
          <w:kern w:val="0"/>
          <w:szCs w:val="21"/>
        </w:rPr>
        <w:t>，并配有白色尼龙网。</w:t>
      </w:r>
    </w:p>
    <w:p w14:paraId="26517296">
      <w:pPr>
        <w:adjustRightInd w:val="0"/>
        <w:snapToGrid w:val="0"/>
        <w:spacing w:line="360" w:lineRule="auto"/>
        <w:ind w:firstLine="420"/>
        <w:rPr>
          <w:rFonts w:cs="宋体"/>
          <w:kern w:val="0"/>
          <w:szCs w:val="21"/>
        </w:rPr>
      </w:pPr>
      <w:r>
        <w:rPr>
          <w:rFonts w:cs="宋体"/>
          <w:kern w:val="0"/>
          <w:szCs w:val="21"/>
        </w:rPr>
        <w:t>5.2 Normes et exigences techniques pour les travaux de réhabilitation du terrain de football</w:t>
      </w:r>
    </w:p>
    <w:p w14:paraId="1DA5A30F">
      <w:pPr>
        <w:adjustRightInd w:val="0"/>
        <w:snapToGrid w:val="0"/>
        <w:spacing w:line="360" w:lineRule="auto"/>
        <w:ind w:firstLine="420"/>
        <w:rPr>
          <w:rFonts w:cs="宋体"/>
          <w:kern w:val="0"/>
          <w:szCs w:val="21"/>
        </w:rPr>
      </w:pPr>
      <w:r>
        <w:rPr>
          <w:rFonts w:cs="宋体"/>
          <w:kern w:val="0"/>
          <w:szCs w:val="21"/>
        </w:rPr>
        <w:t>5.2.1 Procéder au nivellement du terrain existant et au débroussaillage complet de la surface.</w:t>
      </w:r>
    </w:p>
    <w:p w14:paraId="766D439F">
      <w:pPr>
        <w:adjustRightInd w:val="0"/>
        <w:snapToGrid w:val="0"/>
        <w:spacing w:line="360" w:lineRule="auto"/>
        <w:ind w:firstLine="420"/>
        <w:rPr>
          <w:rFonts w:cs="宋体"/>
          <w:kern w:val="0"/>
          <w:szCs w:val="21"/>
        </w:rPr>
      </w:pPr>
      <w:r>
        <w:rPr>
          <w:rFonts w:cs="宋体"/>
          <w:kern w:val="0"/>
          <w:szCs w:val="21"/>
        </w:rPr>
        <w:t xml:space="preserve">5.2.2 Après décapage de la terre végétale et des racines, le remblaiement sera effectué à l’aide de granulats latéritiques compactés au rouleau. L’épaisseur moyenne de la couche compactée ne devra pas être inférieure à </w:t>
      </w:r>
      <w:r>
        <w:rPr>
          <w:rFonts w:hint="eastAsia" w:cs="宋体"/>
          <w:kern w:val="0"/>
          <w:szCs w:val="21"/>
          <w:lang w:val="en-US"/>
        </w:rPr>
        <w:t>10</w:t>
      </w:r>
      <w:r>
        <w:rPr>
          <w:rFonts w:cs="宋体"/>
          <w:kern w:val="0"/>
          <w:szCs w:val="21"/>
        </w:rPr>
        <w:t xml:space="preserve"> cm.</w:t>
      </w:r>
    </w:p>
    <w:p w14:paraId="58C82E69">
      <w:pPr>
        <w:adjustRightInd w:val="0"/>
        <w:snapToGrid w:val="0"/>
        <w:spacing w:line="360" w:lineRule="auto"/>
        <w:ind w:firstLine="420"/>
        <w:rPr>
          <w:rFonts w:cs="宋体"/>
          <w:kern w:val="0"/>
          <w:szCs w:val="21"/>
        </w:rPr>
      </w:pPr>
      <w:r>
        <w:rPr>
          <w:rFonts w:cs="宋体"/>
          <w:kern w:val="0"/>
          <w:szCs w:val="21"/>
        </w:rPr>
        <w:t>Les granulats latéritiques, ainsi que toutes les taxes afférentes (dont la redevance sur les ressources), sont fournis et à la charge exclusive du sous-traitant. Leur coût est inclus dans son offre financière.</w:t>
      </w:r>
    </w:p>
    <w:p w14:paraId="12A95188">
      <w:pPr>
        <w:adjustRightInd w:val="0"/>
        <w:snapToGrid w:val="0"/>
        <w:spacing w:line="360" w:lineRule="auto"/>
        <w:ind w:firstLine="420"/>
        <w:rPr>
          <w:rFonts w:cs="宋体"/>
          <w:kern w:val="0"/>
          <w:szCs w:val="21"/>
        </w:rPr>
      </w:pPr>
      <w:r>
        <w:rPr>
          <w:rFonts w:cs="宋体"/>
          <w:kern w:val="0"/>
          <w:szCs w:val="21"/>
        </w:rPr>
        <w:t>5.2.3 Les fossés de drainage devront présenter les dimensions minimales suivantes : largeur &gt; 40 cm, profondeur &gt; 30 cm.</w:t>
      </w:r>
    </w:p>
    <w:p w14:paraId="04A98AA7">
      <w:pPr>
        <w:adjustRightInd w:val="0"/>
        <w:snapToGrid w:val="0"/>
        <w:spacing w:line="360" w:lineRule="auto"/>
        <w:ind w:firstLine="420"/>
        <w:rPr>
          <w:rFonts w:cs="宋体"/>
          <w:kern w:val="0"/>
          <w:szCs w:val="21"/>
        </w:rPr>
      </w:pPr>
      <w:r>
        <w:rPr>
          <w:rFonts w:cs="宋体"/>
          <w:kern w:val="0"/>
          <w:szCs w:val="21"/>
        </w:rPr>
        <w:t>5.2.4 La construction des fossés devra intégrer une pente suffisante pour garantir un écoulement rapide et complet des eaux.</w:t>
      </w:r>
    </w:p>
    <w:p w14:paraId="7738DDA4">
      <w:pPr>
        <w:adjustRightInd w:val="0"/>
        <w:snapToGrid w:val="0"/>
        <w:spacing w:line="360" w:lineRule="auto"/>
        <w:ind w:firstLine="420"/>
        <w:rPr>
          <w:rFonts w:cs="宋体"/>
          <w:kern w:val="0"/>
          <w:szCs w:val="21"/>
        </w:rPr>
      </w:pPr>
      <w:r>
        <w:rPr>
          <w:rFonts w:cs="宋体"/>
          <w:kern w:val="0"/>
          <w:szCs w:val="21"/>
        </w:rPr>
        <w:t>5.2.5 Les dimensions des bancs en briques du terrain de football sont de 50 cm de largeur et 45 cm de hauteur, pour une longueur totale indiquée dans le métré. (Lors de la construction, ils peuvent être divisés en plusieurs bancs en fonction des conditions du site.)</w:t>
      </w:r>
    </w:p>
    <w:p w14:paraId="5B9BC686">
      <w:pPr>
        <w:adjustRightInd w:val="0"/>
        <w:snapToGrid w:val="0"/>
        <w:spacing w:line="360" w:lineRule="auto"/>
        <w:ind w:firstLine="420"/>
        <w:rPr>
          <w:rFonts w:cs="宋体"/>
          <w:kern w:val="0"/>
          <w:szCs w:val="21"/>
        </w:rPr>
      </w:pPr>
      <w:r>
        <w:rPr>
          <w:rFonts w:cs="宋体"/>
          <w:kern w:val="0"/>
          <w:szCs w:val="21"/>
        </w:rPr>
        <w:t>5.2.6 Les bancs en briques du terrain de football sont construits avec des briques guinéennes locales, enduits au mortier de ciment avec une épaisseur de 2 cm. La surface après enduit doit être lisse et d’apparence généralement esthétique.</w:t>
      </w:r>
    </w:p>
    <w:p w14:paraId="021BFCE4">
      <w:pPr>
        <w:adjustRightInd w:val="0"/>
        <w:snapToGrid w:val="0"/>
        <w:spacing w:line="360" w:lineRule="auto"/>
        <w:ind w:firstLine="420"/>
        <w:rPr>
          <w:rFonts w:cs="宋体"/>
          <w:kern w:val="0"/>
          <w:szCs w:val="21"/>
        </w:rPr>
      </w:pPr>
      <w:r>
        <w:rPr>
          <w:rFonts w:cs="宋体"/>
          <w:kern w:val="0"/>
          <w:szCs w:val="21"/>
        </w:rPr>
        <w:t>5.2.7 Les buts en acier ont une largeur de 7,3 m et une hauteur de 2,4 m. Les tubes de la structure des buts ont un diamètre de 55 mm et sont ancrés à une profondeur de 70 cm, avec un remplissage en béton.</w:t>
      </w:r>
    </w:p>
    <w:p w14:paraId="06C17420">
      <w:pPr>
        <w:adjustRightInd w:val="0"/>
        <w:snapToGrid w:val="0"/>
        <w:spacing w:line="360" w:lineRule="auto"/>
        <w:ind w:firstLine="420"/>
        <w:rPr>
          <w:rFonts w:cs="宋体"/>
          <w:kern w:val="0"/>
          <w:szCs w:val="21"/>
        </w:rPr>
      </w:pPr>
      <w:r>
        <w:rPr>
          <w:rFonts w:cs="宋体"/>
          <w:kern w:val="0"/>
          <w:szCs w:val="21"/>
        </w:rPr>
        <w:t>5.2.8 Les buts en acier sont peints avec une peinture anticorrosion blanche et rouge, et sont équipés d’un filet en nylon blanc.</w:t>
      </w:r>
    </w:p>
    <w:p w14:paraId="46909311">
      <w:pPr>
        <w:spacing w:line="360" w:lineRule="auto"/>
        <w:ind w:firstLine="422" w:firstLineChars="200"/>
        <w:jc w:val="left"/>
        <w:textAlignment w:val="baseline"/>
        <w:rPr>
          <w:b/>
          <w:kern w:val="0"/>
          <w:szCs w:val="18"/>
        </w:rPr>
      </w:pPr>
      <w:r>
        <w:rPr>
          <w:rFonts w:hint="eastAsia" w:cs="宋体"/>
          <w:b/>
          <w:kern w:val="0"/>
          <w:szCs w:val="21"/>
        </w:rPr>
        <w:t>六、承包方式</w:t>
      </w:r>
      <w:r>
        <w:rPr>
          <w:rFonts w:cs="宋体"/>
          <w:b/>
          <w:kern w:val="0"/>
          <w:szCs w:val="21"/>
        </w:rPr>
        <w:t xml:space="preserve"> Type de contrat</w:t>
      </w:r>
    </w:p>
    <w:p w14:paraId="3366E0CA">
      <w:pPr>
        <w:spacing w:line="360" w:lineRule="auto"/>
        <w:ind w:firstLine="420"/>
        <w:jc w:val="left"/>
        <w:textAlignment w:val="baseline"/>
        <w:rPr>
          <w:rFonts w:cs="宋体"/>
          <w:bCs/>
          <w:kern w:val="0"/>
          <w:szCs w:val="21"/>
        </w:rPr>
      </w:pPr>
      <w:r>
        <w:rPr>
          <w:rFonts w:hint="eastAsia" w:cs="宋体"/>
          <w:bCs/>
          <w:kern w:val="0"/>
          <w:szCs w:val="21"/>
        </w:rPr>
        <w:t xml:space="preserve">6.1 </w:t>
      </w:r>
      <w:r>
        <w:rPr>
          <w:rFonts w:hint="eastAsia"/>
          <w:kern w:val="0"/>
          <w:szCs w:val="18"/>
        </w:rPr>
        <w:t>包工包料，所有材料均由承包商自行负责。</w:t>
      </w:r>
      <w:r>
        <w:rPr>
          <w:rFonts w:hint="eastAsia" w:cs="宋体"/>
          <w:b/>
          <w:kern w:val="0"/>
          <w:szCs w:val="21"/>
        </w:rPr>
        <w:t>按固定</w:t>
      </w:r>
      <w:r>
        <w:rPr>
          <w:rFonts w:hint="eastAsia" w:cs="宋体"/>
          <w:b/>
          <w:kern w:val="0"/>
          <w:szCs w:val="21"/>
          <w:lang w:val="en-US"/>
        </w:rPr>
        <w:t>总价</w:t>
      </w:r>
      <w:r>
        <w:rPr>
          <w:rFonts w:hint="eastAsia" w:cs="宋体"/>
          <w:b/>
          <w:kern w:val="0"/>
          <w:szCs w:val="21"/>
        </w:rPr>
        <w:t>计价，</w:t>
      </w:r>
      <w:r>
        <w:rPr>
          <w:rFonts w:hint="eastAsia" w:cs="宋体"/>
          <w:b/>
          <w:kern w:val="0"/>
          <w:szCs w:val="21"/>
          <w:highlight w:val="none"/>
        </w:rPr>
        <w:t>以</w:t>
      </w:r>
      <w:r>
        <w:rPr>
          <w:rFonts w:hint="eastAsia" w:cs="宋体"/>
          <w:b/>
          <w:kern w:val="0"/>
          <w:szCs w:val="21"/>
          <w:highlight w:val="none"/>
          <w:lang w:val="en-US" w:eastAsia="zh-CN"/>
        </w:rPr>
        <w:t>美元</w:t>
      </w:r>
      <w:r>
        <w:rPr>
          <w:rFonts w:hint="eastAsia" w:cs="宋体"/>
          <w:b/>
          <w:kern w:val="0"/>
          <w:szCs w:val="21"/>
          <w:highlight w:val="none"/>
        </w:rPr>
        <w:t>支付</w:t>
      </w:r>
      <w:r>
        <w:rPr>
          <w:rFonts w:hint="eastAsia" w:cs="宋体"/>
          <w:b/>
          <w:kern w:val="0"/>
          <w:szCs w:val="21"/>
        </w:rPr>
        <w:t>。</w:t>
      </w:r>
    </w:p>
    <w:p w14:paraId="0CCA65F9">
      <w:pPr>
        <w:spacing w:line="360" w:lineRule="auto"/>
        <w:ind w:firstLine="420"/>
        <w:jc w:val="left"/>
        <w:textAlignment w:val="baseline"/>
        <w:rPr>
          <w:kern w:val="0"/>
          <w:szCs w:val="18"/>
        </w:rPr>
      </w:pPr>
      <w:r>
        <w:rPr>
          <w:rFonts w:hint="eastAsia"/>
          <w:kern w:val="0"/>
          <w:szCs w:val="18"/>
          <w:lang w:val="en-US"/>
        </w:rPr>
        <w:t>固定</w:t>
      </w:r>
      <w:r>
        <w:rPr>
          <w:rFonts w:hint="eastAsia"/>
          <w:kern w:val="0"/>
          <w:szCs w:val="18"/>
        </w:rPr>
        <w:t>总价及合同价格应包括工程的图纸设计、所需物资及材料的购置、运输、施工、安装、竣工验收和维护而发生的各项应有费用，其中包括直接费、间接费、有关文件规定的调价、利润、规费、税金（</w:t>
      </w:r>
      <w:r>
        <w:rPr>
          <w:rFonts w:hint="eastAsia" w:ascii="宋体" w:hAnsi="宋体"/>
          <w:bCs/>
          <w:szCs w:val="21"/>
        </w:rPr>
        <w:t>不含18%增值税</w:t>
      </w:r>
      <w:r>
        <w:rPr>
          <w:rFonts w:hint="eastAsia"/>
          <w:kern w:val="0"/>
          <w:szCs w:val="18"/>
        </w:rPr>
        <w:t>）、现行费用中的其它费用、安全措施费、大型机具进出场费、现场安全、文明施工费用、二次搬运费、投保保险（包括第三者责任险，甲方要求承包商投保的其他险种）、政策性调整、物价变动和合同规定的其他所有风险、责任、不可预见费等费税，以及为完成本工程所需的或可能产生的全部费用。</w:t>
      </w:r>
    </w:p>
    <w:p w14:paraId="4BB6CAF6">
      <w:pPr>
        <w:spacing w:line="360" w:lineRule="auto"/>
        <w:ind w:firstLine="420"/>
        <w:jc w:val="left"/>
        <w:textAlignment w:val="baseline"/>
        <w:rPr>
          <w:kern w:val="0"/>
          <w:szCs w:val="18"/>
        </w:rPr>
      </w:pPr>
      <w:r>
        <w:rPr>
          <w:rFonts w:hint="eastAsia"/>
          <w:kern w:val="0"/>
          <w:szCs w:val="18"/>
        </w:rPr>
        <w:t>6.2 合同价格调整及计价方式。</w:t>
      </w:r>
    </w:p>
    <w:p w14:paraId="3E95207A">
      <w:pPr>
        <w:spacing w:line="360" w:lineRule="auto"/>
        <w:ind w:firstLine="420"/>
        <w:jc w:val="left"/>
        <w:textAlignment w:val="baseline"/>
        <w:rPr>
          <w:kern w:val="0"/>
          <w:szCs w:val="18"/>
        </w:rPr>
      </w:pPr>
      <w:r>
        <w:rPr>
          <w:rFonts w:hint="eastAsia"/>
          <w:kern w:val="0"/>
          <w:szCs w:val="18"/>
        </w:rPr>
        <w:t xml:space="preserve">6.2.1 </w:t>
      </w:r>
      <w:r>
        <w:rPr>
          <w:rFonts w:hint="eastAsia" w:ascii="宋体" w:hAnsi="宋体"/>
          <w:szCs w:val="28"/>
        </w:rPr>
        <w:t>固定</w:t>
      </w:r>
      <w:r>
        <w:rPr>
          <w:rFonts w:hint="eastAsia" w:ascii="宋体" w:hAnsi="宋体"/>
          <w:szCs w:val="28"/>
          <w:lang w:val="en-US"/>
        </w:rPr>
        <w:t>总</w:t>
      </w:r>
      <w:r>
        <w:rPr>
          <w:rFonts w:hint="eastAsia" w:ascii="Arial" w:hAnsi="Arial" w:cs="Arial"/>
          <w:szCs w:val="21"/>
        </w:rPr>
        <w:t>价，</w:t>
      </w:r>
      <w:r>
        <w:rPr>
          <w:rFonts w:hint="eastAsia" w:ascii="宋体" w:hAnsi="宋体"/>
          <w:szCs w:val="28"/>
        </w:rPr>
        <w:t>在</w:t>
      </w:r>
      <w:r>
        <w:rPr>
          <w:rFonts w:ascii="Arial" w:hAnsi="Arial" w:cs="Arial"/>
          <w:szCs w:val="21"/>
        </w:rPr>
        <w:t>合同</w:t>
      </w:r>
      <w:r>
        <w:rPr>
          <w:rFonts w:hint="eastAsia" w:ascii="Arial" w:hAnsi="Arial" w:cs="Arial"/>
          <w:szCs w:val="21"/>
        </w:rPr>
        <w:t>履行期间除</w:t>
      </w:r>
      <w:r>
        <w:rPr>
          <w:rFonts w:hint="eastAsia" w:ascii="宋体" w:hAnsi="宋体"/>
          <w:szCs w:val="28"/>
          <w:lang w:bidi="ar"/>
        </w:rPr>
        <w:t>国家税率政策发生变化时，可按照税前价不变的原则</w:t>
      </w:r>
      <w:r>
        <w:rPr>
          <w:rFonts w:hint="eastAsia" w:ascii="宋体" w:hAnsi="宋体"/>
          <w:kern w:val="0"/>
          <w:szCs w:val="21"/>
        </w:rPr>
        <w:t>对其相应税费进行调整外</w:t>
      </w:r>
      <w:r>
        <w:rPr>
          <w:rFonts w:ascii="Arial" w:hAnsi="Arial" w:cs="Arial"/>
          <w:szCs w:val="21"/>
        </w:rPr>
        <w:t>不作</w:t>
      </w:r>
      <w:r>
        <w:rPr>
          <w:rFonts w:hint="eastAsia" w:ascii="Arial" w:hAnsi="Arial" w:cs="Arial"/>
          <w:szCs w:val="21"/>
        </w:rPr>
        <w:t>任何</w:t>
      </w:r>
      <w:r>
        <w:rPr>
          <w:rFonts w:ascii="Arial" w:hAnsi="Arial" w:cs="Arial"/>
          <w:szCs w:val="21"/>
        </w:rPr>
        <w:t>调整</w:t>
      </w:r>
      <w:r>
        <w:rPr>
          <w:rFonts w:hint="eastAsia" w:ascii="Arial" w:hAnsi="Arial" w:cs="Arial"/>
          <w:szCs w:val="21"/>
        </w:rPr>
        <w:t>；</w:t>
      </w:r>
      <w:r>
        <w:rPr>
          <w:rFonts w:hint="eastAsia" w:ascii="宋体" w:hAnsi="宋体"/>
          <w:szCs w:val="28"/>
        </w:rPr>
        <w:t>但甲方对工作范围予以增加或减少时，可按相应报价增减费用</w:t>
      </w:r>
    </w:p>
    <w:p w14:paraId="7A0BAB61">
      <w:pPr>
        <w:spacing w:line="360" w:lineRule="auto"/>
        <w:ind w:firstLine="420"/>
        <w:jc w:val="left"/>
        <w:textAlignment w:val="baseline"/>
        <w:rPr>
          <w:kern w:val="0"/>
          <w:szCs w:val="18"/>
        </w:rPr>
      </w:pPr>
      <w:r>
        <w:rPr>
          <w:rFonts w:hint="eastAsia"/>
          <w:kern w:val="0"/>
          <w:szCs w:val="18"/>
        </w:rPr>
        <w:t>6.2.2付款条件</w:t>
      </w:r>
    </w:p>
    <w:p w14:paraId="2CBA97E2">
      <w:pPr>
        <w:spacing w:line="360" w:lineRule="auto"/>
        <w:ind w:firstLine="420" w:firstLineChars="200"/>
        <w:jc w:val="left"/>
        <w:textAlignment w:val="baseline"/>
        <w:rPr>
          <w:kern w:val="0"/>
          <w:szCs w:val="18"/>
        </w:rPr>
      </w:pPr>
      <w:r>
        <w:rPr>
          <w:rFonts w:hint="eastAsia"/>
          <w:kern w:val="0"/>
          <w:szCs w:val="18"/>
        </w:rPr>
        <w:t>开工与筹备</w:t>
      </w:r>
    </w:p>
    <w:p w14:paraId="0D618575">
      <w:pPr>
        <w:spacing w:line="360" w:lineRule="auto"/>
        <w:ind w:firstLine="420" w:firstLineChars="200"/>
        <w:jc w:val="left"/>
        <w:textAlignment w:val="baseline"/>
        <w:rPr>
          <w:kern w:val="0"/>
          <w:szCs w:val="18"/>
        </w:rPr>
      </w:pPr>
      <w:r>
        <w:rPr>
          <w:rFonts w:hint="eastAsia"/>
          <w:kern w:val="0"/>
          <w:szCs w:val="18"/>
        </w:rPr>
        <w:t>合同生效后，响应人应立即进行施工筹备，并在收到采购人发出的正式书面进场通知后 7个工作日 内进场施工。</w:t>
      </w:r>
    </w:p>
    <w:p w14:paraId="71499080">
      <w:pPr>
        <w:spacing w:line="360" w:lineRule="auto"/>
        <w:ind w:firstLine="420" w:firstLineChars="200"/>
        <w:jc w:val="left"/>
        <w:textAlignment w:val="baseline"/>
        <w:rPr>
          <w:kern w:val="0"/>
          <w:szCs w:val="18"/>
        </w:rPr>
      </w:pPr>
      <w:r>
        <w:rPr>
          <w:rFonts w:hint="eastAsia"/>
          <w:kern w:val="0"/>
          <w:szCs w:val="18"/>
        </w:rPr>
        <w:t>进度款支付</w:t>
      </w:r>
    </w:p>
    <w:p w14:paraId="2E3964C7">
      <w:pPr>
        <w:spacing w:line="360" w:lineRule="auto"/>
        <w:ind w:firstLine="420" w:firstLineChars="200"/>
        <w:jc w:val="left"/>
        <w:textAlignment w:val="baseline"/>
        <w:rPr>
          <w:kern w:val="0"/>
          <w:szCs w:val="18"/>
        </w:rPr>
      </w:pPr>
      <w:r>
        <w:rPr>
          <w:rFonts w:hint="eastAsia"/>
          <w:kern w:val="0"/>
          <w:szCs w:val="18"/>
        </w:rPr>
        <w:t>采购人每月按双方书面确认的已完成合格工程量支付进度款。响应人须在每月25日前提交付款申请，采购人应在收到完整申请后 30天 内完成支付。</w:t>
      </w:r>
    </w:p>
    <w:p w14:paraId="6ADBFDE2">
      <w:pPr>
        <w:spacing w:line="360" w:lineRule="auto"/>
        <w:ind w:firstLine="420" w:firstLineChars="200"/>
        <w:jc w:val="left"/>
        <w:textAlignment w:val="baseline"/>
        <w:rPr>
          <w:kern w:val="0"/>
          <w:szCs w:val="18"/>
        </w:rPr>
      </w:pPr>
      <w:r>
        <w:rPr>
          <w:rFonts w:hint="eastAsia"/>
          <w:kern w:val="0"/>
          <w:szCs w:val="18"/>
        </w:rPr>
        <w:t>质保金</w:t>
      </w:r>
    </w:p>
    <w:p w14:paraId="14A7ADE8">
      <w:pPr>
        <w:spacing w:line="360" w:lineRule="auto"/>
        <w:ind w:firstLine="420" w:firstLineChars="200"/>
        <w:jc w:val="left"/>
        <w:textAlignment w:val="baseline"/>
        <w:rPr>
          <w:kern w:val="0"/>
          <w:szCs w:val="18"/>
        </w:rPr>
      </w:pPr>
      <w:r>
        <w:rPr>
          <w:rFonts w:hint="eastAsia"/>
          <w:kern w:val="0"/>
          <w:szCs w:val="18"/>
        </w:rPr>
        <w:t>合同结算总价的 3% 将作为质量保证金。在相应工程质保期满且无未解决的质量问题后 10个工作日内，由采购人一次性付清。</w:t>
      </w:r>
    </w:p>
    <w:p w14:paraId="7FC758D8">
      <w:pPr>
        <w:spacing w:line="360" w:lineRule="auto"/>
        <w:ind w:firstLine="420" w:firstLineChars="200"/>
        <w:jc w:val="left"/>
        <w:textAlignment w:val="baseline"/>
        <w:rPr>
          <w:kern w:val="0"/>
          <w:szCs w:val="18"/>
        </w:rPr>
      </w:pPr>
      <w:r>
        <w:rPr>
          <w:rFonts w:hint="eastAsia"/>
          <w:kern w:val="0"/>
          <w:szCs w:val="18"/>
        </w:rPr>
        <w:t>质保期： 1年。 质保期均自项目取得专区政府颁发的最终验收证书之日起计算。</w:t>
      </w:r>
    </w:p>
    <w:p w14:paraId="1DA8662F">
      <w:pPr>
        <w:spacing w:line="360" w:lineRule="auto"/>
        <w:ind w:firstLine="420" w:firstLineChars="200"/>
        <w:textAlignment w:val="baseline"/>
        <w:rPr>
          <w:kern w:val="0"/>
          <w:szCs w:val="18"/>
        </w:rPr>
      </w:pPr>
      <w:r>
        <w:rPr>
          <w:kern w:val="0"/>
          <w:szCs w:val="18"/>
        </w:rPr>
        <w:t>6.1 Tous les matériaux sont à la charge de l’entrepreneur. Les prix sont</w:t>
      </w:r>
      <w:r>
        <w:rPr>
          <w:kern w:val="0"/>
          <w:szCs w:val="18"/>
          <w:shd w:val="clear" w:color="auto" w:fill="FFFFFF"/>
        </w:rPr>
        <w:t xml:space="preserve"> forfait</w:t>
      </w:r>
      <w:r>
        <w:rPr>
          <w:kern w:val="0"/>
          <w:szCs w:val="18"/>
          <w:shd w:val="clear" w:color="auto" w:fill="FFFFFF"/>
          <w:lang w:val="en-US"/>
        </w:rPr>
        <w:t>s</w:t>
      </w:r>
      <w:r>
        <w:rPr>
          <w:kern w:val="0"/>
          <w:szCs w:val="18"/>
          <w:shd w:val="clear" w:color="auto" w:fill="FFFFFF"/>
        </w:rPr>
        <w:t xml:space="preserve"> fixe</w:t>
      </w:r>
      <w:r>
        <w:rPr>
          <w:kern w:val="0"/>
          <w:szCs w:val="18"/>
          <w:shd w:val="clear" w:color="auto" w:fill="FFFFFF"/>
          <w:lang w:val="en-US"/>
        </w:rPr>
        <w:t>au</w:t>
      </w:r>
      <w:r>
        <w:rPr>
          <w:kern w:val="0"/>
          <w:szCs w:val="18"/>
          <w:shd w:val="clear" w:color="auto" w:fill="FFFFFF"/>
        </w:rPr>
        <w:t>，</w:t>
      </w:r>
      <w:r>
        <w:rPr>
          <w:kern w:val="0"/>
          <w:szCs w:val="18"/>
        </w:rPr>
        <w:t xml:space="preserve">établis sur la base d’un prix unitaire consolidé fixe, payable </w:t>
      </w:r>
      <w:r>
        <w:rPr>
          <w:kern w:val="0"/>
          <w:szCs w:val="18"/>
          <w:highlight w:val="none"/>
        </w:rPr>
        <w:t xml:space="preserve">en </w:t>
      </w:r>
      <w:r>
        <w:rPr>
          <w:rFonts w:hint="eastAsia"/>
          <w:kern w:val="0"/>
          <w:szCs w:val="18"/>
          <w:highlight w:val="none"/>
          <w:lang w:val="en-US" w:eastAsia="zh-CN"/>
        </w:rPr>
        <w:t>USD</w:t>
      </w:r>
      <w:r>
        <w:rPr>
          <w:kern w:val="0"/>
          <w:szCs w:val="18"/>
          <w:highlight w:val="none"/>
        </w:rPr>
        <w:t>.</w:t>
      </w:r>
    </w:p>
    <w:p w14:paraId="6064DB89">
      <w:pPr>
        <w:spacing w:line="360" w:lineRule="auto"/>
        <w:ind w:firstLine="420" w:firstLineChars="200"/>
        <w:textAlignment w:val="baseline"/>
        <w:rPr>
          <w:kern w:val="0"/>
          <w:szCs w:val="18"/>
        </w:rPr>
      </w:pPr>
      <w:r>
        <w:rPr>
          <w:kern w:val="0"/>
          <w:szCs w:val="18"/>
        </w:rPr>
        <w:t>Le Prix unitaire global fixe</w:t>
      </w:r>
      <w:r>
        <w:rPr>
          <w:rFonts w:hint="eastAsia"/>
          <w:b/>
          <w:bCs/>
          <w:kern w:val="0"/>
          <w:szCs w:val="18"/>
        </w:rPr>
        <w:t xml:space="preserve"> </w:t>
      </w:r>
      <w:r>
        <w:rPr>
          <w:kern w:val="0"/>
          <w:szCs w:val="18"/>
        </w:rPr>
        <w:t>du contrat comprennent de manière exhaustive tous les coûts, frais, taxes et charges de toute nature, induits ou non, afférents à : la conception des plans, l’acquisition, le transport, la construction, l’installation, la réception des travaux et leur maintenance, y compris, sans que cette énumération soit limitative : les coûts directs et les frais généraux, les révisions de prix contractuelles, les bénéfices, les redevances et taxes légales</w:t>
      </w:r>
      <w:r>
        <w:rPr>
          <w:rFonts w:hint="eastAsia"/>
          <w:kern w:val="0"/>
          <w:szCs w:val="18"/>
          <w:lang w:val="en-US"/>
        </w:rPr>
        <w:t>(TVA 18% non comprise)</w:t>
      </w:r>
      <w:r>
        <w:rPr>
          <w:kern w:val="0"/>
          <w:szCs w:val="18"/>
        </w:rPr>
        <w:t>, tous autres frais courants, les mesures de sécurité spécifiques, les frais de mobilisation et démobilisation des gros engins, la sécurité et la propreté du chantier, les frais de manutention secondaire, les primes d’assurance (notamment l’assurance responsabilité civile tierce et toute autre assurance exigée par le Maître d’Ouvrage), les ajustements d’origine réglementaire, les fluctuations du coût des matériaux, ainsi que la couverture de tous les autres risques, responsabilités, aléas et imprévus stipulés au contrat. Le prix forfaitaire couvre l’intégralité des dépenses nécessaires ou susceptibles d’être engagées pour l’exécution complète et conforme des travaux.</w:t>
      </w:r>
    </w:p>
    <w:p w14:paraId="1846F508">
      <w:pPr>
        <w:spacing w:line="360" w:lineRule="auto"/>
        <w:ind w:firstLine="420"/>
        <w:textAlignment w:val="baseline"/>
        <w:rPr>
          <w:kern w:val="0"/>
          <w:szCs w:val="18"/>
        </w:rPr>
      </w:pPr>
      <w:r>
        <w:rPr>
          <w:kern w:val="0"/>
          <w:szCs w:val="18"/>
        </w:rPr>
        <w:t>6.2 Ajustement du prix du contrat et fixation du prix.</w:t>
      </w:r>
    </w:p>
    <w:p w14:paraId="7532FAB6">
      <w:pPr>
        <w:adjustRightInd w:val="0"/>
        <w:snapToGrid w:val="0"/>
        <w:spacing w:line="360" w:lineRule="auto"/>
        <w:ind w:firstLine="420"/>
        <w:rPr>
          <w:kern w:val="0"/>
          <w:szCs w:val="18"/>
        </w:rPr>
      </w:pPr>
      <w:r>
        <w:rPr>
          <w:rFonts w:hint="eastAsia"/>
          <w:kern w:val="0"/>
          <w:szCs w:val="18"/>
        </w:rPr>
        <w:t>Le montant forfaitaire fixe ne sera soumis à aucun ajustement pendant l'exécution du contrat, sauf en cas de modification des taux de fiscalité nationale, où les taxes correspondantes pourront être recalculées sur la base d'un prix hors taxes constant. Toutefois, si le Maître d'Ouvrage (le Client) modifie le champ des travaux (en l'augmentant ou en le réduisant), les coûts pourront être ajustés à la hausse ou à la baisse selon le devis correspondant.</w:t>
      </w:r>
    </w:p>
    <w:p w14:paraId="3FC90AE8">
      <w:pPr>
        <w:adjustRightInd w:val="0"/>
        <w:snapToGrid w:val="0"/>
        <w:spacing w:line="360" w:lineRule="auto"/>
        <w:ind w:firstLine="420"/>
        <w:rPr>
          <w:kern w:val="0"/>
          <w:szCs w:val="18"/>
        </w:rPr>
      </w:pPr>
      <w:r>
        <w:rPr>
          <w:kern w:val="0"/>
          <w:szCs w:val="18"/>
        </w:rPr>
        <w:t>Paiements d’Acompte</w:t>
      </w:r>
      <w:r>
        <w:rPr>
          <w:rFonts w:hint="eastAsia"/>
          <w:kern w:val="0"/>
          <w:szCs w:val="18"/>
        </w:rPr>
        <w:t>：</w:t>
      </w:r>
      <w:r>
        <w:rPr>
          <w:kern w:val="0"/>
          <w:szCs w:val="18"/>
        </w:rPr>
        <w:t>L’Acheteur effectuera des paiements mensuels basés sur la quantité de travaux exécutés et conformes, dûment certifiée par les deux parties. Le Soumissionnaire doit soumettre sa demande de paiement avant le 25 de chaque mois. Le paiement sera effectué par l’Acheteur dans un délai de trente (30) jours après réception d’une demande complète et valide.</w:t>
      </w:r>
    </w:p>
    <w:p w14:paraId="1EB44A9D">
      <w:pPr>
        <w:adjustRightInd w:val="0"/>
        <w:snapToGrid w:val="0"/>
        <w:spacing w:line="360" w:lineRule="auto"/>
        <w:ind w:firstLine="420"/>
        <w:rPr>
          <w:kern w:val="0"/>
          <w:szCs w:val="18"/>
        </w:rPr>
      </w:pPr>
      <w:r>
        <w:rPr>
          <w:kern w:val="0"/>
          <w:szCs w:val="18"/>
        </w:rPr>
        <w:t>Rétention de Garantie</w:t>
      </w:r>
    </w:p>
    <w:p w14:paraId="059F24D5">
      <w:pPr>
        <w:adjustRightInd w:val="0"/>
        <w:snapToGrid w:val="0"/>
        <w:spacing w:line="360" w:lineRule="auto"/>
        <w:ind w:firstLine="420"/>
        <w:rPr>
          <w:kern w:val="0"/>
          <w:szCs w:val="18"/>
        </w:rPr>
      </w:pPr>
      <w:r>
        <w:rPr>
          <w:kern w:val="0"/>
          <w:szCs w:val="18"/>
        </w:rPr>
        <w:t>Trois pour cent (3%) du montant total de la facturation finale sera retenu à titre de garantie de bon fonctionnement. Cette somme sera libérée intégralement par l’Acheteur dans un délai de dix (10) jours ouvrables après l’expiration de la période de garantie concernée, et à condition qu’aucun défaut de qualité imputable au Soumissionnaire ne reste à corriger.</w:t>
      </w:r>
    </w:p>
    <w:p w14:paraId="4554B0E8">
      <w:pPr>
        <w:adjustRightInd w:val="0"/>
        <w:snapToGrid w:val="0"/>
        <w:spacing w:line="360" w:lineRule="auto"/>
        <w:ind w:firstLine="420"/>
        <w:rPr>
          <w:kern w:val="0"/>
          <w:szCs w:val="18"/>
        </w:rPr>
      </w:pPr>
      <w:r>
        <w:rPr>
          <w:kern w:val="0"/>
          <w:szCs w:val="18"/>
        </w:rPr>
        <w:t>Durée de la Garantie</w:t>
      </w:r>
    </w:p>
    <w:p w14:paraId="5D139097">
      <w:pPr>
        <w:adjustRightInd w:val="0"/>
        <w:snapToGrid w:val="0"/>
        <w:spacing w:line="360" w:lineRule="auto"/>
        <w:ind w:firstLine="420"/>
        <w:rPr>
          <w:kern w:val="0"/>
          <w:szCs w:val="18"/>
        </w:rPr>
      </w:pPr>
      <w:r>
        <w:rPr>
          <w:kern w:val="0"/>
          <w:szCs w:val="18"/>
        </w:rPr>
        <w:t>Un (1) an.</w:t>
      </w:r>
      <w:r>
        <w:rPr>
          <w:rFonts w:hint="eastAsia"/>
          <w:kern w:val="0"/>
          <w:szCs w:val="18"/>
        </w:rPr>
        <w:t xml:space="preserve"> </w:t>
      </w:r>
      <w:r>
        <w:rPr>
          <w:kern w:val="0"/>
          <w:szCs w:val="18"/>
        </w:rPr>
        <w:t>La période de garantie prend cours à compter de la date de délivrance du Procès-Verbal de Réception Définitive par la Préfecture concernée.</w:t>
      </w:r>
      <w:r>
        <w:rPr>
          <w:rFonts w:hint="eastAsia"/>
          <w:kern w:val="0"/>
          <w:szCs w:val="18"/>
        </w:rPr>
        <w:t xml:space="preserve"> </w:t>
      </w:r>
    </w:p>
    <w:p w14:paraId="529EE8AA">
      <w:pPr>
        <w:adjustRightInd w:val="0"/>
        <w:snapToGrid w:val="0"/>
        <w:spacing w:line="360" w:lineRule="auto"/>
        <w:ind w:firstLine="420"/>
        <w:rPr>
          <w:rFonts w:cs="宋体"/>
          <w:b/>
          <w:kern w:val="0"/>
          <w:szCs w:val="21"/>
        </w:rPr>
      </w:pPr>
      <w:r>
        <w:rPr>
          <w:rFonts w:hint="eastAsia" w:cs="宋体"/>
          <w:b/>
          <w:kern w:val="0"/>
          <w:szCs w:val="21"/>
        </w:rPr>
        <w:t>七、工期要求</w:t>
      </w:r>
      <w:r>
        <w:rPr>
          <w:rFonts w:cs="宋体"/>
          <w:b/>
          <w:kern w:val="0"/>
          <w:szCs w:val="21"/>
        </w:rPr>
        <w:t xml:space="preserve">  Durée du contrat</w:t>
      </w:r>
    </w:p>
    <w:p w14:paraId="3550AC9B">
      <w:pPr>
        <w:adjustRightInd w:val="0"/>
        <w:snapToGrid w:val="0"/>
        <w:spacing w:line="360" w:lineRule="auto"/>
        <w:ind w:firstLine="420"/>
        <w:rPr>
          <w:bCs/>
        </w:rPr>
      </w:pPr>
      <w:r>
        <w:rPr>
          <w:rFonts w:hint="eastAsia"/>
          <w:bCs/>
        </w:rPr>
        <w:t>合同签订之后接到发包人通知之日起6个月</w:t>
      </w:r>
    </w:p>
    <w:p w14:paraId="72FA90E5">
      <w:pPr>
        <w:adjustRightInd w:val="0"/>
        <w:snapToGrid w:val="0"/>
        <w:spacing w:line="360" w:lineRule="auto"/>
        <w:ind w:firstLine="420"/>
        <w:rPr>
          <w:kern w:val="0"/>
          <w:szCs w:val="18"/>
        </w:rPr>
      </w:pPr>
      <w:r>
        <w:rPr>
          <w:kern w:val="0"/>
          <w:szCs w:val="18"/>
        </w:rPr>
        <w:t>Dans un délai de 6 mois à compter de la réception de la notification de l'entrepreneur suivant la signature du contrat.</w:t>
      </w:r>
    </w:p>
    <w:p w14:paraId="11959230">
      <w:pPr>
        <w:adjustRightInd w:val="0"/>
        <w:snapToGrid w:val="0"/>
        <w:spacing w:line="360" w:lineRule="auto"/>
        <w:ind w:firstLine="435"/>
        <w:rPr>
          <w:rFonts w:cs="宋体"/>
          <w:bCs/>
          <w:kern w:val="0"/>
          <w:szCs w:val="21"/>
        </w:rPr>
      </w:pPr>
      <w:r>
        <w:rPr>
          <w:rFonts w:hint="eastAsia" w:cs="宋体"/>
          <w:bCs/>
          <w:kern w:val="0"/>
          <w:szCs w:val="21"/>
        </w:rPr>
        <w:t xml:space="preserve">八、安全文明施工要求 </w:t>
      </w:r>
      <w:r>
        <w:rPr>
          <w:rFonts w:cs="宋体"/>
          <w:bCs/>
          <w:kern w:val="0"/>
          <w:szCs w:val="21"/>
        </w:rPr>
        <w:t>Exigences pour une construction sûre et civilisée</w:t>
      </w:r>
    </w:p>
    <w:p w14:paraId="3215EB9E">
      <w:pPr>
        <w:adjustRightInd w:val="0"/>
        <w:snapToGrid w:val="0"/>
        <w:spacing w:line="360" w:lineRule="auto"/>
        <w:ind w:firstLine="420"/>
        <w:rPr>
          <w:rFonts w:cs="宋体"/>
          <w:bCs/>
          <w:kern w:val="0"/>
          <w:szCs w:val="21"/>
        </w:rPr>
      </w:pPr>
      <w:r>
        <w:rPr>
          <w:rFonts w:hint="eastAsia"/>
          <w:bCs/>
        </w:rPr>
        <w:t>安全管理是工程施工的关键，施工前及施工中都要加强安全教育，牢固树立“安全第一、预防为主、综合治理”的思想，严防安全事故的发生。</w:t>
      </w:r>
      <w:r>
        <w:rPr>
          <w:rFonts w:hint="eastAsia" w:cs="宋体"/>
          <w:bCs/>
          <w:kern w:val="0"/>
          <w:szCs w:val="21"/>
        </w:rPr>
        <w:t>详见合同附件《安全协议》。</w:t>
      </w:r>
    </w:p>
    <w:p w14:paraId="0DFCDE60">
      <w:pPr>
        <w:adjustRightInd w:val="0"/>
        <w:snapToGrid w:val="0"/>
        <w:spacing w:line="360" w:lineRule="auto"/>
        <w:ind w:firstLine="420"/>
        <w:rPr>
          <w:bCs/>
        </w:rPr>
      </w:pPr>
      <w:r>
        <w:rPr>
          <w:rFonts w:cs="宋体"/>
          <w:bCs/>
          <w:kern w:val="0"/>
          <w:szCs w:val="21"/>
        </w:rPr>
        <w:t>La gestion de la sécurité est la clé de la construction du projet. L’éducation à la sécurité doit être renforcée avant et pendant la construction, et l’idée de "sécurité d’abord, prévention d’abord et gestion globale" doit être fermement établie pour prévenir l’apparition d’accidents de sécurité. Pour plus de détails, voir l’accord de sécurité annexé au contrat.</w:t>
      </w:r>
    </w:p>
    <w:p w14:paraId="38EBB169">
      <w:pPr>
        <w:tabs>
          <w:tab w:val="left" w:pos="482"/>
        </w:tabs>
        <w:spacing w:line="360" w:lineRule="auto"/>
        <w:ind w:firstLine="422" w:firstLineChars="200"/>
        <w:rPr>
          <w:b/>
          <w:kern w:val="0"/>
          <w:szCs w:val="21"/>
        </w:rPr>
      </w:pPr>
      <w:r>
        <w:rPr>
          <w:rFonts w:hint="eastAsia" w:cs="宋体"/>
          <w:b/>
          <w:kern w:val="0"/>
          <w:szCs w:val="21"/>
        </w:rPr>
        <w:t>十、人员配置</w:t>
      </w:r>
      <w:r>
        <w:rPr>
          <w:rFonts w:cs="宋体"/>
          <w:b/>
          <w:kern w:val="0"/>
          <w:szCs w:val="21"/>
        </w:rPr>
        <w:t xml:space="preserve"> Exigences pour le personnel du projet</w:t>
      </w:r>
    </w:p>
    <w:p w14:paraId="4501ED40">
      <w:pPr>
        <w:tabs>
          <w:tab w:val="left" w:pos="482"/>
        </w:tabs>
        <w:spacing w:line="360" w:lineRule="auto"/>
        <w:ind w:firstLine="420" w:firstLineChars="200"/>
        <w:rPr>
          <w:bCs/>
        </w:rPr>
      </w:pPr>
      <w:r>
        <w:rPr>
          <w:rFonts w:hint="eastAsia"/>
          <w:bCs/>
        </w:rPr>
        <w:t>关键岗位：响应人须为项目配备项目经理、技术负责人、安全员各1名。技术负责人可由项目经理兼任，安全员可由项目经理或技术负责人兼任。其他人员按需配置。</w:t>
      </w:r>
    </w:p>
    <w:p w14:paraId="75F77D80">
      <w:pPr>
        <w:tabs>
          <w:tab w:val="left" w:pos="482"/>
        </w:tabs>
        <w:spacing w:line="360" w:lineRule="auto"/>
        <w:ind w:firstLine="420" w:firstLineChars="200"/>
        <w:rPr>
          <w:bCs/>
        </w:rPr>
      </w:pPr>
      <w:r>
        <w:rPr>
          <w:rFonts w:hint="eastAsia"/>
          <w:bCs/>
        </w:rPr>
        <w:t>资质经验：项目经理与技术负责人须具备同类项目经验。特种设备操作人员及专业施工人员须持有项目所在地要求的有效资格证书。</w:t>
      </w:r>
    </w:p>
    <w:p w14:paraId="32967BC1">
      <w:pPr>
        <w:tabs>
          <w:tab w:val="left" w:pos="482"/>
        </w:tabs>
        <w:spacing w:line="360" w:lineRule="auto"/>
        <w:ind w:firstLine="420" w:firstLineChars="200"/>
        <w:rPr>
          <w:bCs/>
        </w:rPr>
      </w:pPr>
      <w:r>
        <w:rPr>
          <w:rFonts w:hint="eastAsia"/>
          <w:bCs/>
        </w:rPr>
        <w:t>社区协调：施工期间，响应人必须配备专职社区关系协调员，负责与当地社区及政府的日常沟通。该人员须熟练掌握法语或苏苏语，并拥有丰富的社区工作经验。</w:t>
      </w:r>
    </w:p>
    <w:p w14:paraId="52167673">
      <w:pPr>
        <w:tabs>
          <w:tab w:val="left" w:pos="482"/>
        </w:tabs>
        <w:spacing w:line="360" w:lineRule="auto"/>
        <w:ind w:firstLine="420" w:firstLineChars="200"/>
        <w:rPr>
          <w:bCs/>
        </w:rPr>
      </w:pPr>
      <w:r>
        <w:rPr>
          <w:rFonts w:hint="eastAsia"/>
          <w:bCs/>
        </w:rPr>
        <w:t>所有人员的招聘及解雇须完全遵守项目所在地劳动法规。</w:t>
      </w:r>
    </w:p>
    <w:p w14:paraId="42CB03BA">
      <w:pPr>
        <w:tabs>
          <w:tab w:val="left" w:pos="482"/>
        </w:tabs>
        <w:spacing w:line="360" w:lineRule="auto"/>
        <w:ind w:firstLine="422" w:firstLineChars="200"/>
        <w:rPr>
          <w:kern w:val="0"/>
          <w:szCs w:val="21"/>
        </w:rPr>
      </w:pPr>
      <w:r>
        <w:rPr>
          <w:b/>
          <w:bCs/>
          <w:kern w:val="0"/>
          <w:szCs w:val="21"/>
        </w:rPr>
        <w:t>Postes clés :</w:t>
      </w:r>
      <w:r>
        <w:rPr>
          <w:kern w:val="0"/>
          <w:szCs w:val="21"/>
        </w:rPr>
        <w:t> Le Soumissionnaire doit désigner pour le projet un chef de projet, un responsable technique et un agent de sécurité, à raison d’un titulaire par poste. La fonction de responsable technique peut être assurée par le chef de projet, et celle d’agent de sécurité peut être assumée par le chef de projet ou le responsable technique. Le reste du personnel est constitué en fonction des besoins du projet.</w:t>
      </w:r>
    </w:p>
    <w:p w14:paraId="015ACA45">
      <w:pPr>
        <w:tabs>
          <w:tab w:val="left" w:pos="482"/>
        </w:tabs>
        <w:spacing w:line="360" w:lineRule="auto"/>
        <w:ind w:firstLine="422" w:firstLineChars="200"/>
        <w:rPr>
          <w:kern w:val="0"/>
          <w:szCs w:val="21"/>
        </w:rPr>
      </w:pPr>
      <w:r>
        <w:rPr>
          <w:b/>
          <w:bCs/>
          <w:kern w:val="0"/>
          <w:szCs w:val="21"/>
        </w:rPr>
        <w:t>Qualifications et expérience :</w:t>
      </w:r>
      <w:r>
        <w:rPr>
          <w:kern w:val="0"/>
          <w:szCs w:val="21"/>
        </w:rPr>
        <w:t>Le chef de projet et le responsable technique doivent justifier d’une expérience sur des projets similaires. Les opérateurs d’équipements spéciaux et le personnel d’exécution spécialisé doivent être titulaires des certificats de qualification valides requis par la réglementation en vigueur sur le site du projet.</w:t>
      </w:r>
    </w:p>
    <w:p w14:paraId="130E686D">
      <w:pPr>
        <w:tabs>
          <w:tab w:val="left" w:pos="482"/>
        </w:tabs>
        <w:spacing w:line="360" w:lineRule="auto"/>
        <w:ind w:firstLine="422" w:firstLineChars="200"/>
        <w:rPr>
          <w:kern w:val="0"/>
          <w:szCs w:val="21"/>
        </w:rPr>
      </w:pPr>
      <w:r>
        <w:rPr>
          <w:b/>
          <w:bCs/>
          <w:kern w:val="0"/>
          <w:szCs w:val="21"/>
        </w:rPr>
        <w:t>Coordinateur communautaire :</w:t>
      </w:r>
      <w:r>
        <w:rPr>
          <w:kern w:val="0"/>
          <w:szCs w:val="21"/>
        </w:rPr>
        <w:t> Pendant la durée des travaux, le Soumissionnaire doit affecter un coordinateur des relations communautaires à plein temps, chargé de la communication quotidienne avec la communauté locale et les autorités. Cette personne doit maîtriser le français ou la langue Soussou et disposer d’une solide expérience en travail communautaire.</w:t>
      </w:r>
    </w:p>
    <w:p w14:paraId="2AC8C949">
      <w:pPr>
        <w:tabs>
          <w:tab w:val="left" w:pos="482"/>
        </w:tabs>
        <w:spacing w:line="360" w:lineRule="auto"/>
        <w:ind w:firstLine="420" w:firstLineChars="200"/>
        <w:rPr>
          <w:kern w:val="0"/>
          <w:szCs w:val="21"/>
        </w:rPr>
      </w:pPr>
      <w:r>
        <w:rPr>
          <w:kern w:val="0"/>
          <w:szCs w:val="21"/>
        </w:rPr>
        <w:t>Le recrutement et le licenciement de tout le personnel doivent être strictement conformes à la législation du travail en vigueur sur le site du projet.</w:t>
      </w:r>
    </w:p>
    <w:p w14:paraId="73DEB086">
      <w:pPr>
        <w:spacing w:line="360" w:lineRule="auto"/>
        <w:ind w:firstLine="420"/>
        <w:rPr>
          <w:rFonts w:cs="宋体"/>
          <w:b/>
          <w:kern w:val="0"/>
          <w:szCs w:val="21"/>
        </w:rPr>
      </w:pPr>
      <w:r>
        <w:rPr>
          <w:rFonts w:hint="eastAsia" w:cs="宋体"/>
          <w:b/>
          <w:kern w:val="0"/>
          <w:szCs w:val="21"/>
        </w:rPr>
        <w:t>十一、其他</w:t>
      </w:r>
      <w:r>
        <w:rPr>
          <w:rFonts w:cs="宋体"/>
          <w:b/>
          <w:kern w:val="0"/>
          <w:szCs w:val="21"/>
        </w:rPr>
        <w:t xml:space="preserve"> </w:t>
      </w:r>
      <w:r>
        <w:rPr>
          <w:b/>
        </w:rPr>
        <w:t>Autres exigences</w:t>
      </w:r>
    </w:p>
    <w:p w14:paraId="4126F350">
      <w:pPr>
        <w:adjustRightInd w:val="0"/>
        <w:snapToGrid w:val="0"/>
        <w:spacing w:line="360" w:lineRule="auto"/>
        <w:ind w:firstLine="420"/>
        <w:rPr>
          <w:kern w:val="0"/>
          <w:szCs w:val="21"/>
        </w:rPr>
      </w:pPr>
      <w:r>
        <w:rPr>
          <w:rFonts w:hint="eastAsia"/>
          <w:kern w:val="0"/>
          <w:szCs w:val="21"/>
        </w:rPr>
        <w:t>响应人应严格按照采购人提出的施工要求进行作业，并明确各责任区的负责人及安全负责人。</w:t>
      </w:r>
    </w:p>
    <w:p w14:paraId="0E511237">
      <w:pPr>
        <w:adjustRightInd w:val="0"/>
        <w:snapToGrid w:val="0"/>
        <w:spacing w:line="360" w:lineRule="auto"/>
        <w:ind w:firstLine="420"/>
        <w:rPr>
          <w:kern w:val="0"/>
          <w:szCs w:val="21"/>
        </w:rPr>
      </w:pPr>
      <w:r>
        <w:rPr>
          <w:rFonts w:hint="eastAsia"/>
          <w:kern w:val="0"/>
          <w:szCs w:val="21"/>
        </w:rPr>
        <w:t>施工前须与当地社区进行充分沟通，预防因施工引发阻路、阻工等问题。</w:t>
      </w:r>
    </w:p>
    <w:p w14:paraId="57348CC3">
      <w:pPr>
        <w:adjustRightInd w:val="0"/>
        <w:snapToGrid w:val="0"/>
        <w:spacing w:line="360" w:lineRule="auto"/>
        <w:ind w:firstLine="420"/>
        <w:rPr>
          <w:kern w:val="0"/>
          <w:szCs w:val="21"/>
        </w:rPr>
      </w:pPr>
      <w:r>
        <w:rPr>
          <w:rFonts w:hint="eastAsia"/>
          <w:kern w:val="0"/>
          <w:szCs w:val="21"/>
        </w:rPr>
        <w:t>响应人须根据所承担的标段设置相应的施工标志与安全标志，并负责其日常维护与管理。</w:t>
      </w:r>
    </w:p>
    <w:p w14:paraId="16090B4E">
      <w:pPr>
        <w:adjustRightInd w:val="0"/>
        <w:snapToGrid w:val="0"/>
        <w:spacing w:line="360" w:lineRule="auto"/>
        <w:ind w:firstLine="420"/>
        <w:rPr>
          <w:kern w:val="0"/>
          <w:szCs w:val="21"/>
        </w:rPr>
      </w:pPr>
      <w:r>
        <w:rPr>
          <w:rFonts w:hint="eastAsia"/>
          <w:kern w:val="0"/>
          <w:szCs w:val="21"/>
        </w:rPr>
        <w:t>响应人所有运输车辆必须保持车身整洁，并采取有效措施防止物料散落，确保现场道路整洁畅通。如发生散落，须及时负责清理。土方施工阶段的运输车辆须按指定路线行驶，并安排足够人员清扫道路。</w:t>
      </w:r>
    </w:p>
    <w:p w14:paraId="7403697A">
      <w:pPr>
        <w:adjustRightInd w:val="0"/>
        <w:snapToGrid w:val="0"/>
        <w:spacing w:line="360" w:lineRule="auto"/>
        <w:ind w:firstLine="420"/>
        <w:rPr>
          <w:kern w:val="0"/>
          <w:szCs w:val="21"/>
        </w:rPr>
      </w:pPr>
      <w:r>
        <w:rPr>
          <w:rFonts w:hint="eastAsia"/>
          <w:kern w:val="0"/>
          <w:szCs w:val="21"/>
        </w:rPr>
        <w:t>响应人在工程现场道路上通行的车辆和施工机械不得损坏路面、路肩及边沟，如有损坏须承担相应的经济损失。</w:t>
      </w:r>
    </w:p>
    <w:p w14:paraId="41F26BB9">
      <w:pPr>
        <w:adjustRightInd w:val="0"/>
        <w:snapToGrid w:val="0"/>
        <w:spacing w:line="360" w:lineRule="auto"/>
        <w:ind w:firstLine="420"/>
        <w:rPr>
          <w:kern w:val="0"/>
          <w:szCs w:val="21"/>
        </w:rPr>
      </w:pPr>
      <w:r>
        <w:rPr>
          <w:rFonts w:hint="eastAsia"/>
          <w:kern w:val="0"/>
          <w:szCs w:val="21"/>
        </w:rPr>
        <w:t>响应人如未经批准损坏路基路面，或因施工不当、意外造成道路损坏，须承担相应经济损失。采购人将根据事故原因及性质，处以一定数额的罚款。</w:t>
      </w:r>
    </w:p>
    <w:p w14:paraId="0C1B8289">
      <w:pPr>
        <w:adjustRightInd w:val="0"/>
        <w:snapToGrid w:val="0"/>
        <w:spacing w:line="360" w:lineRule="auto"/>
        <w:ind w:firstLine="420"/>
        <w:rPr>
          <w:kern w:val="0"/>
          <w:szCs w:val="21"/>
        </w:rPr>
      </w:pPr>
      <w:r>
        <w:rPr>
          <w:rFonts w:hint="eastAsia"/>
          <w:kern w:val="0"/>
          <w:szCs w:val="21"/>
        </w:rPr>
        <w:t>响应人须及时收集其施工责任区域内的废弃物，并按照当地法规要求妥善处置。</w:t>
      </w:r>
    </w:p>
    <w:p w14:paraId="166B6B95">
      <w:pPr>
        <w:adjustRightInd w:val="0"/>
        <w:snapToGrid w:val="0"/>
        <w:spacing w:line="360" w:lineRule="auto"/>
        <w:ind w:firstLine="420"/>
        <w:rPr>
          <w:kern w:val="0"/>
          <w:szCs w:val="21"/>
        </w:rPr>
      </w:pPr>
      <w:r>
        <w:rPr>
          <w:rFonts w:hint="eastAsia"/>
          <w:kern w:val="0"/>
          <w:szCs w:val="21"/>
        </w:rPr>
        <w:t>响应人在所承担的工程项目施工完毕并通过验收后，应立即撤离现场，其所建各类临时建筑与设施须在规定时间内拆除，不得拖延或私自处理。</w:t>
      </w:r>
    </w:p>
    <w:p w14:paraId="320AF43E">
      <w:pPr>
        <w:spacing w:line="360" w:lineRule="auto"/>
        <w:ind w:firstLine="420"/>
        <w:rPr>
          <w:bCs/>
        </w:rPr>
      </w:pPr>
      <w:r>
        <w:rPr>
          <w:bCs/>
        </w:rPr>
        <w:t>Le Soumissionnaire doit exécuter les travaux en stricte conformité avec les exigences de construction définies par l’Acheteur, et désigner clairement un responsable de zone et un responsable de la sécurité pour chaque secteur.</w:t>
      </w:r>
    </w:p>
    <w:p w14:paraId="6948C271">
      <w:pPr>
        <w:spacing w:line="360" w:lineRule="auto"/>
        <w:ind w:firstLine="420"/>
        <w:rPr>
          <w:bCs/>
        </w:rPr>
      </w:pPr>
      <w:r>
        <w:rPr>
          <w:bCs/>
        </w:rPr>
        <w:t>Une communication approfondie avec la communauté locale doit être engagée avant le début des travaux, afin de prévenir tout blocage de voies ou arrêt de chantier dû à l’intervention.</w:t>
      </w:r>
    </w:p>
    <w:p w14:paraId="275853AD">
      <w:pPr>
        <w:spacing w:line="360" w:lineRule="auto"/>
        <w:ind w:firstLine="420"/>
        <w:rPr>
          <w:bCs/>
        </w:rPr>
      </w:pPr>
      <w:r>
        <w:rPr>
          <w:bCs/>
        </w:rPr>
        <w:t>Le Soumissionnaire doit installer les panneaux de chantier et de sécurité correspondant au lot attribué, et en assurer la maintenance et la gestion courante.</w:t>
      </w:r>
    </w:p>
    <w:p w14:paraId="028ED989">
      <w:pPr>
        <w:spacing w:line="360" w:lineRule="auto"/>
        <w:ind w:firstLine="420"/>
        <w:rPr>
          <w:bCs/>
        </w:rPr>
      </w:pPr>
      <w:r>
        <w:rPr>
          <w:bCs/>
        </w:rPr>
        <w:t>Tous les véhicules de transport du Soumissionnaire doivent être maintenus propres et équipés de mesures efficaces pour éviter la chute des matériaux, afin de garantir la propreté et la fluidité des voies sur site. En cas d’éparpillement, le Soumissionnaire doit procéder au nettoyage immédiat. Durant la phase de terrassement, les véhicules de transport doivent emprunter les itinéraires désignés et un personnel suffisant doit être affecté au balayage des voies.</w:t>
      </w:r>
    </w:p>
    <w:p w14:paraId="3D3C0D66">
      <w:pPr>
        <w:spacing w:line="360" w:lineRule="auto"/>
        <w:ind w:firstLine="420"/>
        <w:rPr>
          <w:bCs/>
        </w:rPr>
      </w:pPr>
      <w:r>
        <w:rPr>
          <w:bCs/>
        </w:rPr>
        <w:t>Les véhicules et engins de chantier circulant sur les voies de l’ouvrage ne doivent pas endommager la chaussée, les accotements ou les fossés. En cas de dégâts, le Soumissionnaire supportera les pertes économiques correspondantes.</w:t>
      </w:r>
    </w:p>
    <w:p w14:paraId="43DAD77A">
      <w:pPr>
        <w:spacing w:line="360" w:lineRule="auto"/>
        <w:ind w:firstLine="420"/>
        <w:rPr>
          <w:bCs/>
        </w:rPr>
      </w:pPr>
      <w:r>
        <w:rPr>
          <w:bCs/>
        </w:rPr>
        <w:t>Si le Soumissionnaire endommage la chaussée ou la plate-forme sans autorisation, ou cause des dommages aux voies en raison de méthodes inappropriées ou d’incidents liés aux travaux, il assumera les conséquences financières correspondantes. L’Acheteur pourra, en fonction des causes et de la gravité de l’incident, infliger une amende d’un montant déterminé.</w:t>
      </w:r>
    </w:p>
    <w:p w14:paraId="3D89307F">
      <w:pPr>
        <w:spacing w:line="360" w:lineRule="auto"/>
        <w:ind w:firstLine="420"/>
        <w:rPr>
          <w:bCs/>
        </w:rPr>
      </w:pPr>
      <w:r>
        <w:rPr>
          <w:bCs/>
        </w:rPr>
        <w:t>Le Soumissionnaire doit collecter en temps utile les déchets de chantier dans sa zone de responsabilité et les éliminer conformément à la réglementation locale en vigueur.</w:t>
      </w:r>
    </w:p>
    <w:p w14:paraId="5316556C">
      <w:pPr>
        <w:spacing w:line="360" w:lineRule="auto"/>
        <w:ind w:firstLine="420"/>
        <w:rPr>
          <w:szCs w:val="21"/>
        </w:rPr>
      </w:pPr>
      <w:r>
        <w:rPr>
          <w:bCs/>
        </w:rPr>
        <w:t>Une fois les travaux attribués achevés et réceptionnés, le Soumissionnaire doit évacuer immédiatement le chantier. Toutes les constructions et installations temporaires qu’il a érigées doivent être démontées dans les délais impartis, sans possibilité de retard ou de gestion autonome non autorisée.</w:t>
      </w:r>
    </w:p>
    <w:bookmarkEnd w:id="20"/>
    <w:bookmarkEnd w:id="55"/>
    <w:p w14:paraId="1AD7EF8C"/>
    <w:p w14:paraId="690D8322">
      <w:pPr>
        <w:pStyle w:val="2"/>
        <w:adjustRightInd w:val="0"/>
        <w:snapToGrid w:val="0"/>
        <w:spacing w:before="0" w:after="0" w:line="360" w:lineRule="auto"/>
        <w:jc w:val="center"/>
        <w:rPr>
          <w:sz w:val="28"/>
          <w:szCs w:val="28"/>
        </w:rPr>
        <w:sectPr>
          <w:pgSz w:w="11906" w:h="16838"/>
          <w:pgMar w:top="1417" w:right="1134" w:bottom="1134" w:left="1417" w:header="851" w:footer="850" w:gutter="0"/>
          <w:cols w:space="720" w:num="1"/>
          <w:docGrid w:linePitch="312" w:charSpace="0"/>
        </w:sectPr>
      </w:pPr>
    </w:p>
    <w:p w14:paraId="466C8ECF">
      <w:pPr>
        <w:ind w:firstLine="840" w:firstLineChars="400"/>
        <w:jc w:val="left"/>
        <w:rPr>
          <w:b/>
          <w:sz w:val="28"/>
          <w:szCs w:val="28"/>
        </w:rPr>
      </w:pPr>
      <w:bookmarkStart w:id="57" w:name="_Toc24158"/>
      <w:r>
        <w:rPr>
          <w:szCs w:val="21"/>
          <w:lang w:val="en-US"/>
        </w:rPr>
        <w:drawing>
          <wp:inline distT="0" distB="0" distL="114300" distR="114300">
            <wp:extent cx="1106170" cy="437515"/>
            <wp:effectExtent l="0" t="0" r="1778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1106170" cy="437515"/>
                    </a:xfrm>
                    <a:prstGeom prst="rect">
                      <a:avLst/>
                    </a:prstGeom>
                    <a:noFill/>
                    <a:ln>
                      <a:noFill/>
                    </a:ln>
                  </pic:spPr>
                </pic:pic>
              </a:graphicData>
            </a:graphic>
          </wp:inline>
        </w:drawing>
      </w:r>
    </w:p>
    <w:p w14:paraId="4DAF84C6">
      <w:pPr>
        <w:jc w:val="center"/>
        <w:rPr>
          <w:b/>
          <w:sz w:val="28"/>
          <w:szCs w:val="28"/>
        </w:rPr>
      </w:pPr>
      <w:r>
        <w:rPr>
          <w:rFonts w:hint="eastAsia" w:ascii="宋体" w:hAnsi="宋体"/>
          <w:b/>
          <w:sz w:val="28"/>
          <w:szCs w:val="28"/>
        </w:rPr>
        <w:t xml:space="preserve">第三章 </w:t>
      </w:r>
      <w:r>
        <w:rPr>
          <w:rFonts w:ascii="宋体" w:hAnsi="宋体"/>
          <w:b/>
          <w:sz w:val="28"/>
          <w:szCs w:val="28"/>
        </w:rPr>
        <w:t>合同</w:t>
      </w:r>
    </w:p>
    <w:p w14:paraId="61857725">
      <w:pPr>
        <w:keepNext/>
        <w:keepLines/>
        <w:adjustRightInd w:val="0"/>
        <w:snapToGrid w:val="0"/>
        <w:spacing w:line="360" w:lineRule="auto"/>
        <w:jc w:val="center"/>
        <w:outlineLvl w:val="0"/>
        <w:rPr>
          <w:b/>
          <w:kern w:val="44"/>
          <w:sz w:val="28"/>
          <w:szCs w:val="28"/>
        </w:rPr>
      </w:pPr>
      <w:r>
        <w:rPr>
          <w:b/>
          <w:kern w:val="44"/>
          <w:sz w:val="28"/>
          <w:szCs w:val="28"/>
        </w:rPr>
        <w:t>Chapitre Ⅲ : Contrat</w:t>
      </w:r>
    </w:p>
    <w:p w14:paraId="5838B0C3">
      <w:pPr>
        <w:spacing w:line="304" w:lineRule="exact"/>
        <w:rPr>
          <w:szCs w:val="21"/>
        </w:rPr>
      </w:pPr>
      <w:r>
        <w:rPr>
          <w:szCs w:val="21"/>
        </w:rPr>
        <w:t xml:space="preserve"> </w:t>
      </w:r>
    </w:p>
    <w:p w14:paraId="11E21F61">
      <w:pPr>
        <w:rPr>
          <w:b/>
          <w:sz w:val="28"/>
          <w:szCs w:val="28"/>
        </w:rPr>
      </w:pPr>
    </w:p>
    <w:p w14:paraId="2ADA8D5A">
      <w:pPr>
        <w:rPr>
          <w:b/>
          <w:sz w:val="28"/>
          <w:szCs w:val="28"/>
        </w:rPr>
      </w:pPr>
      <w:r>
        <w:rPr>
          <w:rFonts w:ascii="宋体" w:hAnsi="宋体"/>
          <w:b/>
          <w:sz w:val="28"/>
          <w:szCs w:val="28"/>
        </w:rPr>
        <w:t>合同编号</w:t>
      </w:r>
      <w:r>
        <w:rPr>
          <w:sz w:val="28"/>
          <w:szCs w:val="28"/>
        </w:rPr>
        <w:t xml:space="preserve">Numéro du contrat </w:t>
      </w:r>
      <w:r>
        <w:rPr>
          <w:rFonts w:ascii="宋体" w:hAnsi="宋体"/>
          <w:sz w:val="28"/>
          <w:szCs w:val="28"/>
        </w:rPr>
        <w:t>：</w:t>
      </w:r>
    </w:p>
    <w:p w14:paraId="1D6D899E">
      <w:pPr>
        <w:rPr>
          <w:b/>
          <w:sz w:val="28"/>
          <w:szCs w:val="28"/>
        </w:rPr>
      </w:pPr>
      <w:r>
        <w:rPr>
          <w:b/>
          <w:sz w:val="28"/>
          <w:szCs w:val="28"/>
        </w:rPr>
        <w:t xml:space="preserve"> </w:t>
      </w:r>
    </w:p>
    <w:p w14:paraId="0E4536A9">
      <w:pPr>
        <w:rPr>
          <w:b/>
          <w:sz w:val="28"/>
          <w:szCs w:val="28"/>
        </w:rPr>
      </w:pPr>
      <w:r>
        <w:rPr>
          <w:b/>
          <w:sz w:val="28"/>
          <w:szCs w:val="28"/>
        </w:rPr>
        <w:t xml:space="preserve"> </w:t>
      </w:r>
    </w:p>
    <w:p w14:paraId="104EB715">
      <w:pPr>
        <w:rPr>
          <w:b/>
          <w:sz w:val="28"/>
          <w:szCs w:val="28"/>
        </w:rPr>
      </w:pPr>
      <w:r>
        <w:rPr>
          <w:b/>
          <w:sz w:val="28"/>
          <w:szCs w:val="28"/>
        </w:rPr>
        <w:t xml:space="preserve"> </w:t>
      </w:r>
    </w:p>
    <w:p w14:paraId="36D25142">
      <w:pPr>
        <w:rPr>
          <w:b/>
          <w:sz w:val="28"/>
          <w:szCs w:val="28"/>
        </w:rPr>
      </w:pPr>
      <w:r>
        <w:rPr>
          <w:b/>
          <w:sz w:val="28"/>
          <w:szCs w:val="28"/>
        </w:rPr>
        <w:t xml:space="preserve"> </w:t>
      </w:r>
    </w:p>
    <w:p w14:paraId="3D842665">
      <w:pPr>
        <w:adjustRightInd w:val="0"/>
        <w:snapToGrid w:val="0"/>
        <w:spacing w:line="360" w:lineRule="auto"/>
        <w:jc w:val="center"/>
        <w:rPr>
          <w:b/>
          <w:bCs/>
          <w:sz w:val="44"/>
          <w:szCs w:val="44"/>
        </w:rPr>
      </w:pPr>
      <w:r>
        <w:rPr>
          <w:rFonts w:hint="eastAsia"/>
          <w:b/>
          <w:bCs/>
          <w:sz w:val="44"/>
          <w:szCs w:val="44"/>
        </w:rPr>
        <w:t>几内亚高丽亚矿山股份有限公司</w:t>
      </w:r>
    </w:p>
    <w:p w14:paraId="11C1CD3B">
      <w:pPr>
        <w:adjustRightInd w:val="0"/>
        <w:snapToGrid w:val="0"/>
        <w:spacing w:line="360" w:lineRule="auto"/>
        <w:jc w:val="center"/>
        <w:rPr>
          <w:b/>
          <w:bCs/>
          <w:sz w:val="44"/>
          <w:szCs w:val="44"/>
        </w:rPr>
      </w:pPr>
      <w:r>
        <w:rPr>
          <w:rFonts w:hint="eastAsia"/>
          <w:b/>
          <w:bCs/>
          <w:sz w:val="44"/>
          <w:szCs w:val="44"/>
          <w:lang w:val="en-US"/>
        </w:rPr>
        <w:t>蒂美伟-</w:t>
      </w:r>
      <w:r>
        <w:rPr>
          <w:rFonts w:hint="eastAsia"/>
          <w:b/>
          <w:bCs/>
          <w:sz w:val="44"/>
          <w:szCs w:val="44"/>
        </w:rPr>
        <w:t>孔苏达米社区道路修缮项目合同</w:t>
      </w:r>
    </w:p>
    <w:p w14:paraId="52EB106C">
      <w:pPr>
        <w:jc w:val="center"/>
        <w:rPr>
          <w:sz w:val="44"/>
          <w:szCs w:val="44"/>
        </w:rPr>
      </w:pPr>
      <w:r>
        <w:rPr>
          <w:sz w:val="44"/>
          <w:szCs w:val="44"/>
        </w:rPr>
        <w:t xml:space="preserve">Contrat pour </w:t>
      </w:r>
      <w:r>
        <w:rPr>
          <w:rFonts w:hint="eastAsia"/>
          <w:sz w:val="44"/>
          <w:szCs w:val="44"/>
        </w:rPr>
        <w:t>les Travaux de Réhabilitation des Routes Communautaires（Thimmewi - Konsatamy）– Guinea Colia Min</w:t>
      </w:r>
      <w:r>
        <w:rPr>
          <w:sz w:val="44"/>
          <w:szCs w:val="44"/>
        </w:rPr>
        <w:t>ing S.A.</w:t>
      </w:r>
    </w:p>
    <w:p w14:paraId="1EE1DDB9">
      <w:pPr>
        <w:rPr>
          <w:b/>
          <w:sz w:val="28"/>
          <w:szCs w:val="28"/>
        </w:rPr>
      </w:pPr>
      <w:r>
        <w:rPr>
          <w:b/>
          <w:sz w:val="28"/>
          <w:szCs w:val="28"/>
        </w:rPr>
        <w:t xml:space="preserve"> </w:t>
      </w:r>
    </w:p>
    <w:p w14:paraId="5A03B78E">
      <w:pPr>
        <w:rPr>
          <w:b/>
          <w:sz w:val="28"/>
          <w:szCs w:val="28"/>
        </w:rPr>
      </w:pPr>
      <w:r>
        <w:rPr>
          <w:b/>
          <w:sz w:val="28"/>
          <w:szCs w:val="28"/>
        </w:rPr>
        <w:t xml:space="preserve"> </w:t>
      </w:r>
    </w:p>
    <w:p w14:paraId="5BA5A903">
      <w:pPr>
        <w:rPr>
          <w:b/>
          <w:sz w:val="28"/>
          <w:szCs w:val="28"/>
        </w:rPr>
      </w:pPr>
      <w:r>
        <w:rPr>
          <w:b/>
          <w:sz w:val="28"/>
          <w:szCs w:val="28"/>
        </w:rPr>
        <w:t xml:space="preserve"> </w:t>
      </w:r>
    </w:p>
    <w:p w14:paraId="7D51BD8A">
      <w:pPr>
        <w:spacing w:line="360" w:lineRule="auto"/>
        <w:ind w:firstLine="1472" w:firstLineChars="526"/>
        <w:jc w:val="left"/>
        <w:rPr>
          <w:rFonts w:ascii="宋体" w:hAnsi="宋体"/>
          <w:sz w:val="28"/>
          <w:szCs w:val="28"/>
        </w:rPr>
      </w:pPr>
      <w:r>
        <w:rPr>
          <w:rFonts w:hint="eastAsia" w:ascii="宋体" w:hAnsi="宋体"/>
          <w:sz w:val="28"/>
          <w:szCs w:val="28"/>
          <w:lang w:val="en-US"/>
        </w:rPr>
        <w:t>业主</w:t>
      </w:r>
      <w:r>
        <w:rPr>
          <w:rFonts w:hint="eastAsia" w:ascii="宋体" w:hAnsi="宋体"/>
          <w:sz w:val="28"/>
          <w:szCs w:val="28"/>
        </w:rPr>
        <w:t>：几内亚高丽亚矿山股份有限公司</w:t>
      </w:r>
    </w:p>
    <w:p w14:paraId="43E15516">
      <w:pPr>
        <w:spacing w:line="360" w:lineRule="auto"/>
        <w:ind w:firstLine="1472" w:firstLineChars="526"/>
        <w:jc w:val="left"/>
        <w:rPr>
          <w:sz w:val="28"/>
          <w:szCs w:val="28"/>
        </w:rPr>
      </w:pPr>
      <w:r>
        <w:rPr>
          <w:sz w:val="28"/>
          <w:szCs w:val="28"/>
        </w:rPr>
        <w:t>Maître d’Ouvrage:</w:t>
      </w:r>
      <w:r>
        <w:rPr>
          <w:sz w:val="28"/>
          <w:szCs w:val="28"/>
        </w:rPr>
        <w:tab/>
      </w:r>
      <w:r>
        <w:rPr>
          <w:sz w:val="28"/>
          <w:szCs w:val="28"/>
        </w:rPr>
        <w:t>Guinea Colia Mining S.A.</w:t>
      </w:r>
    </w:p>
    <w:p w14:paraId="368A13DF">
      <w:pPr>
        <w:spacing w:line="360" w:lineRule="auto"/>
        <w:ind w:firstLine="1472" w:firstLineChars="526"/>
        <w:jc w:val="left"/>
        <w:rPr>
          <w:rFonts w:ascii="宋体" w:hAnsi="宋体"/>
          <w:sz w:val="28"/>
          <w:szCs w:val="28"/>
        </w:rPr>
      </w:pPr>
      <w:r>
        <w:rPr>
          <w:rFonts w:hint="eastAsia" w:ascii="宋体" w:hAnsi="宋体"/>
          <w:sz w:val="28"/>
          <w:szCs w:val="28"/>
          <w:lang w:val="en-US"/>
        </w:rPr>
        <w:t>承包商</w:t>
      </w:r>
      <w:r>
        <w:rPr>
          <w:rFonts w:hint="eastAsia" w:ascii="宋体" w:hAnsi="宋体"/>
          <w:sz w:val="28"/>
          <w:szCs w:val="28"/>
        </w:rPr>
        <w:t>：</w:t>
      </w:r>
    </w:p>
    <w:p w14:paraId="6A29148C">
      <w:pPr>
        <w:spacing w:line="360" w:lineRule="auto"/>
        <w:ind w:firstLine="1472" w:firstLineChars="526"/>
        <w:jc w:val="left"/>
        <w:rPr>
          <w:sz w:val="28"/>
          <w:szCs w:val="28"/>
        </w:rPr>
      </w:pPr>
      <w:r>
        <w:rPr>
          <w:sz w:val="28"/>
          <w:szCs w:val="28"/>
        </w:rPr>
        <w:t>Entrepreneur:</w:t>
      </w:r>
      <w:r>
        <w:rPr>
          <w:sz w:val="28"/>
          <w:szCs w:val="28"/>
        </w:rPr>
        <w:tab/>
      </w:r>
      <w:r>
        <w:rPr>
          <w:sz w:val="28"/>
          <w:szCs w:val="28"/>
        </w:rPr>
        <w:t xml:space="preserve"> </w:t>
      </w:r>
    </w:p>
    <w:p w14:paraId="45062416">
      <w:pPr>
        <w:rPr>
          <w:b/>
          <w:sz w:val="28"/>
          <w:szCs w:val="28"/>
        </w:rPr>
      </w:pPr>
      <w:r>
        <w:rPr>
          <w:b/>
          <w:sz w:val="28"/>
          <w:szCs w:val="28"/>
        </w:rPr>
        <w:t xml:space="preserve"> </w:t>
      </w:r>
    </w:p>
    <w:p w14:paraId="17A3490B">
      <w:pPr>
        <w:ind w:firstLine="1472" w:firstLineChars="526"/>
        <w:jc w:val="left"/>
        <w:rPr>
          <w:sz w:val="28"/>
          <w:szCs w:val="28"/>
        </w:rPr>
      </w:pPr>
      <w:r>
        <w:rPr>
          <w:rFonts w:ascii="宋体" w:hAnsi="宋体"/>
          <w:sz w:val="28"/>
          <w:szCs w:val="28"/>
        </w:rPr>
        <w:t>签订地点：</w:t>
      </w:r>
    </w:p>
    <w:p w14:paraId="6E35F7CC">
      <w:pPr>
        <w:ind w:firstLine="1472" w:firstLineChars="526"/>
        <w:jc w:val="left"/>
        <w:rPr>
          <w:sz w:val="28"/>
          <w:szCs w:val="28"/>
        </w:rPr>
      </w:pPr>
      <w:r>
        <w:rPr>
          <w:sz w:val="28"/>
          <w:szCs w:val="28"/>
        </w:rPr>
        <w:t>Lieu de signature :</w:t>
      </w:r>
    </w:p>
    <w:p w14:paraId="27702DEB">
      <w:pPr>
        <w:ind w:firstLine="1472" w:firstLineChars="526"/>
        <w:jc w:val="left"/>
        <w:rPr>
          <w:sz w:val="28"/>
          <w:szCs w:val="28"/>
        </w:rPr>
      </w:pPr>
      <w:r>
        <w:rPr>
          <w:sz w:val="28"/>
          <w:szCs w:val="28"/>
        </w:rPr>
        <w:t xml:space="preserve"> </w:t>
      </w:r>
    </w:p>
    <w:p w14:paraId="159E5DED">
      <w:pPr>
        <w:ind w:firstLine="1472" w:firstLineChars="526"/>
        <w:jc w:val="left"/>
        <w:rPr>
          <w:sz w:val="28"/>
          <w:szCs w:val="28"/>
        </w:rPr>
      </w:pPr>
      <w:r>
        <w:rPr>
          <w:rFonts w:ascii="宋体" w:hAnsi="宋体"/>
          <w:sz w:val="28"/>
          <w:szCs w:val="28"/>
        </w:rPr>
        <w:t>签订日期：</w:t>
      </w:r>
      <w:r>
        <w:rPr>
          <w:sz w:val="28"/>
          <w:szCs w:val="28"/>
        </w:rPr>
        <w:t>202</w:t>
      </w:r>
      <w:r>
        <w:rPr>
          <w:rFonts w:hint="eastAsia"/>
          <w:sz w:val="28"/>
          <w:szCs w:val="28"/>
        </w:rPr>
        <w:t>6</w:t>
      </w:r>
      <w:r>
        <w:rPr>
          <w:rFonts w:ascii="宋体" w:hAnsi="宋体"/>
          <w:sz w:val="28"/>
          <w:szCs w:val="28"/>
        </w:rPr>
        <w:t>年</w:t>
      </w:r>
      <w:r>
        <w:rPr>
          <w:sz w:val="28"/>
          <w:szCs w:val="28"/>
        </w:rPr>
        <w:t xml:space="preserve">   </w:t>
      </w:r>
      <w:r>
        <w:rPr>
          <w:rFonts w:ascii="宋体" w:hAnsi="宋体"/>
          <w:sz w:val="28"/>
          <w:szCs w:val="28"/>
        </w:rPr>
        <w:t>月</w:t>
      </w:r>
      <w:r>
        <w:rPr>
          <w:sz w:val="28"/>
          <w:szCs w:val="28"/>
        </w:rPr>
        <w:t xml:space="preserve">     </w:t>
      </w:r>
      <w:r>
        <w:rPr>
          <w:rFonts w:ascii="宋体" w:hAnsi="宋体"/>
          <w:sz w:val="28"/>
          <w:szCs w:val="28"/>
        </w:rPr>
        <w:t>日</w:t>
      </w:r>
    </w:p>
    <w:p w14:paraId="7786007F">
      <w:pPr>
        <w:ind w:firstLine="1472" w:firstLineChars="526"/>
        <w:jc w:val="left"/>
        <w:rPr>
          <w:sz w:val="28"/>
          <w:szCs w:val="28"/>
        </w:rPr>
      </w:pPr>
      <w:r>
        <w:rPr>
          <w:sz w:val="28"/>
          <w:szCs w:val="28"/>
        </w:rPr>
        <w:t xml:space="preserve"> </w:t>
      </w:r>
    </w:p>
    <w:p w14:paraId="6ACDF934">
      <w:pPr>
        <w:ind w:firstLine="1472" w:firstLineChars="526"/>
        <w:jc w:val="left"/>
        <w:rPr>
          <w:sz w:val="28"/>
          <w:szCs w:val="28"/>
        </w:rPr>
      </w:pPr>
      <w:r>
        <w:rPr>
          <w:sz w:val="28"/>
          <w:szCs w:val="28"/>
        </w:rPr>
        <w:t>Date de signature :     /     /2026</w:t>
      </w:r>
    </w:p>
    <w:p w14:paraId="7ADE1D79">
      <w:pPr>
        <w:ind w:firstLine="1472" w:firstLineChars="526"/>
        <w:jc w:val="left"/>
        <w:rPr>
          <w:sz w:val="28"/>
          <w:szCs w:val="28"/>
          <w:u w:val="single"/>
        </w:rPr>
      </w:pPr>
    </w:p>
    <w:p w14:paraId="361DA637">
      <w:pPr>
        <w:ind w:firstLine="1472" w:firstLineChars="526"/>
        <w:jc w:val="left"/>
        <w:rPr>
          <w:sz w:val="28"/>
          <w:szCs w:val="28"/>
        </w:rPr>
      </w:pPr>
    </w:p>
    <w:p w14:paraId="2A7E5E2E">
      <w:pPr>
        <w:rPr>
          <w:szCs w:val="21"/>
        </w:rPr>
      </w:pPr>
      <w:r>
        <w:rPr>
          <w:szCs w:val="21"/>
        </w:rPr>
        <w:t xml:space="preserve"> </w:t>
      </w:r>
    </w:p>
    <w:p w14:paraId="4CEFC827">
      <w:pPr>
        <w:rPr>
          <w:szCs w:val="21"/>
        </w:rPr>
      </w:pPr>
    </w:p>
    <w:p w14:paraId="25DE57E9">
      <w:pPr>
        <w:rPr>
          <w:szCs w:val="21"/>
        </w:rPr>
      </w:pPr>
    </w:p>
    <w:p w14:paraId="5DDF5405">
      <w:pPr>
        <w:jc w:val="center"/>
        <w:rPr>
          <w:sz w:val="28"/>
          <w:szCs w:val="28"/>
        </w:rPr>
      </w:pPr>
    </w:p>
    <w:p w14:paraId="5BA71D81">
      <w:pPr>
        <w:jc w:val="center"/>
        <w:rPr>
          <w:b/>
          <w:bCs/>
          <w:sz w:val="28"/>
          <w:szCs w:val="28"/>
        </w:rPr>
      </w:pPr>
      <w:r>
        <w:rPr>
          <w:sz w:val="28"/>
          <w:szCs w:val="28"/>
        </w:rPr>
        <w:t>第</w:t>
      </w:r>
      <w:r>
        <w:rPr>
          <w:rFonts w:hint="eastAsia"/>
          <w:sz w:val="28"/>
          <w:szCs w:val="28"/>
        </w:rPr>
        <w:t>三</w:t>
      </w:r>
      <w:r>
        <w:rPr>
          <w:sz w:val="28"/>
          <w:szCs w:val="28"/>
        </w:rPr>
        <w:t xml:space="preserve">章 </w:t>
      </w:r>
      <w:r>
        <w:rPr>
          <w:rFonts w:hint="eastAsia"/>
          <w:sz w:val="28"/>
          <w:szCs w:val="28"/>
        </w:rPr>
        <w:t>合同</w:t>
      </w:r>
      <w:bookmarkEnd w:id="57"/>
      <w:r>
        <w:rPr>
          <w:rFonts w:hint="eastAsia"/>
          <w:sz w:val="28"/>
          <w:szCs w:val="28"/>
        </w:rPr>
        <w:t xml:space="preserve"> Contrat</w:t>
      </w:r>
    </w:p>
    <w:p w14:paraId="3523C7F6">
      <w:bookmarkStart w:id="58" w:name="_Toc19582"/>
    </w:p>
    <w:p w14:paraId="38BB0A00">
      <w:pPr>
        <w:adjustRightInd w:val="0"/>
        <w:snapToGrid w:val="0"/>
        <w:spacing w:line="360" w:lineRule="auto"/>
        <w:ind w:firstLine="420"/>
        <w:rPr>
          <w:kern w:val="0"/>
          <w:szCs w:val="21"/>
        </w:rPr>
      </w:pPr>
      <w:r>
        <w:rPr>
          <w:rFonts w:hint="eastAsia"/>
          <w:kern w:val="0"/>
          <w:szCs w:val="21"/>
          <w:lang w:val="en-US"/>
        </w:rPr>
        <w:t>甲方（</w:t>
      </w:r>
      <w:r>
        <w:rPr>
          <w:kern w:val="0"/>
          <w:szCs w:val="21"/>
        </w:rPr>
        <w:t>业主</w:t>
      </w:r>
      <w:r>
        <w:rPr>
          <w:rFonts w:hint="eastAsia"/>
          <w:kern w:val="0"/>
          <w:szCs w:val="21"/>
        </w:rPr>
        <w:t>）</w:t>
      </w:r>
      <w:r>
        <w:rPr>
          <w:kern w:val="0"/>
          <w:szCs w:val="21"/>
        </w:rPr>
        <w:t>：</w:t>
      </w:r>
      <w:r>
        <w:rPr>
          <w:rFonts w:hint="eastAsia"/>
          <w:kern w:val="0"/>
          <w:szCs w:val="21"/>
        </w:rPr>
        <w:t>几内亚高丽亚矿山股份有限公司</w:t>
      </w:r>
    </w:p>
    <w:p w14:paraId="7A7B6F79">
      <w:pPr>
        <w:adjustRightInd w:val="0"/>
        <w:snapToGrid w:val="0"/>
        <w:spacing w:line="360" w:lineRule="auto"/>
        <w:ind w:firstLine="420"/>
        <w:rPr>
          <w:kern w:val="0"/>
          <w:szCs w:val="21"/>
        </w:rPr>
      </w:pPr>
      <w:r>
        <w:rPr>
          <w:rFonts w:hint="eastAsia"/>
          <w:kern w:val="0"/>
          <w:szCs w:val="21"/>
          <w:lang w:val="en-US"/>
        </w:rPr>
        <w:t>乙方（</w:t>
      </w:r>
      <w:r>
        <w:rPr>
          <w:kern w:val="0"/>
          <w:szCs w:val="21"/>
        </w:rPr>
        <w:t>承包商</w:t>
      </w:r>
      <w:r>
        <w:rPr>
          <w:rFonts w:hint="eastAsia"/>
          <w:kern w:val="0"/>
          <w:szCs w:val="21"/>
          <w:lang w:val="en-US"/>
        </w:rPr>
        <w:t>）</w:t>
      </w:r>
      <w:r>
        <w:rPr>
          <w:kern w:val="0"/>
          <w:szCs w:val="21"/>
        </w:rPr>
        <w:t>：</w:t>
      </w:r>
    </w:p>
    <w:p w14:paraId="6C706E1D">
      <w:pPr>
        <w:adjustRightInd w:val="0"/>
        <w:snapToGrid w:val="0"/>
        <w:spacing w:line="360" w:lineRule="auto"/>
        <w:ind w:firstLine="420"/>
        <w:rPr>
          <w:kern w:val="0"/>
          <w:szCs w:val="21"/>
        </w:rPr>
      </w:pPr>
      <w:r>
        <w:rPr>
          <w:szCs w:val="21"/>
        </w:rPr>
        <w:t>根据《中华人民共和国民法典》及</w:t>
      </w:r>
      <w:r>
        <w:rPr>
          <w:rFonts w:hint="eastAsia"/>
          <w:szCs w:val="21"/>
          <w:lang w:val="en-US"/>
        </w:rPr>
        <w:t>几内亚</w:t>
      </w:r>
      <w:r>
        <w:rPr>
          <w:szCs w:val="21"/>
        </w:rPr>
        <w:t>有关法律规定，遵循平等、自愿、公平和诚实信用的原则</w:t>
      </w:r>
      <w:r>
        <w:rPr>
          <w:rFonts w:hint="eastAsia"/>
          <w:kern w:val="0"/>
          <w:szCs w:val="21"/>
        </w:rPr>
        <w:t>，</w:t>
      </w:r>
      <w:r>
        <w:rPr>
          <w:rFonts w:hint="eastAsia"/>
          <w:szCs w:val="21"/>
          <w:lang w:val="en-US"/>
        </w:rPr>
        <w:t>甲、乙</w:t>
      </w:r>
      <w:r>
        <w:rPr>
          <w:szCs w:val="21"/>
        </w:rPr>
        <w:t>双方就</w:t>
      </w:r>
      <w:r>
        <w:rPr>
          <w:rFonts w:hint="eastAsia"/>
          <w:kern w:val="0"/>
          <w:szCs w:val="21"/>
        </w:rPr>
        <w:t>几内亚高丽亚矿山股份有限公司社区道路修缮项目</w:t>
      </w:r>
      <w:r>
        <w:rPr>
          <w:rFonts w:hint="eastAsia"/>
          <w:kern w:val="0"/>
          <w:szCs w:val="21"/>
          <w:lang w:val="en-US"/>
        </w:rPr>
        <w:t>协商一致</w:t>
      </w:r>
      <w:r>
        <w:rPr>
          <w:kern w:val="0"/>
          <w:szCs w:val="21"/>
        </w:rPr>
        <w:t>，以合同</w:t>
      </w:r>
      <w:r>
        <w:rPr>
          <w:rFonts w:hint="eastAsia"/>
          <w:kern w:val="0"/>
          <w:szCs w:val="21"/>
          <w:lang w:val="en-US"/>
        </w:rPr>
        <w:t>不</w:t>
      </w:r>
      <w:r>
        <w:rPr>
          <w:kern w:val="0"/>
          <w:szCs w:val="21"/>
        </w:rPr>
        <w:t>含税总价X</w:t>
      </w:r>
      <w:r>
        <w:rPr>
          <w:kern w:val="0"/>
          <w:szCs w:val="21"/>
          <w:highlight w:val="none"/>
        </w:rPr>
        <w:t>X</w:t>
      </w:r>
      <w:r>
        <w:rPr>
          <w:rFonts w:hint="eastAsia"/>
          <w:kern w:val="0"/>
          <w:szCs w:val="21"/>
          <w:highlight w:val="none"/>
          <w:lang w:val="en-US" w:eastAsia="zh-CN"/>
        </w:rPr>
        <w:t>美元</w:t>
      </w:r>
      <w:r>
        <w:rPr>
          <w:kern w:val="0"/>
          <w:szCs w:val="21"/>
          <w:highlight w:val="none"/>
        </w:rPr>
        <w:t>（大写：XX</w:t>
      </w:r>
      <w:r>
        <w:rPr>
          <w:rFonts w:hint="eastAsia"/>
          <w:kern w:val="0"/>
          <w:szCs w:val="21"/>
          <w:highlight w:val="none"/>
          <w:lang w:val="en-US" w:eastAsia="zh-CN"/>
        </w:rPr>
        <w:t>美元</w:t>
      </w:r>
      <w:r>
        <w:rPr>
          <w:kern w:val="0"/>
          <w:szCs w:val="21"/>
          <w:highlight w:val="none"/>
        </w:rPr>
        <w:t>）</w:t>
      </w:r>
      <w:r>
        <w:rPr>
          <w:kern w:val="0"/>
          <w:szCs w:val="21"/>
        </w:rPr>
        <w:t>的</w:t>
      </w:r>
      <w:r>
        <w:rPr>
          <w:rFonts w:hint="eastAsia"/>
          <w:kern w:val="0"/>
          <w:szCs w:val="21"/>
        </w:rPr>
        <w:t>固定总价</w:t>
      </w:r>
      <w:r>
        <w:rPr>
          <w:kern w:val="0"/>
          <w:szCs w:val="21"/>
        </w:rPr>
        <w:t>为基础</w:t>
      </w:r>
      <w:r>
        <w:rPr>
          <w:rFonts w:hint="eastAsia"/>
          <w:kern w:val="0"/>
          <w:szCs w:val="21"/>
        </w:rPr>
        <w:t>，签订本合同，以资共同遵守。</w:t>
      </w:r>
    </w:p>
    <w:p w14:paraId="303D43CD">
      <w:pPr>
        <w:spacing w:line="360" w:lineRule="auto"/>
        <w:ind w:left="479" w:leftChars="228"/>
        <w:rPr>
          <w:bCs/>
          <w:kern w:val="0"/>
          <w:sz w:val="24"/>
          <w:szCs w:val="24"/>
        </w:rPr>
      </w:pPr>
      <w:r>
        <w:rPr>
          <w:bCs/>
          <w:kern w:val="0"/>
          <w:sz w:val="24"/>
          <w:szCs w:val="24"/>
        </w:rPr>
        <w:t>Partie A (Maître d'ouvrage) :Guinea Colia Mining S.A.</w:t>
      </w:r>
      <w:r>
        <w:rPr>
          <w:bCs/>
          <w:kern w:val="0"/>
          <w:sz w:val="24"/>
          <w:szCs w:val="24"/>
        </w:rPr>
        <w:br w:type="textWrapping"/>
      </w:r>
      <w:r>
        <w:rPr>
          <w:bCs/>
          <w:kern w:val="0"/>
          <w:sz w:val="24"/>
          <w:szCs w:val="24"/>
        </w:rPr>
        <w:t>Partie B (Entrepreneur) :</w:t>
      </w:r>
    </w:p>
    <w:p w14:paraId="395ECD4A">
      <w:pPr>
        <w:spacing w:line="360" w:lineRule="auto"/>
        <w:ind w:firstLine="420"/>
        <w:rPr>
          <w:bCs/>
          <w:kern w:val="0"/>
          <w:sz w:val="24"/>
          <w:szCs w:val="24"/>
        </w:rPr>
      </w:pPr>
      <w:r>
        <w:rPr>
          <w:bCs/>
          <w:kern w:val="0"/>
          <w:sz w:val="24"/>
          <w:szCs w:val="24"/>
        </w:rPr>
        <w:t>Conformément au « Code civil de la République populaire de Chine » et aux lois et règlements applicables en Guinée, en respectant les principes d'égalité, de volonté libre, d'équité et de bonne foi, les Parties A et B sont parvenues à un accord concernant le projet de réhabilitation des routes communautaires de la Guinea Colia Mining S.A.</w:t>
      </w:r>
    </w:p>
    <w:p w14:paraId="04F6641B">
      <w:pPr>
        <w:spacing w:line="360" w:lineRule="auto"/>
        <w:ind w:firstLine="420"/>
        <w:rPr>
          <w:rFonts w:cs="宋体"/>
          <w:bCs/>
          <w:kern w:val="0"/>
          <w:sz w:val="24"/>
          <w:szCs w:val="24"/>
        </w:rPr>
      </w:pPr>
      <w:r>
        <w:rPr>
          <w:bCs/>
          <w:kern w:val="0"/>
          <w:sz w:val="24"/>
          <w:szCs w:val="24"/>
        </w:rPr>
        <w:t xml:space="preserve">Le présent contrat est conclu sur la base d'un prix forfaitaire et définitif hors taxes de XX </w:t>
      </w:r>
      <w:r>
        <w:rPr>
          <w:rFonts w:hint="eastAsia" w:cs="宋体"/>
          <w:kern w:val="0"/>
          <w:szCs w:val="21"/>
        </w:rPr>
        <w:t>USD</w:t>
      </w:r>
      <w:r>
        <w:rPr>
          <w:bCs/>
          <w:kern w:val="0"/>
          <w:sz w:val="24"/>
          <w:szCs w:val="24"/>
        </w:rPr>
        <w:t xml:space="preserve"> (en toutes lettres : XX </w:t>
      </w:r>
      <w:r>
        <w:rPr>
          <w:rFonts w:hint="eastAsia" w:cs="宋体"/>
          <w:kern w:val="0"/>
          <w:szCs w:val="21"/>
        </w:rPr>
        <w:t>USD</w:t>
      </w:r>
      <w:r>
        <w:rPr>
          <w:bCs/>
          <w:kern w:val="0"/>
          <w:sz w:val="24"/>
          <w:szCs w:val="24"/>
        </w:rPr>
        <w:t>), à effet de quoi les parties conviennent de ce qui suit.</w:t>
      </w:r>
    </w:p>
    <w:p w14:paraId="7B6B1993">
      <w:pPr>
        <w:spacing w:line="360" w:lineRule="auto"/>
        <w:ind w:firstLine="420"/>
        <w:textAlignment w:val="baseline"/>
        <w:rPr>
          <w:rFonts w:cs="宋体"/>
          <w:bCs/>
          <w:kern w:val="0"/>
          <w:sz w:val="24"/>
          <w:szCs w:val="24"/>
        </w:rPr>
      </w:pPr>
      <w:r>
        <w:rPr>
          <w:rFonts w:hint="eastAsia" w:cs="宋体"/>
          <w:bCs/>
          <w:kern w:val="0"/>
          <w:sz w:val="24"/>
          <w:szCs w:val="24"/>
        </w:rPr>
        <w:t>一、</w:t>
      </w:r>
      <w:r>
        <w:rPr>
          <w:rFonts w:cs="宋体"/>
          <w:bCs/>
          <w:kern w:val="0"/>
          <w:sz w:val="24"/>
          <w:szCs w:val="24"/>
        </w:rPr>
        <w:t>承包范围：</w:t>
      </w:r>
      <w:r>
        <w:rPr>
          <w:rFonts w:hint="eastAsia"/>
          <w:bCs/>
          <w:sz w:val="24"/>
          <w:szCs w:val="24"/>
        </w:rPr>
        <w:t>Champ contractuel</w:t>
      </w:r>
      <w:r>
        <w:rPr>
          <w:bCs/>
          <w:sz w:val="24"/>
          <w:szCs w:val="24"/>
        </w:rPr>
        <w:t>:</w:t>
      </w:r>
    </w:p>
    <w:p w14:paraId="56C11E54">
      <w:pPr>
        <w:spacing w:line="360" w:lineRule="auto"/>
        <w:ind w:firstLine="420"/>
        <w:rPr>
          <w:rFonts w:cs="宋体"/>
          <w:bCs/>
          <w:kern w:val="0"/>
          <w:sz w:val="24"/>
          <w:szCs w:val="24"/>
        </w:rPr>
      </w:pPr>
      <w:r>
        <w:rPr>
          <w:rFonts w:hint="eastAsia" w:cs="宋体"/>
          <w:bCs/>
          <w:kern w:val="0"/>
          <w:sz w:val="24"/>
          <w:szCs w:val="24"/>
        </w:rPr>
        <w:t>道路修缮工程：对约12.5公里受损严重的核心路段参照国道标准进行修复，以解决居民出行难题，保障通行安全与顺畅。</w:t>
      </w:r>
    </w:p>
    <w:p w14:paraId="49B55528">
      <w:pPr>
        <w:spacing w:line="360" w:lineRule="auto"/>
        <w:ind w:firstLine="420"/>
        <w:rPr>
          <w:rFonts w:cs="宋体"/>
          <w:bCs/>
          <w:kern w:val="0"/>
          <w:sz w:val="24"/>
          <w:szCs w:val="24"/>
        </w:rPr>
      </w:pPr>
      <w:r>
        <w:rPr>
          <w:rFonts w:hint="eastAsia" w:cs="宋体"/>
          <w:bCs/>
          <w:kern w:val="0"/>
          <w:sz w:val="24"/>
          <w:szCs w:val="24"/>
        </w:rPr>
        <w:t>足球场修复工程：对孔苏达米足球场进行系统性修缮，包括场地平整、看台加固及配套设施更新，以丰富社区居民文体生活，提升社区凝聚力。</w:t>
      </w:r>
    </w:p>
    <w:p w14:paraId="4C90B4CD">
      <w:pPr>
        <w:spacing w:line="360" w:lineRule="auto"/>
        <w:ind w:firstLine="420"/>
        <w:rPr>
          <w:rFonts w:cs="宋体"/>
          <w:bCs/>
          <w:kern w:val="0"/>
          <w:sz w:val="24"/>
          <w:szCs w:val="24"/>
          <w:lang w:eastAsia="zh-Hans"/>
        </w:rPr>
      </w:pPr>
      <w:r>
        <w:rPr>
          <w:rFonts w:hint="eastAsia" w:cs="宋体"/>
          <w:bCs/>
          <w:kern w:val="0"/>
          <w:sz w:val="24"/>
          <w:szCs w:val="24"/>
        </w:rPr>
        <w:t>业主</w:t>
      </w:r>
      <w:r>
        <w:rPr>
          <w:rFonts w:hint="eastAsia" w:cs="宋体"/>
          <w:bCs/>
          <w:kern w:val="0"/>
          <w:sz w:val="24"/>
          <w:szCs w:val="24"/>
          <w:lang w:eastAsia="zh-Hans"/>
        </w:rPr>
        <w:t>有权变更本项目承包范围，因工作范围变更引起的工程量、合同价格的调整，根据现场实际情况签证结算。</w:t>
      </w:r>
    </w:p>
    <w:p w14:paraId="6674EB12">
      <w:pPr>
        <w:spacing w:line="360" w:lineRule="auto"/>
        <w:ind w:firstLine="420"/>
        <w:rPr>
          <w:bCs/>
          <w:kern w:val="0"/>
          <w:sz w:val="24"/>
          <w:szCs w:val="24"/>
        </w:rPr>
      </w:pPr>
      <w:r>
        <w:rPr>
          <w:bCs/>
          <w:kern w:val="0"/>
          <w:sz w:val="24"/>
          <w:szCs w:val="24"/>
        </w:rPr>
        <w:t xml:space="preserve">Réhabilitation de la route : Réhabilitation d’environ </w:t>
      </w:r>
      <w:r>
        <w:rPr>
          <w:rFonts w:hint="eastAsia"/>
          <w:bCs/>
          <w:kern w:val="0"/>
          <w:sz w:val="24"/>
          <w:szCs w:val="24"/>
        </w:rPr>
        <w:t>12.5</w:t>
      </w:r>
      <w:r>
        <w:rPr>
          <w:bCs/>
          <w:kern w:val="0"/>
          <w:sz w:val="24"/>
          <w:szCs w:val="24"/>
        </w:rPr>
        <w:t xml:space="preserve"> kilomètres des tronçons les plus dégradés, selon les normes applicables aux routes nationales, afin de résoudre les problèmes de déplacement des habitants et de garantir la sécurité et la fluidité du trafic.</w:t>
      </w:r>
    </w:p>
    <w:p w14:paraId="2E6B0022">
      <w:pPr>
        <w:spacing w:line="360" w:lineRule="auto"/>
        <w:ind w:firstLine="420"/>
        <w:rPr>
          <w:bCs/>
          <w:szCs w:val="21"/>
        </w:rPr>
      </w:pPr>
      <w:r>
        <w:rPr>
          <w:bCs/>
          <w:kern w:val="0"/>
          <w:sz w:val="24"/>
          <w:szCs w:val="24"/>
        </w:rPr>
        <w:t>Réhabilitation du terrain de football de Konsatamy: Remise en état complète des installations, comprenant le nivellement du sol, le renforcement des tribunes et la modernisation des équipements annexes, dans l’objectif d’enrichir l’offre culturelle et sportive locale et de renforcer la cohésion communautaire.</w:t>
      </w:r>
    </w:p>
    <w:p w14:paraId="59F0F616">
      <w:pPr>
        <w:spacing w:line="360" w:lineRule="auto"/>
        <w:ind w:firstLine="420"/>
        <w:textAlignment w:val="baseline"/>
        <w:rPr>
          <w:kern w:val="0"/>
          <w:sz w:val="24"/>
          <w:szCs w:val="21"/>
        </w:rPr>
      </w:pPr>
      <w:r>
        <w:rPr>
          <w:kern w:val="0"/>
          <w:sz w:val="24"/>
          <w:szCs w:val="21"/>
        </w:rPr>
        <w:t>Le Maître d’Ouvrage a le droit de modifier l’étendue des travaux pour ce projet. Les ajustements de la quantité de travail et du prix du contrat causés par des modifications de l’étendue des travaux seront réglés par visa en fonction de la situation réelle sur le site.</w:t>
      </w:r>
    </w:p>
    <w:p w14:paraId="0C1D8CC0">
      <w:pPr>
        <w:spacing w:line="360" w:lineRule="auto"/>
        <w:ind w:firstLine="420"/>
        <w:textAlignment w:val="baseline"/>
        <w:rPr>
          <w:rFonts w:cs="宋体"/>
          <w:bCs/>
          <w:kern w:val="0"/>
          <w:sz w:val="24"/>
          <w:szCs w:val="24"/>
        </w:rPr>
      </w:pPr>
      <w:r>
        <w:rPr>
          <w:rFonts w:hint="eastAsia" w:cs="宋体"/>
          <w:bCs/>
          <w:kern w:val="0"/>
          <w:sz w:val="24"/>
          <w:szCs w:val="24"/>
        </w:rPr>
        <w:t>二、</w:t>
      </w:r>
      <w:r>
        <w:rPr>
          <w:rFonts w:cs="宋体"/>
          <w:bCs/>
          <w:kern w:val="0"/>
          <w:sz w:val="24"/>
          <w:szCs w:val="24"/>
        </w:rPr>
        <w:t>工期、质量及承包方式</w:t>
      </w:r>
    </w:p>
    <w:p w14:paraId="64AD64A9">
      <w:pPr>
        <w:spacing w:line="360" w:lineRule="auto"/>
        <w:ind w:firstLine="420"/>
        <w:rPr>
          <w:rFonts w:cs="宋体"/>
          <w:bCs/>
          <w:kern w:val="0"/>
          <w:sz w:val="24"/>
          <w:szCs w:val="24"/>
        </w:rPr>
      </w:pPr>
      <w:r>
        <w:rPr>
          <w:rFonts w:cs="宋体"/>
          <w:bCs/>
          <w:kern w:val="0"/>
          <w:sz w:val="24"/>
          <w:szCs w:val="24"/>
        </w:rPr>
        <w:t>2.1工期：</w:t>
      </w:r>
    </w:p>
    <w:p w14:paraId="6AFB8919">
      <w:pPr>
        <w:spacing w:line="360" w:lineRule="auto"/>
        <w:ind w:firstLine="420"/>
        <w:rPr>
          <w:rFonts w:cs="宋体"/>
          <w:bCs/>
          <w:kern w:val="0"/>
          <w:sz w:val="24"/>
          <w:szCs w:val="24"/>
        </w:rPr>
      </w:pPr>
      <w:r>
        <w:rPr>
          <w:rFonts w:cs="宋体"/>
          <w:bCs/>
          <w:kern w:val="0"/>
          <w:sz w:val="24"/>
          <w:szCs w:val="24"/>
        </w:rPr>
        <w:t>工期定为6个月，自合同签订之日起计算。</w:t>
      </w:r>
    </w:p>
    <w:p w14:paraId="4EC77EE4">
      <w:pPr>
        <w:spacing w:line="360" w:lineRule="auto"/>
        <w:ind w:firstLine="420"/>
        <w:rPr>
          <w:rFonts w:cs="宋体"/>
          <w:bCs/>
          <w:kern w:val="0"/>
          <w:sz w:val="24"/>
          <w:szCs w:val="24"/>
        </w:rPr>
      </w:pPr>
      <w:r>
        <w:rPr>
          <w:rFonts w:cs="宋体"/>
          <w:bCs/>
          <w:kern w:val="0"/>
          <w:sz w:val="24"/>
          <w:szCs w:val="24"/>
        </w:rPr>
        <w:t>La durée des travaux est fixée à 6 mois, à compter de la date de signature du contrat.</w:t>
      </w:r>
    </w:p>
    <w:p w14:paraId="565BBF94">
      <w:pPr>
        <w:spacing w:line="360" w:lineRule="auto"/>
        <w:ind w:firstLine="420"/>
        <w:jc w:val="left"/>
        <w:textAlignment w:val="baseline"/>
        <w:rPr>
          <w:kern w:val="0"/>
          <w:sz w:val="24"/>
          <w:szCs w:val="21"/>
        </w:rPr>
      </w:pPr>
      <w:r>
        <w:rPr>
          <w:kern w:val="0"/>
          <w:sz w:val="24"/>
          <w:szCs w:val="21"/>
        </w:rPr>
        <w:t>2.2 工程质量目标：</w:t>
      </w:r>
    </w:p>
    <w:p w14:paraId="18D166F0">
      <w:pPr>
        <w:spacing w:line="360" w:lineRule="auto"/>
        <w:ind w:firstLine="420"/>
        <w:jc w:val="left"/>
        <w:textAlignment w:val="baseline"/>
        <w:rPr>
          <w:kern w:val="0"/>
          <w:sz w:val="24"/>
          <w:szCs w:val="21"/>
          <w:lang w:val="en-US"/>
        </w:rPr>
      </w:pPr>
      <w:r>
        <w:rPr>
          <w:kern w:val="0"/>
          <w:sz w:val="24"/>
          <w:szCs w:val="21"/>
          <w:lang w:val="en-US"/>
        </w:rPr>
        <w:t>按第二章发包人要求中第5 部分</w:t>
      </w:r>
      <w:r>
        <w:rPr>
          <w:kern w:val="0"/>
          <w:sz w:val="24"/>
          <w:szCs w:val="21"/>
        </w:rPr>
        <w:t>“质量技术标准和要求”</w:t>
      </w:r>
      <w:r>
        <w:rPr>
          <w:kern w:val="0"/>
          <w:sz w:val="24"/>
          <w:szCs w:val="21"/>
          <w:lang w:val="en-US"/>
        </w:rPr>
        <w:t>及本章第4部分“工程施工质量标准”执行。</w:t>
      </w:r>
    </w:p>
    <w:p w14:paraId="3466B452">
      <w:pPr>
        <w:spacing w:line="360" w:lineRule="auto"/>
        <w:ind w:firstLine="420"/>
        <w:jc w:val="left"/>
        <w:textAlignment w:val="baseline"/>
        <w:rPr>
          <w:kern w:val="0"/>
          <w:sz w:val="24"/>
          <w:szCs w:val="21"/>
        </w:rPr>
      </w:pPr>
      <w:r>
        <w:rPr>
          <w:kern w:val="0"/>
          <w:sz w:val="24"/>
          <w:szCs w:val="21"/>
        </w:rPr>
        <w:t>2.3 承包方式：包工包料。</w:t>
      </w:r>
    </w:p>
    <w:p w14:paraId="63206AEE">
      <w:pPr>
        <w:spacing w:line="360" w:lineRule="auto"/>
        <w:ind w:firstLine="420"/>
        <w:jc w:val="left"/>
        <w:textAlignment w:val="baseline"/>
        <w:rPr>
          <w:kern w:val="0"/>
          <w:sz w:val="24"/>
          <w:szCs w:val="21"/>
        </w:rPr>
      </w:pPr>
      <w:r>
        <w:rPr>
          <w:kern w:val="0"/>
          <w:sz w:val="24"/>
          <w:szCs w:val="21"/>
        </w:rPr>
        <w:t xml:space="preserve">2. Durée, qualité, méthode de passation du marché </w:t>
      </w:r>
    </w:p>
    <w:p w14:paraId="6DB30EB1">
      <w:pPr>
        <w:spacing w:line="360" w:lineRule="auto"/>
        <w:ind w:firstLine="420"/>
        <w:jc w:val="left"/>
        <w:textAlignment w:val="baseline"/>
        <w:rPr>
          <w:kern w:val="0"/>
          <w:sz w:val="24"/>
          <w:szCs w:val="21"/>
        </w:rPr>
      </w:pPr>
      <w:r>
        <w:rPr>
          <w:kern w:val="0"/>
          <w:sz w:val="24"/>
          <w:szCs w:val="21"/>
        </w:rPr>
        <w:t>2.1 Durée : 180 jours calendaires.</w:t>
      </w:r>
    </w:p>
    <w:p w14:paraId="09477B2A">
      <w:pPr>
        <w:spacing w:line="360" w:lineRule="auto"/>
        <w:ind w:firstLine="420"/>
        <w:jc w:val="left"/>
        <w:textAlignment w:val="baseline"/>
        <w:rPr>
          <w:kern w:val="0"/>
          <w:sz w:val="24"/>
          <w:szCs w:val="21"/>
        </w:rPr>
      </w:pPr>
      <w:r>
        <w:rPr>
          <w:kern w:val="0"/>
          <w:sz w:val="24"/>
          <w:szCs w:val="21"/>
        </w:rPr>
        <w:t xml:space="preserve">2.2 Objectif de qualité du projet : </w:t>
      </w:r>
    </w:p>
    <w:p w14:paraId="164CAC3D">
      <w:pPr>
        <w:tabs>
          <w:tab w:val="left" w:pos="1470"/>
        </w:tabs>
        <w:spacing w:line="360" w:lineRule="auto"/>
        <w:ind w:firstLine="420"/>
        <w:textAlignment w:val="baseline"/>
        <w:rPr>
          <w:kern w:val="0"/>
          <w:sz w:val="24"/>
          <w:szCs w:val="21"/>
        </w:rPr>
      </w:pPr>
      <w:r>
        <w:rPr>
          <w:kern w:val="0"/>
          <w:sz w:val="24"/>
          <w:szCs w:val="21"/>
          <w:lang w:val="en-US"/>
        </w:rPr>
        <w:t xml:space="preserve">  </w:t>
      </w:r>
      <w:r>
        <w:rPr>
          <w:rFonts w:hint="eastAsia"/>
          <w:kern w:val="0"/>
          <w:sz w:val="24"/>
          <w:szCs w:val="21"/>
          <w:lang w:val="en-US"/>
        </w:rPr>
        <w:t xml:space="preserve">  </w:t>
      </w:r>
      <w:r>
        <w:rPr>
          <w:kern w:val="0"/>
          <w:sz w:val="24"/>
          <w:szCs w:val="21"/>
        </w:rPr>
        <w:t>À exécuter conformément à la Partie 5 « Normes et exigences techniques de qualité » du Chapitre 2 « Exigences du maître d’ouvrage » et à la Partie 4 « Normes de qualité des travaux de construction » du présent chapitre.</w:t>
      </w:r>
    </w:p>
    <w:p w14:paraId="1678598F">
      <w:pPr>
        <w:spacing w:line="360" w:lineRule="auto"/>
        <w:ind w:firstLine="420"/>
        <w:jc w:val="left"/>
        <w:textAlignment w:val="baseline"/>
        <w:rPr>
          <w:kern w:val="0"/>
          <w:sz w:val="24"/>
          <w:szCs w:val="21"/>
        </w:rPr>
      </w:pPr>
      <w:r>
        <w:rPr>
          <w:kern w:val="0"/>
          <w:sz w:val="24"/>
          <w:szCs w:val="21"/>
        </w:rPr>
        <w:t xml:space="preserve">2.3 Méthode de passation du marché : </w:t>
      </w:r>
    </w:p>
    <w:p w14:paraId="22107BAC">
      <w:pPr>
        <w:spacing w:line="360" w:lineRule="auto"/>
        <w:ind w:firstLine="420"/>
        <w:jc w:val="left"/>
        <w:textAlignment w:val="baseline"/>
        <w:rPr>
          <w:kern w:val="0"/>
          <w:sz w:val="24"/>
          <w:szCs w:val="21"/>
        </w:rPr>
      </w:pPr>
      <w:r>
        <w:rPr>
          <w:kern w:val="0"/>
          <w:sz w:val="24"/>
          <w:szCs w:val="21"/>
        </w:rPr>
        <w:t>Tous les frais de matériel et de main-d’œuvre sont à la charge de l’Entrepreneur</w:t>
      </w:r>
    </w:p>
    <w:p w14:paraId="6D653C37">
      <w:pPr>
        <w:spacing w:line="360" w:lineRule="auto"/>
        <w:ind w:firstLine="420"/>
        <w:jc w:val="left"/>
        <w:textAlignment w:val="baseline"/>
        <w:rPr>
          <w:b/>
          <w:kern w:val="0"/>
          <w:sz w:val="24"/>
          <w:szCs w:val="21"/>
        </w:rPr>
      </w:pPr>
      <w:r>
        <w:rPr>
          <w:rFonts w:hint="eastAsia"/>
          <w:b/>
          <w:kern w:val="0"/>
          <w:sz w:val="24"/>
          <w:szCs w:val="21"/>
        </w:rPr>
        <w:t>三、</w:t>
      </w:r>
      <w:r>
        <w:rPr>
          <w:b/>
          <w:kern w:val="0"/>
          <w:sz w:val="24"/>
          <w:szCs w:val="21"/>
        </w:rPr>
        <w:t>术语及合同组成文件</w:t>
      </w:r>
      <w:r>
        <w:rPr>
          <w:rFonts w:hint="eastAsia"/>
          <w:b/>
          <w:kern w:val="0"/>
          <w:sz w:val="24"/>
          <w:szCs w:val="21"/>
        </w:rPr>
        <w:t xml:space="preserve"> </w:t>
      </w:r>
      <w:r>
        <w:rPr>
          <w:b/>
          <w:kern w:val="0"/>
          <w:sz w:val="24"/>
          <w:szCs w:val="24"/>
        </w:rPr>
        <w:t>Des termes et des documents contractuels</w:t>
      </w:r>
    </w:p>
    <w:p w14:paraId="5FC3F5CD">
      <w:pPr>
        <w:spacing w:line="360" w:lineRule="auto"/>
        <w:ind w:firstLine="420"/>
        <w:jc w:val="left"/>
        <w:textAlignment w:val="baseline"/>
        <w:rPr>
          <w:kern w:val="0"/>
          <w:sz w:val="24"/>
          <w:szCs w:val="21"/>
        </w:rPr>
      </w:pPr>
      <w:r>
        <w:rPr>
          <w:kern w:val="0"/>
          <w:sz w:val="24"/>
          <w:szCs w:val="21"/>
        </w:rPr>
        <w:t>本协议中所用术语的含义与下文提到的合同条款/专用条件中相应术语的含义相同。下列文件应作为本协议的组成部分并将其视为本协议的一部分：</w:t>
      </w:r>
    </w:p>
    <w:p w14:paraId="7BB9A1FF">
      <w:pPr>
        <w:spacing w:line="360" w:lineRule="auto"/>
        <w:ind w:firstLine="420"/>
        <w:textAlignment w:val="baseline"/>
        <w:rPr>
          <w:kern w:val="0"/>
          <w:sz w:val="24"/>
          <w:szCs w:val="21"/>
        </w:rPr>
      </w:pPr>
      <w:r>
        <w:rPr>
          <w:kern w:val="0"/>
          <w:sz w:val="24"/>
          <w:szCs w:val="21"/>
        </w:rPr>
        <w:t>(a)  本合同协议书；</w:t>
      </w:r>
    </w:p>
    <w:p w14:paraId="1B889C64">
      <w:pPr>
        <w:spacing w:line="360" w:lineRule="auto"/>
        <w:ind w:firstLine="420"/>
        <w:textAlignment w:val="baseline"/>
        <w:rPr>
          <w:kern w:val="0"/>
          <w:sz w:val="24"/>
          <w:szCs w:val="21"/>
        </w:rPr>
      </w:pPr>
      <w:r>
        <w:rPr>
          <w:kern w:val="0"/>
          <w:sz w:val="24"/>
          <w:szCs w:val="21"/>
        </w:rPr>
        <w:t>(b)  中标通知书；</w:t>
      </w:r>
    </w:p>
    <w:p w14:paraId="62E45968">
      <w:pPr>
        <w:spacing w:line="360" w:lineRule="auto"/>
        <w:ind w:firstLine="420"/>
        <w:textAlignment w:val="baseline"/>
        <w:rPr>
          <w:kern w:val="0"/>
          <w:sz w:val="24"/>
          <w:szCs w:val="21"/>
        </w:rPr>
      </w:pPr>
      <w:r>
        <w:rPr>
          <w:kern w:val="0"/>
          <w:sz w:val="24"/>
          <w:szCs w:val="21"/>
        </w:rPr>
        <w:t>(c)  合同条件及合同附件；</w:t>
      </w:r>
    </w:p>
    <w:p w14:paraId="6D46C3A5">
      <w:pPr>
        <w:spacing w:line="360" w:lineRule="auto"/>
        <w:ind w:firstLine="420"/>
        <w:textAlignment w:val="baseline"/>
        <w:rPr>
          <w:kern w:val="0"/>
          <w:sz w:val="24"/>
          <w:szCs w:val="21"/>
        </w:rPr>
      </w:pPr>
      <w:r>
        <w:rPr>
          <w:kern w:val="0"/>
          <w:sz w:val="24"/>
          <w:szCs w:val="21"/>
        </w:rPr>
        <w:t>(d)  招标采购文件及补充；</w:t>
      </w:r>
    </w:p>
    <w:p w14:paraId="4ECC7B1D">
      <w:pPr>
        <w:spacing w:line="360" w:lineRule="auto"/>
        <w:ind w:firstLine="420"/>
        <w:textAlignment w:val="baseline"/>
        <w:rPr>
          <w:kern w:val="0"/>
          <w:sz w:val="24"/>
          <w:szCs w:val="21"/>
        </w:rPr>
      </w:pPr>
      <w:r>
        <w:rPr>
          <w:kern w:val="0"/>
          <w:sz w:val="24"/>
          <w:szCs w:val="21"/>
        </w:rPr>
        <w:t>(e)  承包商的投标书（包括已标价的工程量清单）；</w:t>
      </w:r>
    </w:p>
    <w:p w14:paraId="159BF037">
      <w:pPr>
        <w:spacing w:line="360" w:lineRule="auto"/>
        <w:ind w:firstLine="420"/>
        <w:textAlignment w:val="baseline"/>
        <w:rPr>
          <w:kern w:val="0"/>
          <w:sz w:val="24"/>
          <w:szCs w:val="21"/>
        </w:rPr>
      </w:pPr>
      <w:r>
        <w:rPr>
          <w:kern w:val="0"/>
          <w:sz w:val="24"/>
          <w:szCs w:val="21"/>
        </w:rPr>
        <w:t>(f)  技术规范的组成文件；</w:t>
      </w:r>
    </w:p>
    <w:p w14:paraId="1A5B17F1">
      <w:pPr>
        <w:spacing w:line="360" w:lineRule="auto"/>
        <w:ind w:firstLine="420"/>
        <w:textAlignment w:val="baseline"/>
        <w:rPr>
          <w:kern w:val="0"/>
          <w:sz w:val="24"/>
          <w:szCs w:val="21"/>
        </w:rPr>
      </w:pPr>
      <w:r>
        <w:rPr>
          <w:kern w:val="0"/>
          <w:sz w:val="24"/>
          <w:szCs w:val="21"/>
        </w:rPr>
        <w:t xml:space="preserve">  1)  包括在合同文件中的书面技术规范；</w:t>
      </w:r>
    </w:p>
    <w:p w14:paraId="33B2479A">
      <w:pPr>
        <w:spacing w:line="360" w:lineRule="auto"/>
        <w:ind w:firstLine="420"/>
        <w:textAlignment w:val="baseline"/>
        <w:rPr>
          <w:kern w:val="0"/>
          <w:sz w:val="24"/>
          <w:szCs w:val="21"/>
        </w:rPr>
      </w:pPr>
      <w:r>
        <w:rPr>
          <w:kern w:val="0"/>
          <w:sz w:val="24"/>
          <w:szCs w:val="21"/>
        </w:rPr>
        <w:t xml:space="preserve">  2)  参考资料中包括的技术规范。</w:t>
      </w:r>
    </w:p>
    <w:p w14:paraId="5971AA9F">
      <w:pPr>
        <w:spacing w:line="360" w:lineRule="auto"/>
        <w:ind w:firstLine="420"/>
        <w:textAlignment w:val="baseline"/>
        <w:rPr>
          <w:kern w:val="0"/>
          <w:sz w:val="24"/>
          <w:szCs w:val="21"/>
        </w:rPr>
      </w:pPr>
      <w:r>
        <w:rPr>
          <w:kern w:val="0"/>
          <w:sz w:val="24"/>
          <w:szCs w:val="21"/>
        </w:rPr>
        <w:t>(g)  图纸的合成资料：</w:t>
      </w:r>
    </w:p>
    <w:p w14:paraId="78AB8121">
      <w:pPr>
        <w:spacing w:line="360" w:lineRule="auto"/>
        <w:ind w:firstLine="420"/>
        <w:textAlignment w:val="baseline"/>
        <w:rPr>
          <w:kern w:val="0"/>
          <w:sz w:val="24"/>
          <w:szCs w:val="21"/>
        </w:rPr>
      </w:pPr>
      <w:r>
        <w:rPr>
          <w:kern w:val="0"/>
          <w:sz w:val="24"/>
          <w:szCs w:val="21"/>
        </w:rPr>
        <w:t>1)  标明的尺寸；</w:t>
      </w:r>
    </w:p>
    <w:p w14:paraId="6685DA5A">
      <w:pPr>
        <w:spacing w:line="360" w:lineRule="auto"/>
        <w:ind w:firstLine="420"/>
        <w:textAlignment w:val="baseline"/>
        <w:rPr>
          <w:kern w:val="0"/>
          <w:sz w:val="24"/>
          <w:szCs w:val="21"/>
        </w:rPr>
      </w:pPr>
      <w:r>
        <w:rPr>
          <w:kern w:val="0"/>
          <w:sz w:val="24"/>
          <w:szCs w:val="21"/>
        </w:rPr>
        <w:t>2)  文字注释；</w:t>
      </w:r>
    </w:p>
    <w:p w14:paraId="3816A934">
      <w:pPr>
        <w:spacing w:line="360" w:lineRule="auto"/>
        <w:ind w:firstLine="420"/>
        <w:textAlignment w:val="baseline"/>
        <w:rPr>
          <w:kern w:val="0"/>
          <w:sz w:val="24"/>
          <w:szCs w:val="21"/>
        </w:rPr>
      </w:pPr>
      <w:r>
        <w:rPr>
          <w:kern w:val="0"/>
          <w:sz w:val="24"/>
          <w:szCs w:val="21"/>
        </w:rPr>
        <w:t>3)  图解显示。</w:t>
      </w:r>
    </w:p>
    <w:p w14:paraId="5866090E">
      <w:pPr>
        <w:spacing w:line="360" w:lineRule="auto"/>
        <w:ind w:firstLine="420"/>
        <w:textAlignment w:val="baseline"/>
        <w:rPr>
          <w:kern w:val="0"/>
          <w:sz w:val="24"/>
          <w:szCs w:val="24"/>
        </w:rPr>
      </w:pPr>
      <w:r>
        <w:rPr>
          <w:kern w:val="0"/>
          <w:sz w:val="24"/>
          <w:szCs w:val="21"/>
        </w:rPr>
        <w:t>上述文件应互为补充和解释，如有不清或互相矛盾之处，以上面所列顺序在前的为准。</w:t>
      </w:r>
    </w:p>
    <w:p w14:paraId="5D763DC5">
      <w:pPr>
        <w:spacing w:line="360" w:lineRule="auto"/>
        <w:ind w:firstLine="420"/>
        <w:textAlignment w:val="baseline"/>
        <w:rPr>
          <w:rFonts w:cs="宋体"/>
          <w:bCs/>
          <w:kern w:val="0"/>
          <w:sz w:val="24"/>
          <w:szCs w:val="24"/>
        </w:rPr>
      </w:pPr>
      <w:r>
        <w:rPr>
          <w:rFonts w:cs="宋体"/>
          <w:bCs/>
          <w:kern w:val="0"/>
          <w:sz w:val="24"/>
          <w:szCs w:val="24"/>
        </w:rPr>
        <w:t>Des termes dans le présent Accord ont la même signification qui leur est conférée dans les Conditions du Contrat et les Conditions Spécifiques mentionnées ci-dessous. Les documents suivants sont considérés comme faisant partie du présent Accord et doivent être considérés comme une partie intégrante de l’Accord</w:t>
      </w:r>
      <w:r>
        <w:rPr>
          <w:rFonts w:hint="eastAsia" w:cs="宋体"/>
          <w:bCs/>
          <w:kern w:val="0"/>
          <w:sz w:val="24"/>
          <w:szCs w:val="24"/>
        </w:rPr>
        <w:t xml:space="preserve"> </w:t>
      </w:r>
      <w:r>
        <w:rPr>
          <w:rFonts w:cs="宋体"/>
          <w:bCs/>
          <w:kern w:val="0"/>
          <w:sz w:val="24"/>
          <w:szCs w:val="24"/>
        </w:rPr>
        <w:t>:</w:t>
      </w:r>
    </w:p>
    <w:p w14:paraId="1C2C86AF">
      <w:pPr>
        <w:spacing w:line="360" w:lineRule="auto"/>
        <w:ind w:firstLine="420"/>
        <w:rPr>
          <w:rFonts w:cs="宋体"/>
          <w:bCs/>
          <w:kern w:val="0"/>
          <w:sz w:val="24"/>
          <w:szCs w:val="24"/>
        </w:rPr>
      </w:pPr>
      <w:r>
        <w:rPr>
          <w:rFonts w:cs="宋体"/>
          <w:bCs/>
          <w:kern w:val="0"/>
          <w:sz w:val="24"/>
          <w:szCs w:val="24"/>
        </w:rPr>
        <w:t>(a) Accord contractuel ;</w:t>
      </w:r>
    </w:p>
    <w:p w14:paraId="7337B26D">
      <w:pPr>
        <w:spacing w:line="360" w:lineRule="auto"/>
        <w:ind w:firstLine="420"/>
        <w:rPr>
          <w:rFonts w:cs="宋体"/>
          <w:bCs/>
          <w:kern w:val="0"/>
          <w:sz w:val="24"/>
          <w:szCs w:val="24"/>
        </w:rPr>
      </w:pPr>
      <w:r>
        <w:rPr>
          <w:rFonts w:cs="宋体"/>
          <w:bCs/>
          <w:kern w:val="0"/>
          <w:sz w:val="24"/>
          <w:szCs w:val="24"/>
        </w:rPr>
        <w:t>(b) Avis d’attribution du contrat ;</w:t>
      </w:r>
    </w:p>
    <w:p w14:paraId="3AC4EB0C">
      <w:pPr>
        <w:spacing w:line="360" w:lineRule="auto"/>
        <w:ind w:firstLine="420"/>
        <w:rPr>
          <w:rFonts w:cs="宋体"/>
          <w:bCs/>
          <w:kern w:val="0"/>
          <w:sz w:val="24"/>
          <w:szCs w:val="24"/>
        </w:rPr>
      </w:pPr>
      <w:r>
        <w:rPr>
          <w:rFonts w:cs="宋体"/>
          <w:bCs/>
          <w:kern w:val="0"/>
          <w:sz w:val="24"/>
          <w:szCs w:val="24"/>
        </w:rPr>
        <w:t>(c) Conditions contractuelles et annexes du contrat ;</w:t>
      </w:r>
    </w:p>
    <w:p w14:paraId="2F79F11E">
      <w:pPr>
        <w:spacing w:line="360" w:lineRule="auto"/>
        <w:ind w:firstLine="420"/>
        <w:rPr>
          <w:rFonts w:cs="宋体"/>
          <w:bCs/>
          <w:kern w:val="0"/>
          <w:sz w:val="24"/>
          <w:szCs w:val="24"/>
        </w:rPr>
      </w:pPr>
      <w:r>
        <w:rPr>
          <w:rFonts w:cs="宋体"/>
          <w:bCs/>
          <w:kern w:val="0"/>
          <w:sz w:val="24"/>
          <w:szCs w:val="24"/>
        </w:rPr>
        <w:t>(d) Documents d’appel d’offre et d’éclaircissement ;</w:t>
      </w:r>
    </w:p>
    <w:p w14:paraId="7423E9DB">
      <w:pPr>
        <w:spacing w:line="360" w:lineRule="auto"/>
        <w:ind w:firstLine="420"/>
        <w:rPr>
          <w:rFonts w:cs="宋体"/>
          <w:bCs/>
          <w:kern w:val="0"/>
          <w:sz w:val="24"/>
          <w:szCs w:val="24"/>
        </w:rPr>
      </w:pPr>
      <w:r>
        <w:rPr>
          <w:rFonts w:cs="宋体"/>
          <w:bCs/>
          <w:kern w:val="0"/>
          <w:sz w:val="24"/>
          <w:szCs w:val="24"/>
        </w:rPr>
        <w:t>(e) Soumission de l’</w:t>
      </w:r>
      <w:r>
        <w:rPr>
          <w:rFonts w:hint="eastAsia" w:cs="宋体"/>
          <w:bCs/>
          <w:kern w:val="0"/>
          <w:sz w:val="24"/>
          <w:szCs w:val="24"/>
        </w:rPr>
        <w:t>E</w:t>
      </w:r>
      <w:r>
        <w:rPr>
          <w:rFonts w:cs="宋体"/>
          <w:bCs/>
          <w:kern w:val="0"/>
          <w:sz w:val="24"/>
          <w:szCs w:val="24"/>
        </w:rPr>
        <w:t>ntreprener (y compris le devis quantitatif et estimatif) ;</w:t>
      </w:r>
    </w:p>
    <w:p w14:paraId="20CF6E39">
      <w:pPr>
        <w:spacing w:line="360" w:lineRule="auto"/>
        <w:ind w:firstLine="420"/>
        <w:rPr>
          <w:rFonts w:cs="宋体"/>
          <w:bCs/>
          <w:kern w:val="0"/>
          <w:sz w:val="24"/>
          <w:szCs w:val="24"/>
        </w:rPr>
      </w:pPr>
      <w:r>
        <w:rPr>
          <w:rFonts w:cs="宋体"/>
          <w:bCs/>
          <w:kern w:val="0"/>
          <w:sz w:val="24"/>
          <w:szCs w:val="24"/>
        </w:rPr>
        <w:t>(f) Documents composants des spécifications techniques ;</w:t>
      </w:r>
    </w:p>
    <w:p w14:paraId="50C43754">
      <w:pPr>
        <w:spacing w:line="360" w:lineRule="auto"/>
        <w:ind w:firstLine="420"/>
        <w:rPr>
          <w:rFonts w:cs="宋体"/>
          <w:bCs/>
          <w:kern w:val="0"/>
          <w:sz w:val="24"/>
          <w:szCs w:val="24"/>
        </w:rPr>
      </w:pPr>
      <w:r>
        <w:rPr>
          <w:rFonts w:cs="宋体"/>
          <w:bCs/>
          <w:kern w:val="0"/>
          <w:sz w:val="24"/>
          <w:szCs w:val="24"/>
        </w:rPr>
        <w:t>(1) Spécifications techniques écrites incluses dans les documents contractuels ;</w:t>
      </w:r>
    </w:p>
    <w:p w14:paraId="128B7B51">
      <w:pPr>
        <w:spacing w:line="360" w:lineRule="auto"/>
        <w:ind w:firstLine="420"/>
        <w:rPr>
          <w:rFonts w:cs="宋体"/>
          <w:bCs/>
          <w:kern w:val="0"/>
          <w:sz w:val="24"/>
          <w:szCs w:val="24"/>
        </w:rPr>
      </w:pPr>
      <w:r>
        <w:rPr>
          <w:rFonts w:cs="宋体"/>
          <w:bCs/>
          <w:kern w:val="0"/>
          <w:sz w:val="24"/>
          <w:szCs w:val="24"/>
        </w:rPr>
        <w:t>(2) Spécifications techniques incluses dans la référence ;</w:t>
      </w:r>
    </w:p>
    <w:p w14:paraId="0C069830">
      <w:pPr>
        <w:spacing w:line="360" w:lineRule="auto"/>
        <w:ind w:firstLine="420"/>
        <w:rPr>
          <w:rFonts w:cs="宋体"/>
          <w:bCs/>
          <w:kern w:val="0"/>
          <w:sz w:val="24"/>
          <w:szCs w:val="24"/>
        </w:rPr>
      </w:pPr>
      <w:r>
        <w:rPr>
          <w:rFonts w:cs="宋体"/>
          <w:bCs/>
          <w:kern w:val="0"/>
          <w:sz w:val="24"/>
          <w:szCs w:val="24"/>
        </w:rPr>
        <w:t>(g) Documents composants des plans et des dessins</w:t>
      </w:r>
    </w:p>
    <w:p w14:paraId="74092108">
      <w:pPr>
        <w:spacing w:line="360" w:lineRule="auto"/>
        <w:ind w:firstLine="420"/>
        <w:rPr>
          <w:rFonts w:cs="宋体"/>
          <w:bCs/>
          <w:kern w:val="0"/>
          <w:sz w:val="24"/>
          <w:szCs w:val="24"/>
        </w:rPr>
      </w:pPr>
      <w:r>
        <w:rPr>
          <w:rFonts w:cs="宋体"/>
          <w:bCs/>
          <w:kern w:val="0"/>
          <w:sz w:val="24"/>
          <w:szCs w:val="24"/>
        </w:rPr>
        <w:t>(1) Les dimensions désignatives ;</w:t>
      </w:r>
    </w:p>
    <w:p w14:paraId="1D452792">
      <w:pPr>
        <w:spacing w:line="360" w:lineRule="auto"/>
        <w:ind w:firstLine="420"/>
        <w:rPr>
          <w:rFonts w:cs="宋体"/>
          <w:bCs/>
          <w:kern w:val="0"/>
          <w:sz w:val="24"/>
          <w:szCs w:val="24"/>
        </w:rPr>
      </w:pPr>
      <w:r>
        <w:rPr>
          <w:rFonts w:cs="宋体"/>
          <w:bCs/>
          <w:kern w:val="0"/>
          <w:sz w:val="24"/>
          <w:szCs w:val="24"/>
        </w:rPr>
        <w:t>(2) Notes explicatives ;</w:t>
      </w:r>
    </w:p>
    <w:p w14:paraId="010BC2AA">
      <w:pPr>
        <w:spacing w:line="360" w:lineRule="auto"/>
        <w:ind w:firstLine="420"/>
        <w:rPr>
          <w:rFonts w:cs="宋体"/>
          <w:bCs/>
          <w:kern w:val="0"/>
          <w:sz w:val="24"/>
          <w:szCs w:val="24"/>
        </w:rPr>
      </w:pPr>
      <w:r>
        <w:rPr>
          <w:rFonts w:cs="宋体"/>
          <w:bCs/>
          <w:kern w:val="0"/>
          <w:sz w:val="24"/>
          <w:szCs w:val="24"/>
        </w:rPr>
        <w:t>(3) Schémas.</w:t>
      </w:r>
    </w:p>
    <w:p w14:paraId="3B37B732">
      <w:pPr>
        <w:tabs>
          <w:tab w:val="left" w:pos="1470"/>
        </w:tabs>
        <w:spacing w:line="360" w:lineRule="auto"/>
        <w:ind w:firstLine="420"/>
        <w:rPr>
          <w:rFonts w:cs="宋体"/>
          <w:bCs/>
          <w:kern w:val="0"/>
          <w:sz w:val="24"/>
          <w:szCs w:val="24"/>
        </w:rPr>
      </w:pPr>
      <w:r>
        <w:rPr>
          <w:rFonts w:cs="宋体"/>
          <w:bCs/>
          <w:kern w:val="0"/>
          <w:sz w:val="24"/>
          <w:szCs w:val="24"/>
        </w:rPr>
        <w:t>Les documents ci-dessus doivent être complétés et expliqués l’un à l’autre. S’il y a des points qui manquent de clarté ou de contradiction, ce sont ceux énumérés dans l’ordre qui prévalent.</w:t>
      </w:r>
    </w:p>
    <w:p w14:paraId="637BBEEC">
      <w:pPr>
        <w:keepNext/>
        <w:keepLines/>
        <w:spacing w:line="360" w:lineRule="auto"/>
        <w:ind w:firstLine="420"/>
        <w:outlineLvl w:val="0"/>
        <w:rPr>
          <w:b/>
          <w:kern w:val="0"/>
          <w:sz w:val="24"/>
          <w:szCs w:val="21"/>
        </w:rPr>
      </w:pPr>
      <w:bookmarkStart w:id="59" w:name="_Toc5207"/>
      <w:bookmarkStart w:id="60" w:name="_Toc22309655"/>
      <w:bookmarkStart w:id="61" w:name="_Toc463775119"/>
      <w:bookmarkStart w:id="62" w:name="_Toc62856951"/>
      <w:r>
        <w:rPr>
          <w:rFonts w:hint="eastAsia"/>
          <w:b/>
          <w:kern w:val="0"/>
          <w:sz w:val="24"/>
          <w:szCs w:val="21"/>
        </w:rPr>
        <w:t>四、</w:t>
      </w:r>
      <w:r>
        <w:rPr>
          <w:b/>
          <w:kern w:val="0"/>
          <w:sz w:val="24"/>
          <w:szCs w:val="21"/>
        </w:rPr>
        <w:t>工程施工质量标准</w:t>
      </w:r>
      <w:bookmarkEnd w:id="59"/>
      <w:bookmarkEnd w:id="60"/>
      <w:bookmarkEnd w:id="61"/>
      <w:bookmarkEnd w:id="62"/>
      <w:r>
        <w:rPr>
          <w:rFonts w:hint="eastAsia"/>
          <w:b/>
          <w:kern w:val="0"/>
          <w:sz w:val="24"/>
          <w:szCs w:val="21"/>
        </w:rPr>
        <w:t xml:space="preserve"> </w:t>
      </w:r>
      <w:r>
        <w:rPr>
          <w:b/>
          <w:bCs/>
        </w:rPr>
        <w:t>Normes de qualité des travaux d’ingénierie</w:t>
      </w:r>
    </w:p>
    <w:p w14:paraId="1D584D29">
      <w:pPr>
        <w:adjustRightInd w:val="0"/>
        <w:snapToGrid w:val="0"/>
        <w:spacing w:line="360" w:lineRule="auto"/>
        <w:ind w:firstLine="422" w:firstLineChars="200"/>
        <w:rPr>
          <w:rFonts w:cs="宋体"/>
          <w:b/>
          <w:bCs/>
          <w:kern w:val="0"/>
          <w:szCs w:val="21"/>
        </w:rPr>
      </w:pPr>
      <w:bookmarkStart w:id="63" w:name="_Toc22309656"/>
      <w:bookmarkStart w:id="64" w:name="_Toc62856953"/>
      <w:bookmarkStart w:id="65" w:name="_Toc463775120"/>
      <w:bookmarkStart w:id="66" w:name="_Toc22315"/>
      <w:r>
        <w:rPr>
          <w:rFonts w:hint="eastAsia" w:cs="宋体"/>
          <w:b/>
          <w:bCs/>
          <w:kern w:val="0"/>
          <w:szCs w:val="21"/>
        </w:rPr>
        <w:t>道路修缮的技术标准和要求</w:t>
      </w:r>
    </w:p>
    <w:p w14:paraId="5F94E72C">
      <w:pPr>
        <w:adjustRightInd w:val="0"/>
        <w:snapToGrid w:val="0"/>
        <w:spacing w:line="360" w:lineRule="auto"/>
        <w:ind w:firstLine="420" w:firstLineChars="200"/>
        <w:rPr>
          <w:kern w:val="0"/>
          <w:szCs w:val="21"/>
        </w:rPr>
      </w:pPr>
      <w:r>
        <w:rPr>
          <w:rFonts w:hint="eastAsia" w:cs="宋体"/>
          <w:kern w:val="0"/>
          <w:szCs w:val="21"/>
        </w:rPr>
        <w:t>道路</w:t>
      </w:r>
      <w:r>
        <w:rPr>
          <w:rFonts w:hint="eastAsia"/>
          <w:kern w:val="0"/>
          <w:szCs w:val="21"/>
        </w:rPr>
        <w:t>基层浮土清理后，对原有路面的坑洼处采用红土粒料回填，并用压路机碾压密实，红土粒料摊铺厚度根据现场实际情况可调整，平均摊铺压实厚度不小于30</w:t>
      </w:r>
      <w:r>
        <w:rPr>
          <w:kern w:val="0"/>
          <w:szCs w:val="21"/>
        </w:rPr>
        <w:t>cm</w:t>
      </w:r>
      <w:r>
        <w:rPr>
          <w:rFonts w:hint="eastAsia"/>
          <w:kern w:val="0"/>
          <w:szCs w:val="21"/>
        </w:rPr>
        <w:t>；</w:t>
      </w:r>
    </w:p>
    <w:p w14:paraId="6E75758C">
      <w:pPr>
        <w:adjustRightInd w:val="0"/>
        <w:snapToGrid w:val="0"/>
        <w:spacing w:line="360" w:lineRule="auto"/>
        <w:ind w:firstLine="420" w:firstLineChars="200"/>
        <w:rPr>
          <w:kern w:val="0"/>
          <w:szCs w:val="21"/>
        </w:rPr>
      </w:pPr>
      <w:r>
        <w:rPr>
          <w:rFonts w:hint="eastAsia"/>
          <w:kern w:val="0"/>
          <w:szCs w:val="21"/>
        </w:rPr>
        <w:t>确保路面平整，横向排水坡度</w:t>
      </w:r>
      <w:r>
        <w:rPr>
          <w:kern w:val="0"/>
          <w:szCs w:val="21"/>
        </w:rPr>
        <w:t>2%</w:t>
      </w:r>
      <w:r>
        <w:rPr>
          <w:rFonts w:hint="eastAsia"/>
          <w:kern w:val="0"/>
          <w:szCs w:val="21"/>
        </w:rPr>
        <w:t>，纵向坡度根据地形确定。确保雨季期间路面排水顺畅；</w:t>
      </w:r>
    </w:p>
    <w:p w14:paraId="2B2B71A6">
      <w:pPr>
        <w:adjustRightInd w:val="0"/>
        <w:snapToGrid w:val="0"/>
        <w:spacing w:line="360" w:lineRule="auto"/>
        <w:ind w:firstLine="420" w:firstLineChars="200"/>
        <w:rPr>
          <w:kern w:val="0"/>
          <w:szCs w:val="21"/>
        </w:rPr>
      </w:pPr>
      <w:r>
        <w:rPr>
          <w:rFonts w:hint="eastAsia"/>
          <w:kern w:val="0"/>
          <w:szCs w:val="21"/>
        </w:rPr>
        <w:t>道路两侧排水沟宽度＞</w:t>
      </w:r>
      <w:r>
        <w:rPr>
          <w:rFonts w:hint="eastAsia"/>
          <w:kern w:val="0"/>
          <w:szCs w:val="21"/>
          <w:lang w:val="en-US"/>
        </w:rPr>
        <w:t>10</w:t>
      </w:r>
      <w:r>
        <w:rPr>
          <w:kern w:val="0"/>
          <w:szCs w:val="21"/>
        </w:rPr>
        <w:t>0cm</w:t>
      </w:r>
      <w:r>
        <w:rPr>
          <w:rFonts w:hint="eastAsia"/>
          <w:kern w:val="0"/>
          <w:szCs w:val="21"/>
        </w:rPr>
        <w:t>，深度＞</w:t>
      </w:r>
      <w:r>
        <w:rPr>
          <w:rFonts w:hint="eastAsia"/>
          <w:kern w:val="0"/>
          <w:szCs w:val="21"/>
          <w:lang w:val="en-US"/>
        </w:rPr>
        <w:t>5</w:t>
      </w:r>
      <w:r>
        <w:rPr>
          <w:kern w:val="0"/>
          <w:szCs w:val="21"/>
        </w:rPr>
        <w:t>0cm</w:t>
      </w:r>
      <w:r>
        <w:rPr>
          <w:rFonts w:hint="eastAsia"/>
          <w:kern w:val="0"/>
          <w:szCs w:val="21"/>
        </w:rPr>
        <w:t>，沟底纵坡不小于0.5%，施工时考虑坡度、保证雨季期间排水顺畅；</w:t>
      </w:r>
    </w:p>
    <w:p w14:paraId="3CB3B576">
      <w:pPr>
        <w:adjustRightInd w:val="0"/>
        <w:snapToGrid w:val="0"/>
        <w:spacing w:line="360" w:lineRule="auto"/>
        <w:ind w:firstLine="420" w:firstLineChars="200"/>
        <w:rPr>
          <w:kern w:val="0"/>
          <w:szCs w:val="21"/>
        </w:rPr>
      </w:pPr>
      <w:r>
        <w:rPr>
          <w:rFonts w:hint="eastAsia"/>
          <w:kern w:val="0"/>
          <w:szCs w:val="21"/>
        </w:rPr>
        <w:t>在原有道路过水路段设置混凝土过水路面，不改变道路原有的过水条件；</w:t>
      </w:r>
    </w:p>
    <w:p w14:paraId="554546A2">
      <w:pPr>
        <w:adjustRightInd w:val="0"/>
        <w:snapToGrid w:val="0"/>
        <w:spacing w:line="360" w:lineRule="auto"/>
        <w:ind w:firstLine="420" w:firstLineChars="200"/>
        <w:rPr>
          <w:kern w:val="0"/>
          <w:szCs w:val="21"/>
        </w:rPr>
      </w:pPr>
      <w:r>
        <w:rPr>
          <w:rFonts w:hint="eastAsia"/>
          <w:kern w:val="0"/>
          <w:szCs w:val="21"/>
        </w:rPr>
        <w:t>临近村内房屋处注意施工安全，避免压路机损坏当地房屋，若因此原因造成的一切后果由施工方自行承担；</w:t>
      </w:r>
    </w:p>
    <w:p w14:paraId="5DB39BBA">
      <w:pPr>
        <w:adjustRightInd w:val="0"/>
        <w:snapToGrid w:val="0"/>
        <w:spacing w:line="360" w:lineRule="auto"/>
        <w:ind w:firstLine="420" w:firstLineChars="200"/>
        <w:rPr>
          <w:kern w:val="0"/>
          <w:szCs w:val="21"/>
        </w:rPr>
      </w:pPr>
      <w:r>
        <w:rPr>
          <w:rFonts w:hint="eastAsia"/>
          <w:kern w:val="0"/>
          <w:szCs w:val="21"/>
        </w:rPr>
        <w:t>排水沟终端排水点应参考修复前状况，如需改变排水方向需与当地社区充分沟通，由社区指定合理的排水位置。</w:t>
      </w:r>
    </w:p>
    <w:p w14:paraId="4E6A1778">
      <w:pPr>
        <w:adjustRightInd w:val="0"/>
        <w:snapToGrid w:val="0"/>
        <w:spacing w:line="360" w:lineRule="auto"/>
        <w:ind w:firstLine="420" w:firstLineChars="200"/>
        <w:rPr>
          <w:bCs/>
          <w:kern w:val="0"/>
          <w:szCs w:val="21"/>
        </w:rPr>
      </w:pPr>
      <w:r>
        <w:rPr>
          <w:rFonts w:hint="eastAsia"/>
          <w:bCs/>
          <w:kern w:val="0"/>
          <w:szCs w:val="21"/>
        </w:rPr>
        <w:t>红土由分包商自行负责，涉及的红土粒料资源税均包含在报价中，发包方不再另行支付。</w:t>
      </w:r>
    </w:p>
    <w:p w14:paraId="57133BD2">
      <w:pPr>
        <w:adjustRightInd w:val="0"/>
        <w:snapToGrid w:val="0"/>
        <w:spacing w:line="360" w:lineRule="auto"/>
        <w:ind w:firstLine="420" w:firstLineChars="200"/>
        <w:rPr>
          <w:kern w:val="0"/>
          <w:szCs w:val="21"/>
        </w:rPr>
      </w:pPr>
      <w:r>
        <w:rPr>
          <w:kern w:val="0"/>
          <w:szCs w:val="21"/>
        </w:rPr>
        <w:t xml:space="preserve">Normes et exigences techniques pour la réhabilitation des routes </w:t>
      </w:r>
    </w:p>
    <w:p w14:paraId="17EAD057">
      <w:pPr>
        <w:adjustRightInd w:val="0"/>
        <w:snapToGrid w:val="0"/>
        <w:spacing w:line="360" w:lineRule="auto"/>
        <w:ind w:firstLine="420" w:firstLineChars="200"/>
        <w:rPr>
          <w:kern w:val="0"/>
          <w:szCs w:val="21"/>
        </w:rPr>
      </w:pPr>
      <w:r>
        <w:rPr>
          <w:kern w:val="0"/>
          <w:szCs w:val="21"/>
        </w:rPr>
        <w:t xml:space="preserve">Après le décapage de la terre meuble de la plate-forme, les ornières et nids-de-poule de la chaussée existante seront remblayés avec des granulats latéritiques et compactés au rouleau compresseur. L’épaisseur de mise en place des granulats pourra être ajustée en fonction des conditions du site, à condition que l’épaisseur moyenne de la couche compactée finale soit au minimum de </w:t>
      </w:r>
      <w:r>
        <w:rPr>
          <w:rFonts w:hint="eastAsia"/>
          <w:kern w:val="0"/>
          <w:szCs w:val="21"/>
          <w:lang w:val="en-US"/>
        </w:rPr>
        <w:t>3</w:t>
      </w:r>
      <w:r>
        <w:rPr>
          <w:kern w:val="0"/>
          <w:szCs w:val="21"/>
        </w:rPr>
        <w:t>0 cm.</w:t>
      </w:r>
    </w:p>
    <w:p w14:paraId="26476669">
      <w:pPr>
        <w:adjustRightInd w:val="0"/>
        <w:snapToGrid w:val="0"/>
        <w:spacing w:line="360" w:lineRule="auto"/>
        <w:ind w:firstLine="420" w:firstLineChars="200"/>
        <w:rPr>
          <w:kern w:val="0"/>
          <w:szCs w:val="21"/>
        </w:rPr>
      </w:pPr>
      <w:r>
        <w:rPr>
          <w:kern w:val="0"/>
          <w:szCs w:val="21"/>
        </w:rPr>
        <w:t>La chaussée doit être plane, avec une pente transversale de 2% pour le drainage et une pente longitudinale adaptée à la topographie. Un écoulement efficace des eaux doit être garanti en saison des pluies.</w:t>
      </w:r>
    </w:p>
    <w:p w14:paraId="1C308497">
      <w:pPr>
        <w:adjustRightInd w:val="0"/>
        <w:snapToGrid w:val="0"/>
        <w:spacing w:line="360" w:lineRule="auto"/>
        <w:ind w:firstLine="420" w:firstLineChars="200"/>
        <w:rPr>
          <w:kern w:val="0"/>
          <w:szCs w:val="21"/>
        </w:rPr>
      </w:pPr>
      <w:r>
        <w:rPr>
          <w:kern w:val="0"/>
          <w:szCs w:val="21"/>
        </w:rPr>
        <w:t xml:space="preserve">Les fossés de drainage latéraux doivent avoir une largeur &gt; </w:t>
      </w:r>
      <w:r>
        <w:rPr>
          <w:rFonts w:hint="eastAsia"/>
          <w:kern w:val="0"/>
          <w:szCs w:val="21"/>
          <w:lang w:val="en-US"/>
        </w:rPr>
        <w:t>10</w:t>
      </w:r>
      <w:r>
        <w:rPr>
          <w:kern w:val="0"/>
          <w:szCs w:val="21"/>
        </w:rPr>
        <w:t xml:space="preserve">0 cm et une profondeur &gt; </w:t>
      </w:r>
      <w:r>
        <w:rPr>
          <w:rFonts w:hint="eastAsia"/>
          <w:kern w:val="0"/>
          <w:szCs w:val="21"/>
          <w:lang w:val="en-US"/>
        </w:rPr>
        <w:t>5</w:t>
      </w:r>
      <w:r>
        <w:rPr>
          <w:kern w:val="0"/>
          <w:szCs w:val="21"/>
        </w:rPr>
        <w:t>0 cm</w:t>
      </w:r>
      <w:r>
        <w:rPr>
          <w:rFonts w:hint="eastAsia"/>
          <w:kern w:val="0"/>
          <w:szCs w:val="21"/>
        </w:rPr>
        <w:t>，</w:t>
      </w:r>
      <w:r>
        <w:rPr>
          <w:kern w:val="0"/>
          <w:szCs w:val="21"/>
        </w:rPr>
        <w:t>avec une pente longitudinale au fond d’au moins 0,5 %. Leur pente doit être assurée lors des travaux pour un drainage efficace en saison des pluies.</w:t>
      </w:r>
    </w:p>
    <w:p w14:paraId="0C5B6269">
      <w:pPr>
        <w:adjustRightInd w:val="0"/>
        <w:snapToGrid w:val="0"/>
        <w:spacing w:line="360" w:lineRule="auto"/>
        <w:ind w:firstLine="420" w:firstLineChars="200"/>
        <w:rPr>
          <w:kern w:val="0"/>
          <w:szCs w:val="21"/>
        </w:rPr>
      </w:pPr>
      <w:r>
        <w:rPr>
          <w:kern w:val="0"/>
          <w:szCs w:val="21"/>
        </w:rPr>
        <w:t>Au niveau des passages à gué existants, un radier en béton sera aménagé sans modifier les conditions hydrauliques d’origine.</w:t>
      </w:r>
    </w:p>
    <w:p w14:paraId="28DB098C">
      <w:pPr>
        <w:adjustRightInd w:val="0"/>
        <w:snapToGrid w:val="0"/>
        <w:spacing w:line="360" w:lineRule="auto"/>
        <w:ind w:firstLine="420" w:firstLineChars="200"/>
        <w:rPr>
          <w:kern w:val="0"/>
          <w:szCs w:val="21"/>
        </w:rPr>
      </w:pPr>
      <w:r>
        <w:rPr>
          <w:kern w:val="0"/>
          <w:szCs w:val="21"/>
        </w:rPr>
        <w:t>À proximité des habitations, la sécurité des travaux doit être une priorité pour éviter tout dommage aux constructions par les engins de compactage. L’Entrepreneur assume l’entière et exclusive responsabilité des dégâts causés par ses engins.</w:t>
      </w:r>
    </w:p>
    <w:p w14:paraId="760A0A8F">
      <w:pPr>
        <w:adjustRightInd w:val="0"/>
        <w:snapToGrid w:val="0"/>
        <w:spacing w:line="360" w:lineRule="auto"/>
        <w:ind w:firstLine="420" w:firstLineChars="200"/>
        <w:rPr>
          <w:kern w:val="0"/>
          <w:szCs w:val="21"/>
        </w:rPr>
      </w:pPr>
      <w:r>
        <w:rPr>
          <w:kern w:val="0"/>
          <w:szCs w:val="21"/>
        </w:rPr>
        <w:t>Le point de rejet des eaux de drainage doit respecter la situation préexistante. Toute modification du sens d’écoulement doit faire l’objet d’une concertation préalable avec la communauté, qui désignera un point de rejet approprié.</w:t>
      </w:r>
    </w:p>
    <w:p w14:paraId="7A4413D2">
      <w:pPr>
        <w:adjustRightInd w:val="0"/>
        <w:snapToGrid w:val="0"/>
        <w:spacing w:line="360" w:lineRule="auto"/>
        <w:ind w:firstLine="420" w:firstLineChars="200"/>
        <w:rPr>
          <w:kern w:val="0"/>
          <w:szCs w:val="21"/>
        </w:rPr>
      </w:pPr>
      <w:r>
        <w:rPr>
          <w:kern w:val="0"/>
          <w:szCs w:val="21"/>
        </w:rPr>
        <w:t>Les granulats latéritiques sont fournis à ses frais par l’Entrepreneur. Tous les coûts associés, notamment les taxes sur les ressources, sont inclus dans son offre financière et ne donneront lieu à aucun supplément.</w:t>
      </w:r>
    </w:p>
    <w:p w14:paraId="20B95381">
      <w:pPr>
        <w:adjustRightInd w:val="0"/>
        <w:snapToGrid w:val="0"/>
        <w:spacing w:line="360" w:lineRule="auto"/>
        <w:ind w:firstLine="422" w:firstLineChars="200"/>
        <w:rPr>
          <w:b/>
          <w:bCs/>
          <w:kern w:val="0"/>
          <w:szCs w:val="21"/>
        </w:rPr>
      </w:pPr>
      <w:r>
        <w:rPr>
          <w:rFonts w:hint="eastAsia"/>
          <w:b/>
          <w:bCs/>
          <w:kern w:val="0"/>
          <w:szCs w:val="21"/>
        </w:rPr>
        <w:t>足球场修缮工程的技术标准和要求</w:t>
      </w:r>
    </w:p>
    <w:p w14:paraId="00C54B37">
      <w:pPr>
        <w:adjustRightInd w:val="0"/>
        <w:snapToGrid w:val="0"/>
        <w:spacing w:line="360" w:lineRule="auto"/>
        <w:ind w:firstLine="420" w:firstLineChars="200"/>
        <w:rPr>
          <w:rFonts w:cs="宋体"/>
          <w:bCs/>
          <w:kern w:val="0"/>
          <w:szCs w:val="21"/>
        </w:rPr>
      </w:pPr>
      <w:r>
        <w:rPr>
          <w:rFonts w:hint="eastAsia" w:cs="宋体"/>
          <w:bCs/>
          <w:kern w:val="0"/>
          <w:szCs w:val="21"/>
        </w:rPr>
        <w:t>对原有足球场的场地进行平整、表面的杂草植被进行清理。</w:t>
      </w:r>
    </w:p>
    <w:p w14:paraId="2BE33E2B">
      <w:pPr>
        <w:adjustRightInd w:val="0"/>
        <w:snapToGrid w:val="0"/>
        <w:spacing w:line="360" w:lineRule="auto"/>
        <w:ind w:firstLine="420" w:firstLineChars="200"/>
        <w:rPr>
          <w:rFonts w:cs="宋体"/>
          <w:bCs/>
          <w:kern w:val="0"/>
          <w:szCs w:val="21"/>
        </w:rPr>
      </w:pPr>
      <w:r>
        <w:rPr>
          <w:rFonts w:hint="eastAsia" w:cs="宋体"/>
          <w:bCs/>
          <w:kern w:val="0"/>
          <w:szCs w:val="21"/>
        </w:rPr>
        <w:t>基层浮土清理后，采用红土粒料回填并用压路机碾压密实，平均摊铺厚度不小于5cm红土由分包商自行负责，费用包括涉及的红土粒料资源税均包含在报价中。</w:t>
      </w:r>
    </w:p>
    <w:p w14:paraId="47D4D283">
      <w:pPr>
        <w:adjustRightInd w:val="0"/>
        <w:snapToGrid w:val="0"/>
        <w:spacing w:line="360" w:lineRule="auto"/>
        <w:ind w:firstLine="420" w:firstLineChars="200"/>
        <w:rPr>
          <w:rFonts w:cs="宋体"/>
          <w:bCs/>
          <w:kern w:val="0"/>
          <w:szCs w:val="21"/>
        </w:rPr>
      </w:pPr>
      <w:r>
        <w:rPr>
          <w:rFonts w:hint="eastAsia" w:cs="宋体"/>
          <w:bCs/>
          <w:kern w:val="0"/>
          <w:szCs w:val="21"/>
        </w:rPr>
        <w:t>排水沟尺寸要求：宽度＞40cm，深度＞30cm，</w:t>
      </w:r>
    </w:p>
    <w:p w14:paraId="4A9CB73B">
      <w:pPr>
        <w:adjustRightInd w:val="0"/>
        <w:snapToGrid w:val="0"/>
        <w:spacing w:line="360" w:lineRule="auto"/>
        <w:ind w:firstLine="420" w:firstLineChars="200"/>
        <w:rPr>
          <w:rFonts w:cs="宋体"/>
          <w:bCs/>
          <w:kern w:val="0"/>
          <w:szCs w:val="21"/>
        </w:rPr>
      </w:pPr>
      <w:r>
        <w:rPr>
          <w:rFonts w:hint="eastAsia" w:cs="宋体"/>
          <w:bCs/>
          <w:kern w:val="0"/>
          <w:szCs w:val="21"/>
        </w:rPr>
        <w:t>排水沟施工时考虑坡度，保证流水顺畅</w:t>
      </w:r>
    </w:p>
    <w:p w14:paraId="792E2719">
      <w:pPr>
        <w:adjustRightInd w:val="0"/>
        <w:snapToGrid w:val="0"/>
        <w:spacing w:line="360" w:lineRule="auto"/>
        <w:ind w:firstLine="420" w:firstLineChars="200"/>
        <w:rPr>
          <w:rFonts w:cs="宋体"/>
          <w:bCs/>
          <w:kern w:val="0"/>
          <w:szCs w:val="21"/>
        </w:rPr>
      </w:pPr>
      <w:r>
        <w:rPr>
          <w:rFonts w:hint="eastAsia" w:cs="宋体"/>
          <w:bCs/>
          <w:kern w:val="0"/>
          <w:szCs w:val="21"/>
        </w:rPr>
        <w:t xml:space="preserve">足球场砖砌长凳的尺寸为：宽度50cm、 高度45cm，总长度详见工程量。（实际施工时可根据现场情况拆分为多个长椅） </w:t>
      </w:r>
    </w:p>
    <w:p w14:paraId="7A9EF406">
      <w:pPr>
        <w:adjustRightInd w:val="0"/>
        <w:snapToGrid w:val="0"/>
        <w:spacing w:line="360" w:lineRule="auto"/>
        <w:ind w:firstLine="420" w:firstLineChars="200"/>
        <w:rPr>
          <w:rFonts w:cs="宋体"/>
          <w:bCs/>
          <w:kern w:val="0"/>
          <w:szCs w:val="21"/>
        </w:rPr>
      </w:pPr>
      <w:r>
        <w:rPr>
          <w:rFonts w:hint="eastAsia" w:cs="宋体"/>
          <w:bCs/>
          <w:kern w:val="0"/>
          <w:szCs w:val="21"/>
        </w:rPr>
        <w:t>足球场砖砌长凳采用几内亚当地砖块砌筑、使用水泥砂浆抹面，水泥砂浆厚度2cm，要求粉刷后表面光滑、整体美观。</w:t>
      </w:r>
    </w:p>
    <w:p w14:paraId="3F047374">
      <w:pPr>
        <w:adjustRightInd w:val="0"/>
        <w:snapToGrid w:val="0"/>
        <w:spacing w:line="360" w:lineRule="auto"/>
        <w:ind w:firstLine="420" w:firstLineChars="200"/>
        <w:rPr>
          <w:rFonts w:cs="宋体"/>
          <w:bCs/>
          <w:kern w:val="0"/>
          <w:szCs w:val="21"/>
        </w:rPr>
      </w:pPr>
      <w:r>
        <w:rPr>
          <w:rFonts w:hint="eastAsia" w:cs="宋体"/>
          <w:bCs/>
          <w:kern w:val="0"/>
          <w:szCs w:val="21"/>
        </w:rPr>
        <w:t>钢制球门的宽度7.3m，高度2.4m，球架钢管直径55mm，预埋深度70cm，使用混凝土灌注。</w:t>
      </w:r>
    </w:p>
    <w:p w14:paraId="28CE0AEC">
      <w:pPr>
        <w:adjustRightInd w:val="0"/>
        <w:snapToGrid w:val="0"/>
        <w:spacing w:line="360" w:lineRule="auto"/>
        <w:ind w:firstLine="420" w:firstLineChars="200"/>
        <w:rPr>
          <w:rFonts w:cs="宋体"/>
          <w:bCs/>
          <w:kern w:val="0"/>
          <w:szCs w:val="21"/>
        </w:rPr>
      </w:pPr>
      <w:r>
        <w:rPr>
          <w:rFonts w:hint="eastAsia" w:cs="宋体"/>
          <w:bCs/>
          <w:kern w:val="0"/>
          <w:szCs w:val="21"/>
        </w:rPr>
        <w:t>钢制球门刷白色与红色防腐油漆，同时配备白色尼龙球网。</w:t>
      </w:r>
    </w:p>
    <w:p w14:paraId="0385DB27">
      <w:pPr>
        <w:adjustRightInd w:val="0"/>
        <w:snapToGrid w:val="0"/>
        <w:spacing w:line="360" w:lineRule="auto"/>
        <w:ind w:firstLine="420" w:firstLineChars="200"/>
        <w:rPr>
          <w:rFonts w:cs="宋体"/>
          <w:bCs/>
          <w:kern w:val="0"/>
          <w:szCs w:val="21"/>
        </w:rPr>
      </w:pPr>
      <w:r>
        <w:rPr>
          <w:rFonts w:hint="eastAsia" w:cs="宋体"/>
          <w:bCs/>
          <w:kern w:val="0"/>
          <w:szCs w:val="21"/>
        </w:rPr>
        <w:t>平整原足球场，清除表面杂草和植被。</w:t>
      </w:r>
    </w:p>
    <w:p w14:paraId="41350B5C">
      <w:pPr>
        <w:adjustRightInd w:val="0"/>
        <w:snapToGrid w:val="0"/>
        <w:spacing w:line="360" w:lineRule="auto"/>
        <w:ind w:firstLine="420" w:firstLineChars="200"/>
        <w:rPr>
          <w:rFonts w:cs="宋体"/>
          <w:bCs/>
          <w:kern w:val="0"/>
          <w:szCs w:val="21"/>
        </w:rPr>
      </w:pPr>
      <w:r>
        <w:rPr>
          <w:rFonts w:hint="eastAsia" w:cs="宋体"/>
          <w:bCs/>
          <w:kern w:val="0"/>
          <w:szCs w:val="21"/>
        </w:rPr>
        <w:t>清理草根浮土后，用红土颗粒回填，并用压路机压实，平均铺设厚度不小于 5 厘米。红土颗粒的成本由分包商承担。红土颗粒资源税包含在投标报价中。</w:t>
      </w:r>
    </w:p>
    <w:p w14:paraId="2B0197FF">
      <w:pPr>
        <w:adjustRightInd w:val="0"/>
        <w:snapToGrid w:val="0"/>
        <w:spacing w:line="360" w:lineRule="auto"/>
        <w:ind w:firstLine="420" w:firstLineChars="200"/>
        <w:rPr>
          <w:rFonts w:cs="宋体"/>
          <w:bCs/>
          <w:kern w:val="0"/>
          <w:szCs w:val="21"/>
        </w:rPr>
      </w:pPr>
      <w:r>
        <w:rPr>
          <w:rFonts w:hint="eastAsia" w:cs="宋体"/>
          <w:bCs/>
          <w:kern w:val="0"/>
          <w:szCs w:val="21"/>
        </w:rPr>
        <w:t>排水沟尺寸要求：宽度大于 40 厘米，深度大于 30 厘米。</w:t>
      </w:r>
    </w:p>
    <w:p w14:paraId="7730E7BA">
      <w:pPr>
        <w:adjustRightInd w:val="0"/>
        <w:snapToGrid w:val="0"/>
        <w:spacing w:line="360" w:lineRule="auto"/>
        <w:ind w:firstLine="420" w:firstLineChars="200"/>
        <w:rPr>
          <w:rFonts w:cs="宋体"/>
          <w:bCs/>
          <w:kern w:val="0"/>
          <w:szCs w:val="21"/>
        </w:rPr>
      </w:pPr>
      <w:r>
        <w:rPr>
          <w:rFonts w:hint="eastAsia" w:cs="宋体"/>
          <w:bCs/>
          <w:kern w:val="0"/>
          <w:szCs w:val="21"/>
        </w:rPr>
        <w:t>建造排水沟时必须考虑坡度，以确保水流均匀。</w:t>
      </w:r>
    </w:p>
    <w:p w14:paraId="2A36BF76">
      <w:pPr>
        <w:adjustRightInd w:val="0"/>
        <w:snapToGrid w:val="0"/>
        <w:spacing w:line="360" w:lineRule="auto"/>
        <w:ind w:firstLine="420" w:firstLineChars="200"/>
        <w:rPr>
          <w:rFonts w:cs="宋体"/>
          <w:bCs/>
          <w:kern w:val="0"/>
          <w:szCs w:val="21"/>
        </w:rPr>
      </w:pPr>
      <w:r>
        <w:rPr>
          <w:rFonts w:hint="eastAsia" w:cs="宋体"/>
          <w:bCs/>
          <w:kern w:val="0"/>
          <w:szCs w:val="21"/>
        </w:rPr>
        <w:t>砖砌足球场凳的尺寸为宽 50 厘米、高 45 厘米，总长度见工程量。(实际施工时可根据场地条件将其分成若干个长凳）。</w:t>
      </w:r>
    </w:p>
    <w:p w14:paraId="115BD322">
      <w:pPr>
        <w:adjustRightInd w:val="0"/>
        <w:snapToGrid w:val="0"/>
        <w:spacing w:line="360" w:lineRule="auto"/>
        <w:ind w:firstLine="420" w:firstLineChars="200"/>
        <w:rPr>
          <w:rFonts w:cs="宋体"/>
          <w:bCs/>
          <w:kern w:val="0"/>
          <w:szCs w:val="21"/>
        </w:rPr>
      </w:pPr>
      <w:r>
        <w:rPr>
          <w:rFonts w:hint="eastAsia" w:cs="宋体"/>
          <w:bCs/>
          <w:kern w:val="0"/>
          <w:szCs w:val="21"/>
        </w:rPr>
        <w:t>足球场砖砌长凳采用当地几内亚砖砌筑，采用水泥砂浆抹灰，水泥砂浆厚度为 2 厘米，要求粉刷后表面光滑，一般美观。</w:t>
      </w:r>
    </w:p>
    <w:p w14:paraId="0ABF7AD9">
      <w:pPr>
        <w:adjustRightInd w:val="0"/>
        <w:snapToGrid w:val="0"/>
        <w:spacing w:line="360" w:lineRule="auto"/>
        <w:ind w:firstLine="420" w:firstLineChars="200"/>
        <w:rPr>
          <w:rFonts w:cs="宋体"/>
          <w:bCs/>
          <w:kern w:val="0"/>
          <w:szCs w:val="21"/>
        </w:rPr>
      </w:pPr>
      <w:r>
        <w:rPr>
          <w:rFonts w:hint="eastAsia" w:cs="宋体"/>
          <w:bCs/>
          <w:kern w:val="0"/>
          <w:szCs w:val="21"/>
        </w:rPr>
        <w:t>钢制球门宽 7.3 米，高 2.4 米，球架钢管直径 55 毫米，预埋深度 70 厘米，填充采用混凝土。</w:t>
      </w:r>
    </w:p>
    <w:p w14:paraId="6ED892D9">
      <w:pPr>
        <w:adjustRightInd w:val="0"/>
        <w:snapToGrid w:val="0"/>
        <w:spacing w:line="360" w:lineRule="auto"/>
        <w:ind w:firstLine="420" w:firstLineChars="200"/>
        <w:rPr>
          <w:rFonts w:cs="宋体"/>
          <w:bCs/>
          <w:kern w:val="0"/>
          <w:szCs w:val="21"/>
        </w:rPr>
      </w:pPr>
      <w:r>
        <w:rPr>
          <w:rFonts w:hint="eastAsia" w:cs="宋体"/>
          <w:bCs/>
          <w:kern w:val="0"/>
          <w:szCs w:val="21"/>
        </w:rPr>
        <w:t>钢制球门涂有白色和红色防腐漆，并配有白色尼龙网。</w:t>
      </w:r>
    </w:p>
    <w:p w14:paraId="05867BA2">
      <w:pPr>
        <w:adjustRightInd w:val="0"/>
        <w:snapToGrid w:val="0"/>
        <w:spacing w:line="360" w:lineRule="auto"/>
        <w:ind w:firstLine="420"/>
        <w:rPr>
          <w:rFonts w:cs="宋体"/>
          <w:kern w:val="0"/>
          <w:szCs w:val="21"/>
        </w:rPr>
      </w:pPr>
      <w:r>
        <w:rPr>
          <w:rFonts w:cs="宋体"/>
          <w:kern w:val="0"/>
          <w:szCs w:val="21"/>
        </w:rPr>
        <w:t>Normes et exigences techniques pour les travaux de réhabilitation du terrain de football</w:t>
      </w:r>
    </w:p>
    <w:p w14:paraId="13419F71">
      <w:pPr>
        <w:adjustRightInd w:val="0"/>
        <w:snapToGrid w:val="0"/>
        <w:spacing w:line="360" w:lineRule="auto"/>
        <w:ind w:firstLine="420"/>
        <w:rPr>
          <w:rFonts w:cs="宋体"/>
          <w:kern w:val="0"/>
          <w:szCs w:val="21"/>
        </w:rPr>
      </w:pPr>
      <w:r>
        <w:rPr>
          <w:rFonts w:cs="宋体"/>
          <w:kern w:val="0"/>
          <w:szCs w:val="21"/>
        </w:rPr>
        <w:t>Procéder au nivellement du terrain existant et au débroussaillage complet de la surface.</w:t>
      </w:r>
    </w:p>
    <w:p w14:paraId="578E5E42">
      <w:pPr>
        <w:adjustRightInd w:val="0"/>
        <w:snapToGrid w:val="0"/>
        <w:spacing w:line="360" w:lineRule="auto"/>
        <w:ind w:firstLine="420"/>
        <w:rPr>
          <w:rFonts w:cs="宋体"/>
          <w:kern w:val="0"/>
          <w:szCs w:val="21"/>
        </w:rPr>
      </w:pPr>
      <w:r>
        <w:rPr>
          <w:rFonts w:cs="宋体"/>
          <w:kern w:val="0"/>
          <w:szCs w:val="21"/>
        </w:rPr>
        <w:t>Après décapage de la terre végétale et des racines, le remblaiement sera effectué à l’aide de granulats latéritiques compactés au rouleau. L’épaisseur moyenne de la couche compactée ne devra pas être inférieure à 5 cm.</w:t>
      </w:r>
    </w:p>
    <w:p w14:paraId="0BC2EA43">
      <w:pPr>
        <w:adjustRightInd w:val="0"/>
        <w:snapToGrid w:val="0"/>
        <w:spacing w:line="360" w:lineRule="auto"/>
        <w:ind w:firstLine="420"/>
        <w:rPr>
          <w:rFonts w:cs="宋体"/>
          <w:kern w:val="0"/>
          <w:szCs w:val="21"/>
        </w:rPr>
      </w:pPr>
      <w:r>
        <w:rPr>
          <w:rFonts w:cs="宋体"/>
          <w:kern w:val="0"/>
          <w:szCs w:val="21"/>
        </w:rPr>
        <w:t>Les granulats latéritiques, ainsi que toutes les taxes afférentes (dont la redevance sur les ressources), sont fournis et à la charge exclusive du sous-traitant. Leur coût est inclus dans son offre financière.</w:t>
      </w:r>
    </w:p>
    <w:p w14:paraId="4FA1CF7A">
      <w:pPr>
        <w:adjustRightInd w:val="0"/>
        <w:snapToGrid w:val="0"/>
        <w:spacing w:line="360" w:lineRule="auto"/>
        <w:ind w:firstLine="420"/>
        <w:rPr>
          <w:rFonts w:cs="宋体"/>
          <w:kern w:val="0"/>
          <w:szCs w:val="21"/>
        </w:rPr>
      </w:pPr>
      <w:r>
        <w:rPr>
          <w:rFonts w:cs="宋体"/>
          <w:kern w:val="0"/>
          <w:szCs w:val="21"/>
        </w:rPr>
        <w:t>Les fossés de drainage devront présenter les dimensions minimales suivantes : largeur &gt; 40 cm, profondeur &gt; 30 cm.</w:t>
      </w:r>
    </w:p>
    <w:p w14:paraId="0DA14B92">
      <w:pPr>
        <w:adjustRightInd w:val="0"/>
        <w:snapToGrid w:val="0"/>
        <w:spacing w:line="360" w:lineRule="auto"/>
        <w:ind w:firstLine="420"/>
        <w:rPr>
          <w:rFonts w:cs="宋体"/>
          <w:kern w:val="0"/>
          <w:szCs w:val="21"/>
        </w:rPr>
      </w:pPr>
      <w:r>
        <w:rPr>
          <w:rFonts w:cs="宋体"/>
          <w:kern w:val="0"/>
          <w:szCs w:val="21"/>
        </w:rPr>
        <w:t>La construction des fossés devra intégrer une pente suffisante pour garantir un écoulement rapide et complet des eaux.</w:t>
      </w:r>
    </w:p>
    <w:p w14:paraId="7FDCE81E">
      <w:pPr>
        <w:adjustRightInd w:val="0"/>
        <w:snapToGrid w:val="0"/>
        <w:spacing w:line="360" w:lineRule="auto"/>
        <w:ind w:firstLine="420"/>
        <w:rPr>
          <w:rFonts w:cs="宋体"/>
          <w:kern w:val="0"/>
          <w:szCs w:val="21"/>
        </w:rPr>
      </w:pPr>
      <w:r>
        <w:rPr>
          <w:rFonts w:cs="宋体"/>
          <w:kern w:val="0"/>
          <w:szCs w:val="21"/>
        </w:rPr>
        <w:t>Les bancs en maçonnerie de briques auront pour dimensions : largeur de 50 cm, hauteur de 45 cm. La longueur totale est précisée dans le métré. (Ils pourront être réalisés en plusieurs segments selon les contraintes du site).</w:t>
      </w:r>
    </w:p>
    <w:p w14:paraId="58C1BD0F">
      <w:pPr>
        <w:adjustRightInd w:val="0"/>
        <w:snapToGrid w:val="0"/>
        <w:spacing w:line="360" w:lineRule="auto"/>
        <w:ind w:firstLine="420"/>
        <w:rPr>
          <w:rFonts w:cs="宋体"/>
          <w:kern w:val="0"/>
          <w:szCs w:val="21"/>
        </w:rPr>
      </w:pPr>
      <w:r>
        <w:rPr>
          <w:rFonts w:cs="宋体"/>
          <w:kern w:val="0"/>
          <w:szCs w:val="21"/>
        </w:rPr>
        <w:t>Ces bancs seront construits en briques locales guinéennes, puis enduits d’une couche de mortier de ciment de 2 cm d’épaisseur. L’enduit final devra présenter une surface lisse et un aspect esthétique uniforme.</w:t>
      </w:r>
    </w:p>
    <w:p w14:paraId="1B7ED386">
      <w:pPr>
        <w:adjustRightInd w:val="0"/>
        <w:snapToGrid w:val="0"/>
        <w:spacing w:line="360" w:lineRule="auto"/>
        <w:ind w:firstLine="420"/>
        <w:rPr>
          <w:rFonts w:cs="宋体"/>
          <w:kern w:val="0"/>
          <w:szCs w:val="21"/>
        </w:rPr>
      </w:pPr>
      <w:r>
        <w:rPr>
          <w:rFonts w:cs="宋体"/>
          <w:kern w:val="0"/>
          <w:szCs w:val="21"/>
        </w:rPr>
        <w:t>Les buts en acier auront une largeur de 7.3 m et une hauteur de 2.4 m. Les montants seront constitués de tubes d’acier d’un diamètre de 55 mm, scellés sur une profondeur de 70 cm dans des massifs de béton.</w:t>
      </w:r>
    </w:p>
    <w:p w14:paraId="6B8584CF">
      <w:pPr>
        <w:adjustRightInd w:val="0"/>
        <w:snapToGrid w:val="0"/>
        <w:spacing w:line="360" w:lineRule="auto"/>
        <w:ind w:firstLine="420"/>
        <w:rPr>
          <w:rFonts w:cs="宋体"/>
          <w:kern w:val="0"/>
          <w:szCs w:val="21"/>
        </w:rPr>
      </w:pPr>
      <w:r>
        <w:rPr>
          <w:rFonts w:cs="宋体"/>
          <w:kern w:val="0"/>
          <w:szCs w:val="21"/>
        </w:rPr>
        <w:t>Les buts devront recevoir une peinture anticorrosion, appliquée aux couleurs blanche et rouge. Ils seront équipés de filets en nylon blanc.</w:t>
      </w:r>
    </w:p>
    <w:p w14:paraId="7C44DDD3">
      <w:pPr>
        <w:keepNext/>
        <w:keepLines/>
        <w:spacing w:line="360" w:lineRule="auto"/>
        <w:ind w:firstLine="420"/>
        <w:outlineLvl w:val="0"/>
        <w:rPr>
          <w:b/>
          <w:kern w:val="0"/>
          <w:sz w:val="24"/>
          <w:szCs w:val="24"/>
        </w:rPr>
      </w:pPr>
      <w:r>
        <w:rPr>
          <w:rFonts w:hint="eastAsia"/>
          <w:b/>
          <w:kern w:val="0"/>
          <w:sz w:val="24"/>
          <w:szCs w:val="24"/>
        </w:rPr>
        <w:t>五、</w:t>
      </w:r>
      <w:r>
        <w:rPr>
          <w:b/>
          <w:kern w:val="0"/>
          <w:sz w:val="24"/>
          <w:szCs w:val="24"/>
        </w:rPr>
        <w:t>合同价款及结算方式</w:t>
      </w:r>
      <w:bookmarkEnd w:id="63"/>
      <w:bookmarkEnd w:id="64"/>
      <w:bookmarkEnd w:id="65"/>
      <w:bookmarkEnd w:id="66"/>
      <w:r>
        <w:rPr>
          <w:rFonts w:hint="eastAsia"/>
          <w:b/>
          <w:kern w:val="0"/>
          <w:sz w:val="24"/>
          <w:szCs w:val="24"/>
        </w:rPr>
        <w:t xml:space="preserve"> </w:t>
      </w:r>
      <w:r>
        <w:rPr>
          <w:kern w:val="0"/>
          <w:sz w:val="24"/>
          <w:szCs w:val="21"/>
        </w:rPr>
        <w:t>Prix du contrat et modalités de règlement</w:t>
      </w:r>
    </w:p>
    <w:p w14:paraId="78FEE5C1">
      <w:pPr>
        <w:adjustRightInd w:val="0"/>
        <w:snapToGrid w:val="0"/>
        <w:spacing w:line="360" w:lineRule="auto"/>
        <w:ind w:firstLine="420"/>
        <w:rPr>
          <w:rFonts w:cs="宋体"/>
          <w:kern w:val="0"/>
          <w:szCs w:val="21"/>
        </w:rPr>
      </w:pPr>
      <w:r>
        <w:rPr>
          <w:rFonts w:cs="宋体"/>
          <w:kern w:val="0"/>
          <w:szCs w:val="21"/>
        </w:rPr>
        <w:t xml:space="preserve">5.1 </w:t>
      </w:r>
      <w:r>
        <w:rPr>
          <w:rFonts w:hint="eastAsia" w:cs="宋体"/>
          <w:kern w:val="0"/>
          <w:szCs w:val="21"/>
        </w:rPr>
        <w:t>合同价款：本工程为固定总价，合同总价为</w:t>
      </w:r>
      <w:r>
        <w:rPr>
          <w:rFonts w:cs="宋体"/>
          <w:kern w:val="0"/>
          <w:szCs w:val="21"/>
        </w:rPr>
        <w:t>xx</w:t>
      </w:r>
      <w:r>
        <w:rPr>
          <w:rFonts w:hint="eastAsia" w:cs="宋体"/>
          <w:kern w:val="0"/>
          <w:szCs w:val="21"/>
        </w:rPr>
        <w:t>美元（大写：</w:t>
      </w:r>
      <w:r>
        <w:rPr>
          <w:rFonts w:cs="宋体"/>
          <w:kern w:val="0"/>
          <w:szCs w:val="21"/>
        </w:rPr>
        <w:t>xx</w:t>
      </w:r>
      <w:r>
        <w:rPr>
          <w:rFonts w:hint="eastAsia" w:cs="宋体"/>
          <w:kern w:val="0"/>
          <w:szCs w:val="21"/>
        </w:rPr>
        <w:t>美元）。详见附表。</w:t>
      </w:r>
    </w:p>
    <w:p w14:paraId="65C111ED">
      <w:pPr>
        <w:adjustRightInd w:val="0"/>
        <w:snapToGrid w:val="0"/>
        <w:spacing w:line="360" w:lineRule="auto"/>
        <w:ind w:firstLine="420"/>
        <w:rPr>
          <w:rFonts w:cs="宋体"/>
          <w:kern w:val="0"/>
          <w:szCs w:val="21"/>
        </w:rPr>
      </w:pPr>
      <w:r>
        <w:rPr>
          <w:rFonts w:hint="eastAsia" w:cs="宋体"/>
          <w:kern w:val="0"/>
          <w:szCs w:val="21"/>
        </w:rPr>
        <w:t>固定总价应包括</w:t>
      </w:r>
      <w:r>
        <w:rPr>
          <w:rFonts w:hint="eastAsia" w:cs="宋体"/>
          <w:kern w:val="0"/>
          <w:szCs w:val="21"/>
          <w:lang w:val="en-US"/>
        </w:rPr>
        <w:t>修缮项目</w:t>
      </w:r>
      <w:r>
        <w:rPr>
          <w:rFonts w:hint="eastAsia" w:cs="宋体"/>
          <w:kern w:val="0"/>
          <w:szCs w:val="21"/>
        </w:rPr>
        <w:t>所需物资及材料的购置及运输、施工、安装、竣工验收和维护而发生的各项应有费用，其中包括直接费、间接费、有关文件规定的调价、利润、规费、现行费用中的其它费用、安全措施费、大型机具进出场费、现场安全、文明施工费用、二次搬运费、投保保险、政策性调整、物价变动和合同规定的其他所有风险、责任、及与实施项目有关的所有社区关系协调费、不可预见费等，以及为完成本工程所需的或可能产生的全部费用。</w:t>
      </w:r>
    </w:p>
    <w:p w14:paraId="3AD991D5">
      <w:pPr>
        <w:adjustRightInd w:val="0"/>
        <w:snapToGrid w:val="0"/>
        <w:spacing w:line="360" w:lineRule="auto"/>
        <w:ind w:firstLine="420"/>
        <w:rPr>
          <w:rFonts w:cs="宋体"/>
          <w:kern w:val="0"/>
          <w:szCs w:val="21"/>
        </w:rPr>
      </w:pPr>
      <w:r>
        <w:rPr>
          <w:rFonts w:cs="宋体"/>
          <w:kern w:val="0"/>
          <w:szCs w:val="21"/>
        </w:rPr>
        <w:t xml:space="preserve">5.2 </w:t>
      </w:r>
      <w:r>
        <w:rPr>
          <w:rFonts w:hint="eastAsia" w:cs="宋体"/>
          <w:kern w:val="0"/>
          <w:szCs w:val="21"/>
        </w:rPr>
        <w:t>合同价格调整及计价方式。</w:t>
      </w:r>
    </w:p>
    <w:p w14:paraId="47BC5EF6">
      <w:pPr>
        <w:adjustRightInd w:val="0"/>
        <w:snapToGrid w:val="0"/>
        <w:spacing w:line="360" w:lineRule="auto"/>
        <w:ind w:firstLine="420"/>
        <w:rPr>
          <w:rFonts w:cs="宋体"/>
          <w:kern w:val="0"/>
          <w:szCs w:val="21"/>
        </w:rPr>
      </w:pPr>
      <w:r>
        <w:rPr>
          <w:rFonts w:hint="eastAsia" w:cs="宋体"/>
          <w:kern w:val="0"/>
          <w:szCs w:val="21"/>
        </w:rPr>
        <w:t>本工程采用固定总价承包。本合同价款在合同实施期间不因政策及市场因素变化而变动。除业主要求的工作范围及方案变更外，承包商为完成本工程发生的所有费用均包括在合同总价中，不做调整。</w:t>
      </w:r>
      <w:bookmarkStart w:id="67" w:name="_Toc30054"/>
      <w:bookmarkStart w:id="68" w:name="_Toc463775121"/>
      <w:bookmarkStart w:id="69" w:name="_Toc62856955"/>
      <w:bookmarkStart w:id="70" w:name="_Toc22309657"/>
    </w:p>
    <w:p w14:paraId="2093E141">
      <w:pPr>
        <w:adjustRightInd w:val="0"/>
        <w:snapToGrid w:val="0"/>
        <w:spacing w:line="360" w:lineRule="auto"/>
        <w:ind w:firstLine="420"/>
        <w:rPr>
          <w:rFonts w:cs="宋体"/>
          <w:kern w:val="0"/>
          <w:szCs w:val="21"/>
        </w:rPr>
      </w:pPr>
      <w:r>
        <w:rPr>
          <w:rFonts w:cs="宋体"/>
          <w:kern w:val="0"/>
          <w:szCs w:val="21"/>
        </w:rPr>
        <w:t xml:space="preserve">5.1 Montant du contrat : Le présent marché est conclu forfaitairement pour un montant fixe et global de XX </w:t>
      </w:r>
      <w:r>
        <w:rPr>
          <w:rFonts w:hint="eastAsia" w:cs="宋体"/>
          <w:kern w:val="0"/>
          <w:szCs w:val="21"/>
        </w:rPr>
        <w:t>USD</w:t>
      </w:r>
      <w:r>
        <w:rPr>
          <w:rFonts w:cs="宋体"/>
          <w:kern w:val="0"/>
          <w:szCs w:val="21"/>
        </w:rPr>
        <w:t xml:space="preserve"> (soit : [en toutes lettres] </w:t>
      </w:r>
      <w:r>
        <w:rPr>
          <w:rFonts w:hint="eastAsia" w:cs="宋体"/>
          <w:kern w:val="0"/>
          <w:szCs w:val="21"/>
        </w:rPr>
        <w:t>USD</w:t>
      </w:r>
      <w:r>
        <w:rPr>
          <w:rFonts w:cs="宋体"/>
          <w:kern w:val="0"/>
          <w:szCs w:val="21"/>
        </w:rPr>
        <w:t>). Pour le détail, se référer au tableau annexé.</w:t>
      </w:r>
    </w:p>
    <w:p w14:paraId="643544F1">
      <w:pPr>
        <w:adjustRightInd w:val="0"/>
        <w:snapToGrid w:val="0"/>
        <w:spacing w:line="360" w:lineRule="auto"/>
        <w:ind w:firstLine="420"/>
        <w:rPr>
          <w:rFonts w:cs="宋体"/>
          <w:kern w:val="0"/>
          <w:szCs w:val="21"/>
        </w:rPr>
      </w:pPr>
      <w:r>
        <w:rPr>
          <w:rFonts w:cs="宋体"/>
          <w:kern w:val="0"/>
          <w:szCs w:val="21"/>
        </w:rPr>
        <w:t>Le prix forfaitaire fixe inclut l’ensemble des coûts nécessaires à l’acquisition et au transport des matériaux, à la construction, à l’installation, à la réception des travaux et à leur maintien, y compris les frais directs et indirects, les révisions de prix prévues par les textes applicables, les bénéfices, les redevances réglementaires, les autres charges courantes, les mesures de sécurité, les frais d’entrée et de sortie des gros engins, la sécurité et la propreté du chantier, les frais de manutention secondaire, les assurances, les ajustements d’origine réglementaire, les fluctuations des prix, ainsi que tous les autres risques, responsabilités, aléas et imprévus couverts par le contrat, et plus généralement toute dépense nécessaire ou susceptible d’être engagée pour l’exécution complète des travaux.</w:t>
      </w:r>
    </w:p>
    <w:p w14:paraId="6AA2B295">
      <w:pPr>
        <w:spacing w:line="360" w:lineRule="auto"/>
        <w:ind w:firstLine="420"/>
        <w:textAlignment w:val="baseline"/>
        <w:rPr>
          <w:rFonts w:cs="宋体"/>
          <w:kern w:val="0"/>
          <w:szCs w:val="21"/>
        </w:rPr>
      </w:pPr>
      <w:r>
        <w:rPr>
          <w:rFonts w:cs="宋体"/>
          <w:kern w:val="0"/>
          <w:szCs w:val="21"/>
        </w:rPr>
        <w:t>5.2 Révision du prix du contrat et mode de calcul :</w:t>
      </w:r>
    </w:p>
    <w:p w14:paraId="7EA9E095">
      <w:pPr>
        <w:spacing w:line="360" w:lineRule="auto"/>
        <w:ind w:firstLine="420"/>
        <w:textAlignment w:val="baseline"/>
        <w:rPr>
          <w:rFonts w:cs="宋体"/>
          <w:kern w:val="0"/>
          <w:szCs w:val="21"/>
        </w:rPr>
      </w:pPr>
      <w:r>
        <w:rPr>
          <w:rFonts w:cs="宋体"/>
          <w:kern w:val="0"/>
          <w:szCs w:val="21"/>
        </w:rPr>
        <w:t>Le présent marché est accordé sur la base d’un prix forfaitaire et global fixe. Le prix convenu ne sera pas révisé pendant l’exécution du contrat, quelles que soient les évolutions législatives, réglementaires ou de marché.</w:t>
      </w:r>
    </w:p>
    <w:p w14:paraId="5619A7E4">
      <w:pPr>
        <w:spacing w:line="360" w:lineRule="auto"/>
        <w:ind w:firstLine="420"/>
        <w:textAlignment w:val="baseline"/>
        <w:rPr>
          <w:rFonts w:cs="宋体"/>
          <w:kern w:val="0"/>
          <w:szCs w:val="21"/>
        </w:rPr>
      </w:pPr>
      <w:r>
        <w:rPr>
          <w:rFonts w:cs="宋体"/>
          <w:kern w:val="0"/>
          <w:szCs w:val="21"/>
        </w:rPr>
        <w:t>Tous les coûts supportés par l’Entrepreneur pour l’exécution des travaux sont inclus dans le prix forfaitaire et ne donneront lieu à aucune augmentation, sauf en cas de modification de la portée des travaux ou du programme demandé par le Maître d’ouvrage.</w:t>
      </w:r>
    </w:p>
    <w:p w14:paraId="314AC818">
      <w:pPr>
        <w:adjustRightInd w:val="0"/>
        <w:snapToGrid w:val="0"/>
        <w:spacing w:line="360" w:lineRule="auto"/>
        <w:ind w:firstLine="420" w:firstLineChars="200"/>
        <w:rPr>
          <w:rFonts w:cs="宋体"/>
          <w:bCs/>
          <w:kern w:val="0"/>
          <w:szCs w:val="21"/>
        </w:rPr>
      </w:pPr>
      <w:r>
        <w:rPr>
          <w:rFonts w:hint="eastAsia" w:cs="宋体"/>
          <w:bCs/>
          <w:kern w:val="0"/>
          <w:szCs w:val="21"/>
        </w:rPr>
        <w:t>六、</w:t>
      </w:r>
      <w:r>
        <w:rPr>
          <w:rFonts w:cs="宋体"/>
          <w:bCs/>
          <w:kern w:val="0"/>
          <w:szCs w:val="21"/>
        </w:rPr>
        <w:t xml:space="preserve"> </w:t>
      </w:r>
      <w:r>
        <w:rPr>
          <w:rFonts w:hint="eastAsia" w:cs="宋体"/>
          <w:bCs/>
          <w:kern w:val="0"/>
          <w:szCs w:val="21"/>
        </w:rPr>
        <w:t>付款方式</w:t>
      </w:r>
      <w:bookmarkEnd w:id="67"/>
      <w:bookmarkEnd w:id="68"/>
      <w:bookmarkEnd w:id="69"/>
      <w:bookmarkEnd w:id="70"/>
      <w:r>
        <w:rPr>
          <w:rFonts w:cs="宋体"/>
          <w:bCs/>
          <w:kern w:val="0"/>
          <w:szCs w:val="21"/>
        </w:rPr>
        <w:t xml:space="preserve"> Modalité de paiement</w:t>
      </w:r>
    </w:p>
    <w:p w14:paraId="1CEB1AA3">
      <w:pPr>
        <w:adjustRightInd w:val="0"/>
        <w:snapToGrid w:val="0"/>
        <w:spacing w:line="360" w:lineRule="auto"/>
        <w:ind w:firstLine="420" w:firstLineChars="200"/>
        <w:rPr>
          <w:rFonts w:cs="宋体"/>
          <w:bCs/>
          <w:kern w:val="0"/>
          <w:szCs w:val="21"/>
        </w:rPr>
      </w:pPr>
      <w:bookmarkStart w:id="71" w:name="_Toc62856956"/>
      <w:bookmarkStart w:id="72" w:name="_Toc463775122"/>
      <w:bookmarkStart w:id="73" w:name="_Toc22309658"/>
      <w:r>
        <w:rPr>
          <w:rFonts w:hint="eastAsia" w:cs="宋体"/>
          <w:bCs/>
          <w:kern w:val="0"/>
          <w:szCs w:val="21"/>
        </w:rPr>
        <w:t>付款与质保条款</w:t>
      </w:r>
    </w:p>
    <w:p w14:paraId="0269917F">
      <w:pPr>
        <w:adjustRightInd w:val="0"/>
        <w:snapToGrid w:val="0"/>
        <w:spacing w:line="360" w:lineRule="auto"/>
        <w:ind w:firstLine="420" w:firstLineChars="200"/>
        <w:rPr>
          <w:rFonts w:cs="宋体"/>
          <w:bCs/>
          <w:kern w:val="0"/>
          <w:szCs w:val="21"/>
        </w:rPr>
      </w:pPr>
      <w:r>
        <w:rPr>
          <w:rFonts w:cs="宋体"/>
          <w:bCs/>
          <w:kern w:val="0"/>
          <w:szCs w:val="21"/>
        </w:rPr>
        <w:t xml:space="preserve">1. </w:t>
      </w:r>
      <w:r>
        <w:rPr>
          <w:rFonts w:hint="eastAsia" w:cs="宋体"/>
          <w:bCs/>
          <w:kern w:val="0"/>
          <w:szCs w:val="21"/>
        </w:rPr>
        <w:t>开工与筹备</w:t>
      </w:r>
    </w:p>
    <w:p w14:paraId="26FF640B">
      <w:pPr>
        <w:adjustRightInd w:val="0"/>
        <w:snapToGrid w:val="0"/>
        <w:spacing w:line="360" w:lineRule="auto"/>
        <w:ind w:firstLine="420" w:firstLineChars="200"/>
        <w:rPr>
          <w:rFonts w:cs="宋体"/>
          <w:bCs/>
          <w:kern w:val="0"/>
          <w:szCs w:val="21"/>
        </w:rPr>
      </w:pPr>
      <w:r>
        <w:rPr>
          <w:rFonts w:hint="eastAsia" w:cs="宋体"/>
          <w:bCs/>
          <w:kern w:val="0"/>
          <w:szCs w:val="21"/>
        </w:rPr>
        <w:t>合同生效后，响应人应立即进行施工筹备，并在收到采购人发出的正式书面进场通知后</w:t>
      </w:r>
      <w:r>
        <w:rPr>
          <w:rFonts w:cs="宋体"/>
          <w:bCs/>
          <w:kern w:val="0"/>
          <w:szCs w:val="21"/>
        </w:rPr>
        <w:t xml:space="preserve"> 7</w:t>
      </w:r>
      <w:r>
        <w:rPr>
          <w:rFonts w:hint="eastAsia" w:cs="宋体"/>
          <w:bCs/>
          <w:kern w:val="0"/>
          <w:szCs w:val="21"/>
        </w:rPr>
        <w:t>个工作日内进场施工。</w:t>
      </w:r>
    </w:p>
    <w:p w14:paraId="2EADC899">
      <w:pPr>
        <w:adjustRightInd w:val="0"/>
        <w:snapToGrid w:val="0"/>
        <w:spacing w:line="360" w:lineRule="auto"/>
        <w:ind w:firstLine="420" w:firstLineChars="200"/>
        <w:rPr>
          <w:rFonts w:cs="宋体"/>
          <w:bCs/>
          <w:kern w:val="0"/>
          <w:szCs w:val="21"/>
        </w:rPr>
      </w:pPr>
      <w:r>
        <w:rPr>
          <w:rFonts w:cs="宋体"/>
          <w:bCs/>
          <w:kern w:val="0"/>
          <w:szCs w:val="21"/>
        </w:rPr>
        <w:t xml:space="preserve">2. </w:t>
      </w:r>
      <w:r>
        <w:rPr>
          <w:rFonts w:hint="eastAsia" w:cs="宋体"/>
          <w:bCs/>
          <w:kern w:val="0"/>
          <w:szCs w:val="21"/>
        </w:rPr>
        <w:t>进度款支付</w:t>
      </w:r>
    </w:p>
    <w:p w14:paraId="5BF574D1">
      <w:pPr>
        <w:adjustRightInd w:val="0"/>
        <w:snapToGrid w:val="0"/>
        <w:spacing w:line="360" w:lineRule="auto"/>
        <w:ind w:firstLine="420" w:firstLineChars="200"/>
        <w:rPr>
          <w:rFonts w:cs="宋体"/>
          <w:bCs/>
          <w:kern w:val="0"/>
          <w:szCs w:val="21"/>
        </w:rPr>
      </w:pPr>
      <w:r>
        <w:rPr>
          <w:rFonts w:hint="eastAsia" w:cs="宋体"/>
          <w:bCs/>
          <w:kern w:val="0"/>
          <w:szCs w:val="21"/>
        </w:rPr>
        <w:t>采购人每月按双方书面确认的已完成合格工程量支付进度款。响应人须在每月</w:t>
      </w:r>
      <w:r>
        <w:rPr>
          <w:rFonts w:cs="宋体"/>
          <w:bCs/>
          <w:kern w:val="0"/>
          <w:szCs w:val="21"/>
        </w:rPr>
        <w:t>25</w:t>
      </w:r>
      <w:r>
        <w:rPr>
          <w:rFonts w:hint="eastAsia" w:cs="宋体"/>
          <w:bCs/>
          <w:kern w:val="0"/>
          <w:szCs w:val="21"/>
        </w:rPr>
        <w:t>日前提交付款申请，采购人应在收到完整申请后</w:t>
      </w:r>
      <w:r>
        <w:rPr>
          <w:rFonts w:cs="宋体"/>
          <w:bCs/>
          <w:kern w:val="0"/>
          <w:szCs w:val="21"/>
        </w:rPr>
        <w:t xml:space="preserve"> 30</w:t>
      </w:r>
      <w:r>
        <w:rPr>
          <w:rFonts w:hint="eastAsia" w:cs="宋体"/>
          <w:bCs/>
          <w:kern w:val="0"/>
          <w:szCs w:val="21"/>
        </w:rPr>
        <w:t>天内完成支付。</w:t>
      </w:r>
    </w:p>
    <w:p w14:paraId="728F4A98">
      <w:pPr>
        <w:adjustRightInd w:val="0"/>
        <w:snapToGrid w:val="0"/>
        <w:spacing w:line="360" w:lineRule="auto"/>
        <w:ind w:firstLine="420" w:firstLineChars="200"/>
        <w:rPr>
          <w:rFonts w:cs="宋体"/>
          <w:bCs/>
          <w:kern w:val="0"/>
          <w:szCs w:val="21"/>
        </w:rPr>
      </w:pPr>
      <w:r>
        <w:rPr>
          <w:rFonts w:cs="宋体"/>
          <w:bCs/>
          <w:kern w:val="0"/>
          <w:szCs w:val="21"/>
        </w:rPr>
        <w:t xml:space="preserve">3. </w:t>
      </w:r>
      <w:r>
        <w:rPr>
          <w:rFonts w:hint="eastAsia" w:cs="宋体"/>
          <w:bCs/>
          <w:kern w:val="0"/>
          <w:szCs w:val="21"/>
        </w:rPr>
        <w:t>质保金</w:t>
      </w:r>
    </w:p>
    <w:p w14:paraId="7E2D8CCC">
      <w:pPr>
        <w:adjustRightInd w:val="0"/>
        <w:snapToGrid w:val="0"/>
        <w:spacing w:line="360" w:lineRule="auto"/>
        <w:ind w:firstLine="420" w:firstLineChars="200"/>
        <w:rPr>
          <w:rFonts w:cs="宋体"/>
          <w:bCs/>
          <w:kern w:val="0"/>
          <w:szCs w:val="21"/>
        </w:rPr>
      </w:pPr>
      <w:r>
        <w:rPr>
          <w:rFonts w:hint="eastAsia" w:cs="宋体"/>
          <w:bCs/>
          <w:kern w:val="0"/>
          <w:szCs w:val="21"/>
        </w:rPr>
        <w:t>合同结算总价的</w:t>
      </w:r>
      <w:r>
        <w:rPr>
          <w:rFonts w:cs="宋体"/>
          <w:bCs/>
          <w:kern w:val="0"/>
          <w:szCs w:val="21"/>
        </w:rPr>
        <w:t xml:space="preserve"> 3% </w:t>
      </w:r>
      <w:r>
        <w:rPr>
          <w:rFonts w:hint="eastAsia" w:cs="宋体"/>
          <w:bCs/>
          <w:kern w:val="0"/>
          <w:szCs w:val="21"/>
        </w:rPr>
        <w:t>将作为质量保证金。在相应工程质保期满且无未解决的质量问题后</w:t>
      </w:r>
      <w:r>
        <w:rPr>
          <w:rFonts w:cs="宋体"/>
          <w:bCs/>
          <w:kern w:val="0"/>
          <w:szCs w:val="21"/>
        </w:rPr>
        <w:t xml:space="preserve"> 10</w:t>
      </w:r>
      <w:r>
        <w:rPr>
          <w:rFonts w:hint="eastAsia" w:cs="宋体"/>
          <w:bCs/>
          <w:kern w:val="0"/>
          <w:szCs w:val="21"/>
        </w:rPr>
        <w:t>个工作日内，由采购人一次性付清。</w:t>
      </w:r>
    </w:p>
    <w:p w14:paraId="347F5762">
      <w:pPr>
        <w:adjustRightInd w:val="0"/>
        <w:snapToGrid w:val="0"/>
        <w:spacing w:line="360" w:lineRule="auto"/>
        <w:ind w:firstLine="420"/>
        <w:rPr>
          <w:rFonts w:cs="宋体"/>
          <w:kern w:val="0"/>
          <w:szCs w:val="21"/>
        </w:rPr>
      </w:pPr>
      <w:r>
        <w:rPr>
          <w:rFonts w:cs="宋体"/>
          <w:kern w:val="0"/>
          <w:szCs w:val="21"/>
        </w:rPr>
        <w:t>Modalités de Paiement et Garantie</w:t>
      </w:r>
    </w:p>
    <w:p w14:paraId="14482C63">
      <w:pPr>
        <w:adjustRightInd w:val="0"/>
        <w:snapToGrid w:val="0"/>
        <w:spacing w:line="360" w:lineRule="auto"/>
        <w:ind w:firstLine="420"/>
        <w:rPr>
          <w:rFonts w:cs="宋体"/>
          <w:kern w:val="0"/>
          <w:szCs w:val="21"/>
        </w:rPr>
      </w:pPr>
      <w:r>
        <w:rPr>
          <w:rFonts w:cs="宋体"/>
          <w:kern w:val="0"/>
          <w:szCs w:val="21"/>
        </w:rPr>
        <w:t>1. Démarrage des Travaux et Préparation</w:t>
      </w:r>
      <w:r>
        <w:rPr>
          <w:rFonts w:cs="宋体"/>
          <w:kern w:val="0"/>
          <w:szCs w:val="21"/>
        </w:rPr>
        <w:br w:type="textWrapping"/>
      </w:r>
      <w:r>
        <w:rPr>
          <w:rFonts w:cs="宋体"/>
          <w:kern w:val="0"/>
          <w:szCs w:val="21"/>
        </w:rPr>
        <w:t>Après l’entrée en vigueur du Contrat, l’Entrepreneur doit immédiatement commencer les préparatifs. Il est tenu de démobiliser sur le chantier dans un délai de sept (7) jours ouvrables après réception de la notification écrite formelle de l’Acheteur.</w:t>
      </w:r>
    </w:p>
    <w:p w14:paraId="2FDB8704">
      <w:pPr>
        <w:adjustRightInd w:val="0"/>
        <w:snapToGrid w:val="0"/>
        <w:spacing w:line="360" w:lineRule="auto"/>
        <w:ind w:firstLine="420"/>
        <w:rPr>
          <w:rFonts w:cs="宋体"/>
          <w:kern w:val="0"/>
          <w:szCs w:val="21"/>
        </w:rPr>
      </w:pPr>
      <w:r>
        <w:rPr>
          <w:rFonts w:cs="宋体"/>
          <w:kern w:val="0"/>
          <w:szCs w:val="21"/>
        </w:rPr>
        <w:t>2. Paiements d’Acompte</w:t>
      </w:r>
    </w:p>
    <w:p w14:paraId="13D76F03">
      <w:pPr>
        <w:adjustRightInd w:val="0"/>
        <w:snapToGrid w:val="0"/>
        <w:spacing w:line="360" w:lineRule="auto"/>
        <w:ind w:firstLine="420"/>
        <w:rPr>
          <w:rFonts w:cs="宋体"/>
          <w:kern w:val="0"/>
          <w:szCs w:val="21"/>
        </w:rPr>
      </w:pPr>
      <w:r>
        <w:rPr>
          <w:rFonts w:cs="宋体"/>
          <w:kern w:val="0"/>
          <w:szCs w:val="21"/>
        </w:rPr>
        <w:t>L’Acheteur effectuera des paiements mensuels basés sur la quantité de travaux exécutés et conformes, dûment certifiée par les deux parties. Le Soumissionnaire doit soumettre sa demande de paiement avant le 25 de chaque mois. Le paiement sera effectué par le Maître d’ouvrage dans un délai de trente (30) jours après réception d’une demande complète et valide.</w:t>
      </w:r>
    </w:p>
    <w:p w14:paraId="4ACA6F4D">
      <w:pPr>
        <w:adjustRightInd w:val="0"/>
        <w:snapToGrid w:val="0"/>
        <w:spacing w:line="360" w:lineRule="auto"/>
        <w:ind w:firstLine="420"/>
        <w:rPr>
          <w:rFonts w:cs="宋体"/>
          <w:kern w:val="0"/>
          <w:szCs w:val="21"/>
        </w:rPr>
      </w:pPr>
      <w:r>
        <w:rPr>
          <w:rFonts w:cs="宋体"/>
          <w:kern w:val="0"/>
          <w:szCs w:val="21"/>
        </w:rPr>
        <w:t>3. Rétention de Garantie</w:t>
      </w:r>
    </w:p>
    <w:p w14:paraId="531CB310">
      <w:pPr>
        <w:adjustRightInd w:val="0"/>
        <w:snapToGrid w:val="0"/>
        <w:spacing w:line="360" w:lineRule="auto"/>
        <w:ind w:firstLine="420"/>
        <w:rPr>
          <w:rFonts w:cs="宋体"/>
          <w:kern w:val="0"/>
          <w:szCs w:val="21"/>
        </w:rPr>
      </w:pPr>
      <w:r>
        <w:rPr>
          <w:rFonts w:cs="宋体"/>
          <w:kern w:val="0"/>
          <w:szCs w:val="21"/>
        </w:rPr>
        <w:t>Trois pour cent (3%) du montant total de la facturation finale sera retenu à titre de garantie de bon fonctionnement. Cette somme sera libérée intégralement par le Maître d’ouvrage dans un délai de dix (10) jours ouvrables après l’expiration de la période de garantie concernée, et à condition qu’aucun défaut de qualité imputable au Soumissionnaire ne reste à corriger.</w:t>
      </w:r>
    </w:p>
    <w:bookmarkEnd w:id="71"/>
    <w:p w14:paraId="0F0E61B4">
      <w:pPr>
        <w:spacing w:line="360" w:lineRule="auto"/>
        <w:ind w:firstLine="420"/>
        <w:textAlignment w:val="baseline"/>
        <w:rPr>
          <w:rFonts w:cs="宋体"/>
          <w:kern w:val="0"/>
          <w:szCs w:val="21"/>
        </w:rPr>
      </w:pPr>
      <w:bookmarkStart w:id="74" w:name="_Toc12031"/>
      <w:bookmarkStart w:id="75" w:name="_Toc62856957"/>
      <w:r>
        <w:rPr>
          <w:rFonts w:hint="eastAsia" w:cs="宋体"/>
          <w:kern w:val="0"/>
          <w:szCs w:val="21"/>
        </w:rPr>
        <w:t>七、质量</w:t>
      </w:r>
      <w:bookmarkEnd w:id="72"/>
      <w:r>
        <w:rPr>
          <w:rFonts w:hint="eastAsia" w:cs="宋体"/>
          <w:kern w:val="0"/>
          <w:szCs w:val="21"/>
        </w:rPr>
        <w:t>缺陷责任期</w:t>
      </w:r>
      <w:bookmarkEnd w:id="73"/>
      <w:bookmarkEnd w:id="74"/>
      <w:bookmarkEnd w:id="75"/>
      <w:r>
        <w:rPr>
          <w:rFonts w:cs="宋体"/>
          <w:kern w:val="0"/>
          <w:szCs w:val="21"/>
        </w:rPr>
        <w:t xml:space="preserve"> Délai de </w:t>
      </w:r>
      <w:bookmarkStart w:id="76" w:name="OLE_LINK47"/>
      <w:r>
        <w:rPr>
          <w:rFonts w:cs="宋体"/>
          <w:kern w:val="0"/>
          <w:szCs w:val="21"/>
        </w:rPr>
        <w:t>garantie de</w:t>
      </w:r>
      <w:bookmarkEnd w:id="76"/>
      <w:r>
        <w:rPr>
          <w:rFonts w:cs="宋体"/>
          <w:kern w:val="0"/>
          <w:szCs w:val="21"/>
        </w:rPr>
        <w:t xml:space="preserve"> la qualité des travaux</w:t>
      </w:r>
    </w:p>
    <w:p w14:paraId="35C6F7A7">
      <w:pPr>
        <w:spacing w:line="360" w:lineRule="auto"/>
        <w:ind w:firstLine="420"/>
        <w:textAlignment w:val="baseline"/>
        <w:rPr>
          <w:rFonts w:cs="宋体"/>
          <w:kern w:val="0"/>
          <w:szCs w:val="21"/>
        </w:rPr>
      </w:pPr>
      <w:bookmarkStart w:id="77" w:name="_Toc62856958"/>
      <w:bookmarkStart w:id="78" w:name="_Toc22309659"/>
      <w:bookmarkStart w:id="79" w:name="_Toc463775123"/>
      <w:r>
        <w:rPr>
          <w:rFonts w:cs="宋体"/>
          <w:kern w:val="0"/>
          <w:szCs w:val="21"/>
        </w:rPr>
        <w:t>1</w:t>
      </w:r>
      <w:r>
        <w:rPr>
          <w:rFonts w:hint="eastAsia" w:cs="宋体"/>
          <w:kern w:val="0"/>
          <w:szCs w:val="21"/>
        </w:rPr>
        <w:t>年：质保期均自项目取得专区政府颁发的最终验收证书之日起计算。</w:t>
      </w:r>
    </w:p>
    <w:bookmarkEnd w:id="77"/>
    <w:p w14:paraId="2D17A387">
      <w:pPr>
        <w:spacing w:line="360" w:lineRule="auto"/>
        <w:ind w:firstLine="420"/>
        <w:textAlignment w:val="baseline"/>
        <w:rPr>
          <w:rFonts w:cs="宋体"/>
          <w:kern w:val="0"/>
          <w:szCs w:val="21"/>
        </w:rPr>
      </w:pPr>
      <w:bookmarkStart w:id="80" w:name="_Toc11269"/>
      <w:bookmarkStart w:id="81" w:name="_Toc62856959"/>
      <w:r>
        <w:rPr>
          <w:rFonts w:cs="宋体"/>
          <w:kern w:val="0"/>
          <w:szCs w:val="21"/>
        </w:rPr>
        <w:t>Un (1) an.</w:t>
      </w:r>
    </w:p>
    <w:p w14:paraId="7EE92E0F">
      <w:pPr>
        <w:spacing w:line="360" w:lineRule="auto"/>
        <w:ind w:firstLine="420"/>
        <w:textAlignment w:val="baseline"/>
        <w:rPr>
          <w:rFonts w:cs="宋体"/>
          <w:kern w:val="0"/>
          <w:szCs w:val="21"/>
        </w:rPr>
      </w:pPr>
      <w:r>
        <w:rPr>
          <w:rFonts w:cs="宋体"/>
          <w:kern w:val="0"/>
          <w:szCs w:val="21"/>
        </w:rPr>
        <w:t>Pour les travaux de voirie :Un (1) an.</w:t>
      </w:r>
      <w:r>
        <w:rPr>
          <w:rFonts w:hint="eastAsia" w:cs="宋体"/>
          <w:kern w:val="0"/>
          <w:szCs w:val="21"/>
        </w:rPr>
        <w:t xml:space="preserve"> </w:t>
      </w:r>
      <w:r>
        <w:rPr>
          <w:rFonts w:cs="宋体"/>
          <w:kern w:val="0"/>
          <w:szCs w:val="21"/>
        </w:rPr>
        <w:t>La période de garantie prend cours à compter de la date de délivrance du Procès-Verbal de Réception Définitive par la Préfecture concernée.</w:t>
      </w:r>
    </w:p>
    <w:p w14:paraId="5298E23F">
      <w:pPr>
        <w:spacing w:line="360" w:lineRule="auto"/>
        <w:ind w:firstLine="420"/>
        <w:textAlignment w:val="baseline"/>
        <w:rPr>
          <w:rFonts w:cs="宋体"/>
          <w:kern w:val="0"/>
          <w:szCs w:val="21"/>
        </w:rPr>
      </w:pPr>
      <w:r>
        <w:rPr>
          <w:rFonts w:hint="eastAsia" w:cs="宋体"/>
          <w:kern w:val="0"/>
          <w:szCs w:val="21"/>
        </w:rPr>
        <w:t>八、业主权利义务</w:t>
      </w:r>
      <w:bookmarkEnd w:id="78"/>
      <w:bookmarkEnd w:id="79"/>
      <w:bookmarkEnd w:id="80"/>
      <w:bookmarkEnd w:id="81"/>
      <w:r>
        <w:rPr>
          <w:rFonts w:cs="宋体"/>
          <w:kern w:val="0"/>
          <w:szCs w:val="21"/>
        </w:rPr>
        <w:t>Droits et obligations du Maître d’Ouvrage</w:t>
      </w:r>
    </w:p>
    <w:p w14:paraId="4E2C5AD6">
      <w:pPr>
        <w:spacing w:line="360" w:lineRule="auto"/>
        <w:ind w:firstLine="420"/>
        <w:textAlignment w:val="baseline"/>
        <w:rPr>
          <w:rFonts w:cs="宋体"/>
          <w:kern w:val="0"/>
          <w:szCs w:val="21"/>
        </w:rPr>
      </w:pPr>
      <w:r>
        <w:rPr>
          <w:rFonts w:cs="宋体"/>
          <w:kern w:val="0"/>
          <w:szCs w:val="21"/>
        </w:rPr>
        <w:t xml:space="preserve">8.1 </w:t>
      </w:r>
      <w:r>
        <w:rPr>
          <w:rFonts w:hint="eastAsia" w:cs="宋体"/>
          <w:kern w:val="0"/>
          <w:szCs w:val="21"/>
        </w:rPr>
        <w:t>业主负责，在开工前向承包商提供本合同项下施工作业所需的场地。</w:t>
      </w:r>
    </w:p>
    <w:p w14:paraId="16A59651">
      <w:pPr>
        <w:spacing w:line="360" w:lineRule="auto"/>
        <w:ind w:firstLine="420"/>
        <w:textAlignment w:val="baseline"/>
        <w:rPr>
          <w:rFonts w:cs="宋体"/>
          <w:kern w:val="0"/>
          <w:szCs w:val="21"/>
        </w:rPr>
      </w:pPr>
      <w:r>
        <w:rPr>
          <w:rFonts w:cs="宋体"/>
          <w:kern w:val="0"/>
          <w:szCs w:val="21"/>
        </w:rPr>
        <w:t xml:space="preserve">8.2 </w:t>
      </w:r>
      <w:bookmarkStart w:id="82" w:name="OLE_LINK170"/>
      <w:bookmarkStart w:id="83" w:name="OLE_LINK169"/>
      <w:r>
        <w:rPr>
          <w:rFonts w:hint="eastAsia" w:cs="宋体"/>
          <w:kern w:val="0"/>
          <w:szCs w:val="21"/>
        </w:rPr>
        <w:t>负责监督各项管理目标的落实和考核；</w:t>
      </w:r>
      <w:bookmarkStart w:id="84" w:name="OLE_LINK172"/>
      <w:bookmarkStart w:id="85" w:name="OLE_LINK171"/>
      <w:r>
        <w:rPr>
          <w:rFonts w:hint="eastAsia" w:cs="宋体"/>
          <w:kern w:val="0"/>
          <w:szCs w:val="21"/>
        </w:rPr>
        <w:t>督促承包商编制施工组织设计，编制施工计划</w:t>
      </w:r>
      <w:bookmarkEnd w:id="84"/>
      <w:bookmarkEnd w:id="85"/>
      <w:r>
        <w:rPr>
          <w:rFonts w:hint="eastAsia" w:cs="宋体"/>
          <w:kern w:val="0"/>
          <w:szCs w:val="21"/>
        </w:rPr>
        <w:t>；实施对工程质量、工期、安全生产、文明施工，计量检测等的控制、监督、检查和验收。</w:t>
      </w:r>
      <w:bookmarkEnd w:id="82"/>
      <w:bookmarkEnd w:id="83"/>
    </w:p>
    <w:p w14:paraId="69845B58">
      <w:pPr>
        <w:spacing w:line="360" w:lineRule="auto"/>
        <w:ind w:firstLine="420"/>
        <w:textAlignment w:val="baseline"/>
        <w:rPr>
          <w:rFonts w:cs="宋体"/>
          <w:kern w:val="0"/>
          <w:szCs w:val="21"/>
        </w:rPr>
      </w:pPr>
      <w:r>
        <w:rPr>
          <w:rFonts w:cs="宋体"/>
          <w:kern w:val="0"/>
          <w:szCs w:val="21"/>
        </w:rPr>
        <w:t>8.3</w:t>
      </w:r>
      <w:bookmarkStart w:id="86" w:name="OLE_LINK176"/>
      <w:bookmarkStart w:id="87" w:name="OLE_LINK175"/>
      <w:r>
        <w:rPr>
          <w:rFonts w:cs="宋体"/>
          <w:kern w:val="0"/>
          <w:szCs w:val="21"/>
        </w:rPr>
        <w:t xml:space="preserve"> </w:t>
      </w:r>
      <w:r>
        <w:rPr>
          <w:rFonts w:hint="eastAsia" w:cs="宋体"/>
          <w:kern w:val="0"/>
          <w:szCs w:val="21"/>
        </w:rPr>
        <w:t>负责工程</w:t>
      </w:r>
      <w:bookmarkStart w:id="88" w:name="OLE_LINK174"/>
      <w:bookmarkStart w:id="89" w:name="OLE_LINK173"/>
      <w:r>
        <w:rPr>
          <w:rFonts w:hint="eastAsia" w:cs="宋体"/>
          <w:kern w:val="0"/>
          <w:szCs w:val="21"/>
        </w:rPr>
        <w:t>测量定位</w:t>
      </w:r>
      <w:bookmarkEnd w:id="88"/>
      <w:bookmarkEnd w:id="89"/>
      <w:r>
        <w:rPr>
          <w:rFonts w:hint="eastAsia" w:cs="宋体"/>
          <w:kern w:val="0"/>
          <w:szCs w:val="21"/>
        </w:rPr>
        <w:t>、技术交底，统一安排技术档案资料的收集整理及交工验收</w:t>
      </w:r>
      <w:bookmarkEnd w:id="86"/>
      <w:bookmarkEnd w:id="87"/>
      <w:r>
        <w:rPr>
          <w:rFonts w:hint="eastAsia" w:cs="宋体"/>
          <w:kern w:val="0"/>
          <w:szCs w:val="21"/>
        </w:rPr>
        <w:t>。</w:t>
      </w:r>
    </w:p>
    <w:p w14:paraId="15B12878">
      <w:pPr>
        <w:spacing w:line="360" w:lineRule="auto"/>
        <w:ind w:firstLine="420"/>
        <w:textAlignment w:val="baseline"/>
        <w:rPr>
          <w:rFonts w:cs="宋体"/>
          <w:kern w:val="0"/>
          <w:szCs w:val="21"/>
        </w:rPr>
      </w:pPr>
      <w:bookmarkStart w:id="90" w:name="OLE_LINK183"/>
      <w:bookmarkStart w:id="91" w:name="OLE_LINK184"/>
      <w:r>
        <w:rPr>
          <w:rFonts w:cs="宋体"/>
          <w:kern w:val="0"/>
          <w:szCs w:val="21"/>
        </w:rPr>
        <w:t>8.4</w:t>
      </w:r>
      <w:bookmarkEnd w:id="90"/>
      <w:bookmarkEnd w:id="91"/>
      <w:r>
        <w:rPr>
          <w:rFonts w:hint="eastAsia" w:cs="宋体"/>
          <w:kern w:val="0"/>
          <w:szCs w:val="21"/>
        </w:rPr>
        <w:t>按本合同约定，及时向承包商支付合同价款。</w:t>
      </w:r>
    </w:p>
    <w:p w14:paraId="486A53D7">
      <w:pPr>
        <w:spacing w:line="360" w:lineRule="auto"/>
        <w:ind w:firstLine="420"/>
        <w:textAlignment w:val="baseline"/>
        <w:rPr>
          <w:rFonts w:cs="宋体"/>
          <w:kern w:val="0"/>
          <w:szCs w:val="21"/>
        </w:rPr>
      </w:pPr>
      <w:r>
        <w:rPr>
          <w:rFonts w:cs="宋体"/>
          <w:kern w:val="0"/>
          <w:szCs w:val="21"/>
        </w:rPr>
        <w:t>8.5</w:t>
      </w:r>
      <w:r>
        <w:rPr>
          <w:rFonts w:hint="eastAsia" w:cs="宋体"/>
          <w:kern w:val="0"/>
          <w:szCs w:val="21"/>
        </w:rPr>
        <w:t>当承包商的施工进度、质量、安全文明施工措施无法满足现场要求，业主有权对承包商的工作内容及工程量做出调整。</w:t>
      </w:r>
    </w:p>
    <w:p w14:paraId="321F4D8D">
      <w:pPr>
        <w:spacing w:line="360" w:lineRule="auto"/>
        <w:ind w:firstLine="420"/>
        <w:textAlignment w:val="baseline"/>
        <w:rPr>
          <w:rFonts w:cs="宋体"/>
          <w:kern w:val="0"/>
          <w:szCs w:val="21"/>
        </w:rPr>
      </w:pPr>
      <w:bookmarkStart w:id="92" w:name="_Toc62856961"/>
      <w:bookmarkStart w:id="93" w:name="_Toc22309660"/>
      <w:bookmarkStart w:id="94" w:name="_Toc463775124"/>
      <w:r>
        <w:rPr>
          <w:rFonts w:cs="宋体"/>
          <w:kern w:val="0"/>
          <w:szCs w:val="21"/>
        </w:rPr>
        <w:t>8.1 Le Maitre d’Ouvrage est responsable de mettre le site de construction demandé par le projet à la disposition de l’Entrepreneur avant le démarrage des travaux.</w:t>
      </w:r>
      <w:bookmarkEnd w:id="92"/>
    </w:p>
    <w:p w14:paraId="75EEEA05">
      <w:pPr>
        <w:spacing w:line="360" w:lineRule="auto"/>
        <w:ind w:firstLine="420"/>
        <w:textAlignment w:val="baseline"/>
        <w:rPr>
          <w:rFonts w:cs="宋体"/>
          <w:kern w:val="0"/>
          <w:szCs w:val="21"/>
        </w:rPr>
      </w:pPr>
      <w:bookmarkStart w:id="95" w:name="_Toc62856962"/>
      <w:r>
        <w:rPr>
          <w:rFonts w:cs="宋体"/>
          <w:kern w:val="0"/>
          <w:szCs w:val="21"/>
        </w:rPr>
        <w:t>8.2 Le Maître d’Ouvrage est responsable de surveiller et d’évaluer de divers objectifs de la gestion du projet: superviser l’Entrepreneur à élaborer la conception de l’organisation des travaux, du plan de construction ; mettre en œuvre le contrôle, la supervision, l’inspection et la réception de l’ouvrage sur la qualité, la durée de la construction, la sécurité et la civilisation d’exécution, les mesures et les essais, etc.</w:t>
      </w:r>
      <w:bookmarkEnd w:id="95"/>
    </w:p>
    <w:p w14:paraId="6994ACD0">
      <w:pPr>
        <w:spacing w:line="360" w:lineRule="auto"/>
        <w:ind w:firstLine="420"/>
        <w:textAlignment w:val="baseline"/>
        <w:rPr>
          <w:rFonts w:cs="宋体"/>
          <w:kern w:val="0"/>
          <w:szCs w:val="21"/>
        </w:rPr>
      </w:pPr>
      <w:bookmarkStart w:id="96" w:name="OLE_LINK178"/>
      <w:bookmarkStart w:id="97" w:name="OLE_LINK177"/>
      <w:bookmarkStart w:id="98" w:name="OLE_LINK179"/>
      <w:bookmarkStart w:id="99" w:name="OLE_LINK180"/>
      <w:bookmarkStart w:id="100" w:name="_Toc62856963"/>
      <w:r>
        <w:rPr>
          <w:rFonts w:cs="宋体"/>
          <w:kern w:val="0"/>
          <w:szCs w:val="21"/>
        </w:rPr>
        <w:t>8.3</w:t>
      </w:r>
      <w:bookmarkEnd w:id="96"/>
      <w:bookmarkEnd w:id="97"/>
      <w:r>
        <w:rPr>
          <w:rFonts w:cs="宋体"/>
          <w:kern w:val="0"/>
          <w:szCs w:val="21"/>
        </w:rPr>
        <w:t xml:space="preserve"> Le Maître d’Ouvrage est responsable de la mesure et du positionnement du projet, de l’éclaircissement technique, de l’organisation en général de la collecte de données d’archives techniques et de la réception d’ach</w:t>
      </w:r>
      <w:r>
        <w:rPr>
          <w:rFonts w:hint="eastAsia" w:cs="宋体"/>
          <w:kern w:val="0"/>
          <w:szCs w:val="21"/>
        </w:rPr>
        <w:t>è</w:t>
      </w:r>
      <w:r>
        <w:rPr>
          <w:rFonts w:cs="宋体"/>
          <w:kern w:val="0"/>
          <w:szCs w:val="21"/>
        </w:rPr>
        <w:t>vement</w:t>
      </w:r>
      <w:r>
        <w:rPr>
          <w:rFonts w:hint="eastAsia" w:cs="宋体"/>
          <w:kern w:val="0"/>
          <w:szCs w:val="21"/>
        </w:rPr>
        <w:t>．</w:t>
      </w:r>
      <w:bookmarkEnd w:id="98"/>
      <w:bookmarkEnd w:id="99"/>
      <w:bookmarkEnd w:id="100"/>
    </w:p>
    <w:p w14:paraId="07B69017">
      <w:pPr>
        <w:spacing w:line="360" w:lineRule="auto"/>
        <w:ind w:firstLine="420"/>
        <w:textAlignment w:val="baseline"/>
        <w:rPr>
          <w:kern w:val="0"/>
          <w:szCs w:val="21"/>
        </w:rPr>
      </w:pPr>
      <w:bookmarkStart w:id="101" w:name="_Toc62856964"/>
      <w:r>
        <w:rPr>
          <w:rFonts w:cs="宋体"/>
          <w:kern w:val="0"/>
          <w:szCs w:val="21"/>
        </w:rPr>
        <w:t xml:space="preserve">8.4 </w:t>
      </w:r>
      <w:r>
        <w:rPr>
          <w:kern w:val="0"/>
          <w:szCs w:val="21"/>
        </w:rPr>
        <w:t>Payer le montant du contrat en temps utile au l’Entrepreneur, comme convenu dans le présent contrat.</w:t>
      </w:r>
      <w:bookmarkEnd w:id="101"/>
    </w:p>
    <w:p w14:paraId="01C284BF">
      <w:pPr>
        <w:spacing w:line="360" w:lineRule="auto"/>
        <w:ind w:firstLine="420"/>
        <w:textAlignment w:val="baseline"/>
        <w:rPr>
          <w:kern w:val="0"/>
          <w:szCs w:val="21"/>
        </w:rPr>
      </w:pPr>
      <w:bookmarkStart w:id="102" w:name="_Toc62856965"/>
      <w:r>
        <w:rPr>
          <w:kern w:val="0"/>
          <w:szCs w:val="21"/>
        </w:rPr>
        <w:t xml:space="preserve">8.5 </w:t>
      </w:r>
      <w:bookmarkStart w:id="103" w:name="OLE_LINK187"/>
      <w:bookmarkStart w:id="104" w:name="OLE_LINK188"/>
      <w:r>
        <w:rPr>
          <w:kern w:val="0"/>
          <w:szCs w:val="21"/>
        </w:rPr>
        <w:t>Au cas où l’</w:t>
      </w:r>
      <w:bookmarkStart w:id="105" w:name="OLE_LINK190"/>
      <w:bookmarkStart w:id="106" w:name="OLE_LINK189"/>
      <w:r>
        <w:rPr>
          <w:kern w:val="0"/>
          <w:szCs w:val="21"/>
        </w:rPr>
        <w:t xml:space="preserve">avancement </w:t>
      </w:r>
      <w:bookmarkEnd w:id="105"/>
      <w:bookmarkEnd w:id="106"/>
      <w:r>
        <w:rPr>
          <w:kern w:val="0"/>
          <w:szCs w:val="21"/>
        </w:rPr>
        <w:t>des travaux de l’Entrepreneur</w:t>
      </w:r>
      <w:r>
        <w:rPr>
          <w:rFonts w:hint="eastAsia"/>
          <w:kern w:val="0"/>
          <w:szCs w:val="21"/>
        </w:rPr>
        <w:t>，</w:t>
      </w:r>
      <w:r>
        <w:rPr>
          <w:kern w:val="0"/>
          <w:szCs w:val="21"/>
        </w:rPr>
        <w:t>la qualit</w:t>
      </w:r>
      <w:r>
        <w:rPr>
          <w:rFonts w:hint="eastAsia"/>
          <w:kern w:val="0"/>
          <w:szCs w:val="21"/>
        </w:rPr>
        <w:t>é</w:t>
      </w:r>
      <w:r>
        <w:rPr>
          <w:kern w:val="0"/>
          <w:szCs w:val="21"/>
        </w:rPr>
        <w:t xml:space="preserve"> de projet</w:t>
      </w:r>
      <w:r>
        <w:rPr>
          <w:rFonts w:hint="eastAsia"/>
          <w:kern w:val="0"/>
          <w:szCs w:val="21"/>
        </w:rPr>
        <w:t>，</w:t>
      </w:r>
      <w:r>
        <w:rPr>
          <w:kern w:val="0"/>
          <w:szCs w:val="21"/>
        </w:rPr>
        <w:t>les mesures de la s</w:t>
      </w:r>
      <w:r>
        <w:rPr>
          <w:rFonts w:hint="eastAsia"/>
          <w:kern w:val="0"/>
          <w:szCs w:val="21"/>
        </w:rPr>
        <w:t>é</w:t>
      </w:r>
      <w:r>
        <w:rPr>
          <w:kern w:val="0"/>
          <w:szCs w:val="21"/>
        </w:rPr>
        <w:t>curit</w:t>
      </w:r>
      <w:r>
        <w:rPr>
          <w:rFonts w:hint="eastAsia"/>
          <w:kern w:val="0"/>
          <w:szCs w:val="21"/>
        </w:rPr>
        <w:t>é</w:t>
      </w:r>
      <w:r>
        <w:rPr>
          <w:kern w:val="0"/>
          <w:szCs w:val="21"/>
        </w:rPr>
        <w:t xml:space="preserve"> et de l’activité civilisées ne peuvent pas</w:t>
      </w:r>
      <w:bookmarkStart w:id="107" w:name="OLE_LINK185"/>
      <w:bookmarkStart w:id="108" w:name="OLE_LINK186"/>
      <w:r>
        <w:rPr>
          <w:kern w:val="0"/>
          <w:szCs w:val="21"/>
        </w:rPr>
        <w:t xml:space="preserve"> </w:t>
      </w:r>
      <w:bookmarkEnd w:id="107"/>
      <w:bookmarkEnd w:id="108"/>
      <w:r>
        <w:rPr>
          <w:kern w:val="0"/>
          <w:szCs w:val="21"/>
        </w:rPr>
        <w:t>répondre aux exigences du site, le Maître d’Ouvrage a le droit de modifier les contenus et les volumes des travaux de l’entrepreneur.</w:t>
      </w:r>
      <w:bookmarkEnd w:id="102"/>
      <w:bookmarkEnd w:id="103"/>
      <w:bookmarkEnd w:id="104"/>
    </w:p>
    <w:p w14:paraId="1E6B4451">
      <w:pPr>
        <w:spacing w:line="360" w:lineRule="auto"/>
        <w:ind w:firstLine="420"/>
        <w:textAlignment w:val="baseline"/>
        <w:rPr>
          <w:rFonts w:cs="宋体"/>
          <w:kern w:val="0"/>
          <w:szCs w:val="21"/>
        </w:rPr>
      </w:pPr>
      <w:bookmarkStart w:id="109" w:name="_Toc17261"/>
      <w:bookmarkStart w:id="110" w:name="_Toc62856966"/>
      <w:r>
        <w:rPr>
          <w:rFonts w:hint="eastAsia" w:cs="宋体"/>
          <w:kern w:val="0"/>
          <w:szCs w:val="21"/>
        </w:rPr>
        <w:t>九、承包商权利义务</w:t>
      </w:r>
      <w:bookmarkEnd w:id="93"/>
      <w:bookmarkEnd w:id="94"/>
      <w:bookmarkEnd w:id="109"/>
      <w:bookmarkEnd w:id="110"/>
      <w:r>
        <w:rPr>
          <w:rFonts w:cs="宋体"/>
          <w:kern w:val="0"/>
          <w:szCs w:val="21"/>
        </w:rPr>
        <w:t xml:space="preserve"> Droits et obligations de l’Entrepreneur</w:t>
      </w:r>
    </w:p>
    <w:p w14:paraId="1428A25C">
      <w:pPr>
        <w:spacing w:line="360" w:lineRule="auto"/>
        <w:ind w:firstLine="420"/>
        <w:textAlignment w:val="baseline"/>
        <w:rPr>
          <w:rFonts w:cs="宋体"/>
          <w:kern w:val="0"/>
          <w:szCs w:val="21"/>
        </w:rPr>
      </w:pPr>
      <w:r>
        <w:rPr>
          <w:rFonts w:cs="宋体"/>
          <w:kern w:val="0"/>
          <w:szCs w:val="21"/>
        </w:rPr>
        <w:t xml:space="preserve">9.1 </w:t>
      </w:r>
      <w:r>
        <w:rPr>
          <w:rFonts w:hint="eastAsia" w:cs="宋体"/>
          <w:kern w:val="0"/>
          <w:szCs w:val="21"/>
        </w:rPr>
        <w:t>对本合同范围内的工程质量向业主负责，组织熟练工人投入工作，自觉遵守法律法规及有关规章制度。</w:t>
      </w:r>
    </w:p>
    <w:p w14:paraId="75E9601C">
      <w:pPr>
        <w:spacing w:line="360" w:lineRule="auto"/>
        <w:ind w:firstLine="420"/>
        <w:textAlignment w:val="baseline"/>
        <w:rPr>
          <w:rFonts w:cs="宋体"/>
          <w:kern w:val="0"/>
          <w:szCs w:val="21"/>
        </w:rPr>
      </w:pPr>
      <w:r>
        <w:rPr>
          <w:rFonts w:cs="宋体"/>
          <w:kern w:val="0"/>
          <w:szCs w:val="21"/>
        </w:rPr>
        <w:t xml:space="preserve">9.2 </w:t>
      </w:r>
      <w:bookmarkStart w:id="111" w:name="OLE_LINK193"/>
      <w:bookmarkStart w:id="112" w:name="OLE_LINK194"/>
      <w:r>
        <w:rPr>
          <w:rFonts w:hint="eastAsia" w:cs="宋体"/>
          <w:kern w:val="0"/>
          <w:szCs w:val="21"/>
        </w:rPr>
        <w:t>严格按照设计方案</w:t>
      </w:r>
      <w:bookmarkEnd w:id="111"/>
      <w:bookmarkEnd w:id="112"/>
      <w:r>
        <w:rPr>
          <w:rFonts w:hint="eastAsia" w:cs="宋体"/>
          <w:kern w:val="0"/>
          <w:szCs w:val="21"/>
        </w:rPr>
        <w:t>、施工验收规范、有关技术要求及施工组织设计精心组织施工，确保工程质量达到合同约定的标准。科学安排作业计划，投入足够的人力、物力，保证工期。加强安全教育，认真执行安全技术规范，严格遵守安全制度，落实安全措施，确保施工安全。加强现场管理，严格执行当地环保、消防等有关部门对施工现场的管理规定，做到文明施工。</w:t>
      </w:r>
    </w:p>
    <w:p w14:paraId="15191753">
      <w:pPr>
        <w:spacing w:line="360" w:lineRule="auto"/>
        <w:ind w:firstLine="420"/>
        <w:textAlignment w:val="baseline"/>
        <w:rPr>
          <w:rFonts w:cs="宋体"/>
          <w:kern w:val="0"/>
          <w:szCs w:val="21"/>
        </w:rPr>
      </w:pPr>
      <w:r>
        <w:rPr>
          <w:rFonts w:cs="宋体"/>
          <w:kern w:val="0"/>
          <w:szCs w:val="21"/>
        </w:rPr>
        <w:t xml:space="preserve">9.3 </w:t>
      </w:r>
      <w:r>
        <w:rPr>
          <w:rFonts w:hint="eastAsia" w:cs="宋体"/>
          <w:kern w:val="0"/>
          <w:szCs w:val="21"/>
        </w:rPr>
        <w:t>承包商要严格执行几内亚劳工保护规定，提供合格的生活和工作条件。自觉接受业主及有关部门的管理、监督和检查。接受业主随时检查其施工设备、材料保管、使用情况，及其操作人员的有效证件、持证上岗情况。</w:t>
      </w:r>
    </w:p>
    <w:p w14:paraId="7EA07615">
      <w:pPr>
        <w:spacing w:line="360" w:lineRule="auto"/>
        <w:ind w:firstLine="420"/>
        <w:textAlignment w:val="baseline"/>
        <w:rPr>
          <w:rFonts w:cs="宋体"/>
          <w:kern w:val="0"/>
          <w:szCs w:val="21"/>
        </w:rPr>
      </w:pPr>
      <w:r>
        <w:rPr>
          <w:rFonts w:cs="宋体"/>
          <w:kern w:val="0"/>
          <w:szCs w:val="21"/>
        </w:rPr>
        <w:t xml:space="preserve">9.4 </w:t>
      </w:r>
      <w:r>
        <w:rPr>
          <w:rFonts w:hint="eastAsia" w:cs="宋体"/>
          <w:kern w:val="0"/>
          <w:szCs w:val="21"/>
        </w:rPr>
        <w:t>承包商在现场堆放材料应保证不妨碍公共安全、不影响交通，同时保护好施工现场的环境。</w:t>
      </w:r>
    </w:p>
    <w:p w14:paraId="6CDF06E7">
      <w:pPr>
        <w:spacing w:line="360" w:lineRule="auto"/>
        <w:ind w:firstLine="420"/>
        <w:textAlignment w:val="baseline"/>
        <w:rPr>
          <w:rFonts w:cs="宋体"/>
          <w:kern w:val="0"/>
          <w:szCs w:val="21"/>
        </w:rPr>
      </w:pPr>
      <w:r>
        <w:rPr>
          <w:rFonts w:cs="宋体"/>
          <w:kern w:val="0"/>
          <w:szCs w:val="21"/>
        </w:rPr>
        <w:t xml:space="preserve">9.5 </w:t>
      </w:r>
      <w:r>
        <w:rPr>
          <w:rFonts w:hint="eastAsia" w:cs="宋体"/>
          <w:kern w:val="0"/>
          <w:szCs w:val="21"/>
        </w:rPr>
        <w:t>负责协调与当地居民及政府的协调工作并承担与项目施工有关的所有费用。</w:t>
      </w:r>
    </w:p>
    <w:p w14:paraId="4318AEC0">
      <w:pPr>
        <w:spacing w:line="360" w:lineRule="auto"/>
        <w:ind w:firstLine="420"/>
        <w:textAlignment w:val="baseline"/>
        <w:rPr>
          <w:rFonts w:cs="宋体"/>
          <w:kern w:val="0"/>
          <w:szCs w:val="21"/>
        </w:rPr>
      </w:pPr>
      <w:r>
        <w:rPr>
          <w:rFonts w:cs="宋体"/>
          <w:kern w:val="0"/>
          <w:szCs w:val="21"/>
        </w:rPr>
        <w:t>9.6</w:t>
      </w:r>
      <w:r>
        <w:rPr>
          <w:rFonts w:hint="eastAsia" w:cs="宋体"/>
          <w:kern w:val="0"/>
          <w:szCs w:val="21"/>
        </w:rPr>
        <w:t>按时提交报表、完整的原始技术经济资料，配合业主办理竣工验收。</w:t>
      </w:r>
    </w:p>
    <w:p w14:paraId="24F4C5B5">
      <w:pPr>
        <w:spacing w:line="360" w:lineRule="auto"/>
        <w:ind w:firstLine="420"/>
        <w:textAlignment w:val="baseline"/>
        <w:rPr>
          <w:rFonts w:cs="宋体"/>
          <w:kern w:val="0"/>
          <w:szCs w:val="21"/>
        </w:rPr>
      </w:pPr>
      <w:r>
        <w:rPr>
          <w:rFonts w:cs="宋体"/>
          <w:kern w:val="0"/>
          <w:szCs w:val="21"/>
        </w:rPr>
        <w:t xml:space="preserve">9.7 </w:t>
      </w:r>
      <w:r>
        <w:rPr>
          <w:rFonts w:hint="eastAsia" w:cs="宋体"/>
          <w:kern w:val="0"/>
          <w:szCs w:val="21"/>
        </w:rPr>
        <w:t>承包商自行解决水、电等接入，费用已在合同价中。按照几内亚当地法律要求，承包商自费负责工地设施的建设和保养，包括修建通往工地的道路。</w:t>
      </w:r>
      <w:bookmarkStart w:id="113" w:name="_Toc22309661"/>
      <w:bookmarkStart w:id="114" w:name="_Toc463775125"/>
    </w:p>
    <w:p w14:paraId="5D516EF1">
      <w:pPr>
        <w:spacing w:line="360" w:lineRule="auto"/>
        <w:ind w:firstLine="420"/>
        <w:textAlignment w:val="baseline"/>
        <w:rPr>
          <w:rFonts w:cs="宋体"/>
          <w:kern w:val="0"/>
          <w:szCs w:val="21"/>
        </w:rPr>
      </w:pPr>
      <w:r>
        <w:rPr>
          <w:rFonts w:cs="宋体"/>
          <w:kern w:val="0"/>
          <w:szCs w:val="21"/>
        </w:rPr>
        <w:t>9.8</w:t>
      </w:r>
      <w:r>
        <w:rPr>
          <w:rFonts w:hint="eastAsia" w:cs="宋体"/>
          <w:kern w:val="0"/>
          <w:szCs w:val="21"/>
        </w:rPr>
        <w:t>承包商管理</w:t>
      </w:r>
    </w:p>
    <w:p w14:paraId="181A0A9D">
      <w:pPr>
        <w:spacing w:line="360" w:lineRule="auto"/>
        <w:ind w:firstLine="420"/>
        <w:textAlignment w:val="baseline"/>
        <w:rPr>
          <w:rFonts w:cs="宋体"/>
          <w:kern w:val="0"/>
          <w:szCs w:val="21"/>
        </w:rPr>
      </w:pPr>
      <w:r>
        <w:rPr>
          <w:rFonts w:hint="eastAsia" w:cs="宋体"/>
          <w:kern w:val="0"/>
          <w:szCs w:val="21"/>
        </w:rPr>
        <w:t>承包商在接到开工通知后</w:t>
      </w:r>
      <w:r>
        <w:rPr>
          <w:rFonts w:cs="宋体"/>
          <w:kern w:val="0"/>
          <w:szCs w:val="21"/>
        </w:rPr>
        <w:t>10</w:t>
      </w:r>
      <w:r>
        <w:rPr>
          <w:rFonts w:hint="eastAsia" w:cs="宋体"/>
          <w:kern w:val="0"/>
          <w:szCs w:val="21"/>
        </w:rPr>
        <w:t>天内，应向业主提交承包商在施工场地的管理机构以及人员安排说明，并定期向业主提交施工场地人员变动情况的报告。在投标阶段拟派的项目经理不得擅自更换，其离开和撤换需征得业主同意。</w:t>
      </w:r>
    </w:p>
    <w:p w14:paraId="3A15F490">
      <w:pPr>
        <w:spacing w:line="360" w:lineRule="auto"/>
        <w:ind w:firstLine="420"/>
        <w:textAlignment w:val="baseline"/>
        <w:rPr>
          <w:rFonts w:cs="宋体"/>
          <w:kern w:val="0"/>
          <w:szCs w:val="21"/>
        </w:rPr>
      </w:pPr>
      <w:r>
        <w:rPr>
          <w:rFonts w:cs="宋体"/>
          <w:kern w:val="0"/>
          <w:szCs w:val="21"/>
        </w:rPr>
        <w:t>9.</w:t>
      </w:r>
      <w:r>
        <w:rPr>
          <w:rFonts w:hint="eastAsia" w:cs="宋体"/>
          <w:kern w:val="0"/>
          <w:szCs w:val="21"/>
          <w:lang w:val="en-US"/>
        </w:rPr>
        <w:t>9</w:t>
      </w:r>
      <w:r>
        <w:rPr>
          <w:rFonts w:hint="eastAsia" w:cs="宋体"/>
          <w:kern w:val="0"/>
          <w:szCs w:val="21"/>
        </w:rPr>
        <w:t>确保工期进度</w:t>
      </w:r>
    </w:p>
    <w:p w14:paraId="775415BF">
      <w:pPr>
        <w:spacing w:line="360" w:lineRule="auto"/>
        <w:ind w:firstLine="420"/>
        <w:textAlignment w:val="baseline"/>
        <w:rPr>
          <w:rFonts w:cs="宋体"/>
          <w:kern w:val="0"/>
          <w:szCs w:val="21"/>
        </w:rPr>
      </w:pPr>
      <w:r>
        <w:rPr>
          <w:rFonts w:hint="eastAsia" w:cs="宋体"/>
          <w:kern w:val="0"/>
          <w:szCs w:val="21"/>
        </w:rPr>
        <w:t>无论何种原因造成施工计划进度滞后，承包商均应按照业主的指示，采取有效措施跟进，并及时将合同进度修改计划报送业主审批备案。</w:t>
      </w:r>
    </w:p>
    <w:p w14:paraId="6FD32DA1">
      <w:pPr>
        <w:spacing w:line="360" w:lineRule="auto"/>
        <w:ind w:firstLine="420"/>
        <w:textAlignment w:val="baseline"/>
        <w:rPr>
          <w:rFonts w:cs="宋体"/>
          <w:kern w:val="0"/>
          <w:szCs w:val="21"/>
        </w:rPr>
      </w:pPr>
      <w:bookmarkStart w:id="115" w:name="_Toc62856968"/>
      <w:r>
        <w:rPr>
          <w:rFonts w:cs="宋体"/>
          <w:kern w:val="0"/>
          <w:szCs w:val="21"/>
        </w:rPr>
        <w:t xml:space="preserve">9.1 L’Entrepreneur est responsable de la qualité de projet vis-à-vis du Maitre d’Ouvrage dans le cadre du présent contrat et fournit les travailleurs qualifiés correspondants, et respecte </w:t>
      </w:r>
      <w:bookmarkStart w:id="116" w:name="OLE_LINK192"/>
      <w:bookmarkStart w:id="117" w:name="OLE_LINK191"/>
      <w:r>
        <w:rPr>
          <w:rFonts w:cs="宋体"/>
          <w:kern w:val="0"/>
          <w:szCs w:val="21"/>
        </w:rPr>
        <w:t xml:space="preserve">scrupuleusement </w:t>
      </w:r>
      <w:bookmarkEnd w:id="116"/>
      <w:bookmarkEnd w:id="117"/>
      <w:r>
        <w:rPr>
          <w:rFonts w:cs="宋体"/>
          <w:kern w:val="0"/>
          <w:szCs w:val="21"/>
        </w:rPr>
        <w:t>les lois et règlements pertinentes.</w:t>
      </w:r>
      <w:bookmarkEnd w:id="115"/>
    </w:p>
    <w:p w14:paraId="138A7366">
      <w:pPr>
        <w:spacing w:line="360" w:lineRule="auto"/>
        <w:ind w:firstLine="420"/>
        <w:textAlignment w:val="baseline"/>
        <w:rPr>
          <w:rFonts w:cs="宋体"/>
          <w:kern w:val="0"/>
          <w:szCs w:val="21"/>
        </w:rPr>
      </w:pPr>
      <w:bookmarkStart w:id="118" w:name="_Toc62856969"/>
      <w:r>
        <w:rPr>
          <w:rFonts w:cs="宋体"/>
          <w:kern w:val="0"/>
          <w:szCs w:val="21"/>
        </w:rPr>
        <w:t>9.2 L’Entrepreneur doit suivre scrupuleusement les dessins de conception, les spécifications de la réception des travaux, les exigences techniques et la conception de l’organisation de la construction pour organiser les travaux de mani</w:t>
      </w:r>
      <w:r>
        <w:rPr>
          <w:rFonts w:hint="eastAsia" w:cs="宋体"/>
          <w:kern w:val="0"/>
          <w:szCs w:val="21"/>
        </w:rPr>
        <w:t>è</w:t>
      </w:r>
      <w:r>
        <w:rPr>
          <w:rFonts w:cs="宋体"/>
          <w:kern w:val="0"/>
          <w:szCs w:val="21"/>
        </w:rPr>
        <w:t xml:space="preserve">re </w:t>
      </w:r>
      <w:r>
        <w:rPr>
          <w:rFonts w:hint="eastAsia" w:cs="宋体"/>
          <w:kern w:val="0"/>
          <w:szCs w:val="21"/>
        </w:rPr>
        <w:t>à</w:t>
      </w:r>
      <w:r>
        <w:rPr>
          <w:rFonts w:cs="宋体"/>
          <w:kern w:val="0"/>
          <w:szCs w:val="21"/>
        </w:rPr>
        <w:t xml:space="preserve"> ce que la qualit</w:t>
      </w:r>
      <w:r>
        <w:rPr>
          <w:rFonts w:hint="eastAsia" w:cs="宋体"/>
          <w:kern w:val="0"/>
          <w:szCs w:val="21"/>
        </w:rPr>
        <w:t>é</w:t>
      </w:r>
      <w:r>
        <w:rPr>
          <w:rFonts w:cs="宋体"/>
          <w:kern w:val="0"/>
          <w:szCs w:val="21"/>
        </w:rPr>
        <w:t xml:space="preserve"> du projet soit conforme aux normes contractuelles</w:t>
      </w:r>
      <w:r>
        <w:rPr>
          <w:rFonts w:hint="eastAsia" w:cs="宋体"/>
          <w:kern w:val="0"/>
          <w:szCs w:val="21"/>
        </w:rPr>
        <w:t>；</w:t>
      </w:r>
      <w:r>
        <w:rPr>
          <w:rFonts w:cs="宋体"/>
          <w:kern w:val="0"/>
          <w:szCs w:val="21"/>
        </w:rPr>
        <w:t>Organiser scientifiquement des plans de travail, investir suffisamment de main-d’œuvres et de ressources matérielles pour assurer la période d’exécution. Renforcer l’éducation à la sécurité, appliquer consciencieusement les spécifications techniques de sécurité, respecter scrupuleusement les systèmes de sécurité, mettre en œuvre les mesures de sécurité et assurer la sécurité de la construction. Renforcement de la gestion du site, application stricte des règlements de la protection de l’environnement local, de la lutte contre les incendies et d’autres départements concernés par la gestion du site de construction, et réalisation d’une construction civilisée.</w:t>
      </w:r>
    </w:p>
    <w:bookmarkEnd w:id="118"/>
    <w:p w14:paraId="4179D7E9">
      <w:pPr>
        <w:spacing w:line="360" w:lineRule="auto"/>
        <w:ind w:firstLine="420"/>
        <w:textAlignment w:val="baseline"/>
        <w:rPr>
          <w:rFonts w:cs="宋体"/>
          <w:kern w:val="0"/>
          <w:szCs w:val="21"/>
        </w:rPr>
      </w:pPr>
      <w:bookmarkStart w:id="119" w:name="_Toc62856970"/>
      <w:r>
        <w:rPr>
          <w:rFonts w:cs="宋体"/>
          <w:kern w:val="0"/>
          <w:szCs w:val="21"/>
        </w:rPr>
        <w:t>9.3 L’Entrepreneur applique strictement la réglementation relative à la protection du travail en République de Guinée et offre des conditions de vie et de travail qualifiées. Accepter consciemment la gestion, la supervision et l’inspection du Maître d’Ouvrage et des départements concernés. Accepter à tout moment l’inspection par le Maître d’Ouvrage de ses équipements de construction, du stockage et de l’utilisation des matériaux, ainsi que des documents valides et de la certification de ses opérateurs.</w:t>
      </w:r>
      <w:bookmarkEnd w:id="119"/>
      <w:bookmarkStart w:id="120" w:name="_Toc62856971"/>
    </w:p>
    <w:p w14:paraId="7A5CE6E6">
      <w:pPr>
        <w:spacing w:line="360" w:lineRule="auto"/>
        <w:ind w:firstLine="420"/>
        <w:textAlignment w:val="baseline"/>
        <w:rPr>
          <w:rFonts w:cs="宋体"/>
          <w:kern w:val="0"/>
          <w:szCs w:val="21"/>
        </w:rPr>
      </w:pPr>
      <w:r>
        <w:rPr>
          <w:rFonts w:cs="宋体"/>
          <w:kern w:val="0"/>
          <w:szCs w:val="21"/>
        </w:rPr>
        <w:t xml:space="preserve">9.4 </w:t>
      </w:r>
      <w:bookmarkEnd w:id="120"/>
      <w:bookmarkStart w:id="121" w:name="_Toc62856972"/>
      <w:r>
        <w:rPr>
          <w:rFonts w:cs="宋体"/>
          <w:kern w:val="0"/>
          <w:szCs w:val="21"/>
        </w:rPr>
        <w:t>Le sous-traitant doit empiler les matériaux sur le chantier de manière à ce qu’ils n’entravent pas la sécurité publique et ne gênent pas la circulation, tout en protégeant l’environnement du site de construction.</w:t>
      </w:r>
    </w:p>
    <w:p w14:paraId="5912FCEA">
      <w:pPr>
        <w:spacing w:line="360" w:lineRule="auto"/>
        <w:ind w:firstLine="420"/>
        <w:textAlignment w:val="baseline"/>
        <w:rPr>
          <w:rFonts w:cs="宋体"/>
          <w:kern w:val="0"/>
          <w:szCs w:val="21"/>
        </w:rPr>
      </w:pPr>
      <w:r>
        <w:rPr>
          <w:rFonts w:cs="宋体"/>
          <w:kern w:val="0"/>
          <w:szCs w:val="21"/>
        </w:rPr>
        <w:t xml:space="preserve">9.5 L’Entrepreneur est responsable de la coordination de la relation avec les communautés locaux et le </w:t>
      </w:r>
      <w:bookmarkEnd w:id="121"/>
      <w:r>
        <w:rPr>
          <w:rFonts w:cs="宋体"/>
          <w:kern w:val="0"/>
          <w:szCs w:val="21"/>
        </w:rPr>
        <w:t>gouvernement.</w:t>
      </w:r>
    </w:p>
    <w:p w14:paraId="487D847C">
      <w:pPr>
        <w:spacing w:line="360" w:lineRule="auto"/>
        <w:ind w:firstLine="420"/>
        <w:textAlignment w:val="baseline"/>
        <w:rPr>
          <w:rFonts w:cs="宋体"/>
          <w:kern w:val="0"/>
          <w:szCs w:val="21"/>
        </w:rPr>
      </w:pPr>
      <w:bookmarkStart w:id="122" w:name="_Toc62856973"/>
      <w:r>
        <w:rPr>
          <w:rFonts w:cs="宋体"/>
          <w:kern w:val="0"/>
          <w:szCs w:val="21"/>
        </w:rPr>
        <w:t>9.6 Soumettez le rapport à temps, complétez les documents des données techniques et économiques originales et coopérez avec le Maître d’Ouvrage pour effectuer la réception d’ouvrage.</w:t>
      </w:r>
      <w:bookmarkEnd w:id="122"/>
    </w:p>
    <w:p w14:paraId="12505CF8">
      <w:pPr>
        <w:spacing w:line="360" w:lineRule="auto"/>
        <w:ind w:firstLine="420"/>
        <w:textAlignment w:val="baseline"/>
        <w:rPr>
          <w:rFonts w:cs="宋体"/>
          <w:kern w:val="0"/>
          <w:szCs w:val="21"/>
        </w:rPr>
      </w:pPr>
      <w:bookmarkStart w:id="123" w:name="_Toc62856974"/>
      <w:r>
        <w:rPr>
          <w:rFonts w:cs="宋体"/>
          <w:kern w:val="0"/>
          <w:szCs w:val="21"/>
        </w:rPr>
        <w:t>9.7 L’Entrepreneur est responsable d’alimentation en eau et en électricité, et tous les coûts occasionnés sont déjà inclus dans le prix total du contrat. L’entrepreneur est responsable, ses propres frais, de la construction et de l’entretien des installations du site, y compris la construction des routes d’accès au site, conformément à la législation locale guinéenne.</w:t>
      </w:r>
      <w:bookmarkEnd w:id="123"/>
    </w:p>
    <w:p w14:paraId="300B5A5B">
      <w:pPr>
        <w:spacing w:line="360" w:lineRule="auto"/>
        <w:ind w:firstLine="420"/>
        <w:textAlignment w:val="baseline"/>
        <w:rPr>
          <w:rFonts w:cs="宋体"/>
          <w:kern w:val="0"/>
          <w:szCs w:val="21"/>
        </w:rPr>
      </w:pPr>
      <w:r>
        <w:rPr>
          <w:rFonts w:cs="宋体"/>
          <w:kern w:val="0"/>
          <w:szCs w:val="21"/>
        </w:rPr>
        <w:t xml:space="preserve">9.8 Gestion de l’Entrepreneur </w:t>
      </w:r>
    </w:p>
    <w:p w14:paraId="3E961ABE">
      <w:pPr>
        <w:spacing w:line="360" w:lineRule="auto"/>
        <w:ind w:firstLine="420"/>
        <w:textAlignment w:val="baseline"/>
        <w:rPr>
          <w:rFonts w:cs="宋体"/>
          <w:kern w:val="0"/>
          <w:szCs w:val="21"/>
        </w:rPr>
      </w:pPr>
      <w:r>
        <w:rPr>
          <w:rFonts w:cs="宋体"/>
          <w:kern w:val="0"/>
          <w:szCs w:val="21"/>
        </w:rPr>
        <w:t>L’Entrepreneur doit soumettre au Maître d’Ouvrage, dans les 10 jours suivant la réception de l’avis de début des travaux, une description de la structure de gestion sur le chantier et des dispositions relatives au personnel, et soumettre des rapports périodiques à l’ingénieur du Maître d’Ouvrage sur les changements de personnel sur le chantier. Le directeur de projet qu’il est proposé d’affecter au cours de la phase d’appel d’offres ne peut être remplacé sans autorisation, et son départ et sa révocation doit être accorder par le Maitre d’Ouvrage.</w:t>
      </w:r>
    </w:p>
    <w:p w14:paraId="1F8CC204">
      <w:pPr>
        <w:spacing w:line="360" w:lineRule="auto"/>
        <w:ind w:firstLine="420"/>
        <w:textAlignment w:val="baseline"/>
        <w:rPr>
          <w:rFonts w:cs="宋体"/>
          <w:kern w:val="0"/>
          <w:szCs w:val="21"/>
        </w:rPr>
      </w:pPr>
      <w:r>
        <w:rPr>
          <w:rFonts w:cs="宋体"/>
          <w:kern w:val="0"/>
          <w:szCs w:val="21"/>
        </w:rPr>
        <w:t>9.9 Garantie le déroulement des travaux</w:t>
      </w:r>
    </w:p>
    <w:p w14:paraId="75FBE8DE">
      <w:pPr>
        <w:spacing w:line="360" w:lineRule="auto"/>
        <w:ind w:firstLine="420"/>
        <w:textAlignment w:val="baseline"/>
        <w:rPr>
          <w:rFonts w:cs="宋体"/>
          <w:kern w:val="0"/>
          <w:szCs w:val="21"/>
        </w:rPr>
      </w:pPr>
      <w:r>
        <w:rPr>
          <w:rFonts w:cs="宋体"/>
          <w:kern w:val="0"/>
          <w:szCs w:val="21"/>
        </w:rPr>
        <w:t>Quelles que soient les raisons du retard dans le déroulement des travaux, l’Entrepreneur doit prendre des mesures efficaces conformément aux instructions du Maître d’Ouvrage et soumettre le plan de modification de l’avancement des travaux au Maître d’Ouvrage pour l’approbation et l’enregistrement à temps.</w:t>
      </w:r>
    </w:p>
    <w:p w14:paraId="5C218F8C">
      <w:pPr>
        <w:spacing w:line="360" w:lineRule="auto"/>
        <w:ind w:firstLine="420"/>
        <w:textAlignment w:val="baseline"/>
        <w:rPr>
          <w:rFonts w:cs="宋体"/>
          <w:kern w:val="0"/>
          <w:szCs w:val="21"/>
        </w:rPr>
      </w:pPr>
      <w:bookmarkStart w:id="124" w:name="_Toc28154"/>
      <w:bookmarkStart w:id="125" w:name="_Toc62856975"/>
      <w:r>
        <w:rPr>
          <w:rFonts w:hint="eastAsia" w:cs="宋体"/>
          <w:kern w:val="0"/>
          <w:szCs w:val="21"/>
        </w:rPr>
        <w:t>十、</w:t>
      </w:r>
      <w:r>
        <w:rPr>
          <w:rFonts w:cs="宋体"/>
          <w:kern w:val="0"/>
          <w:szCs w:val="21"/>
        </w:rPr>
        <w:t xml:space="preserve"> </w:t>
      </w:r>
      <w:r>
        <w:rPr>
          <w:rFonts w:hint="eastAsia" w:cs="宋体"/>
          <w:kern w:val="0"/>
          <w:szCs w:val="21"/>
        </w:rPr>
        <w:t>施工准备</w:t>
      </w:r>
      <w:bookmarkEnd w:id="113"/>
      <w:bookmarkEnd w:id="114"/>
      <w:bookmarkEnd w:id="124"/>
      <w:bookmarkEnd w:id="125"/>
      <w:r>
        <w:rPr>
          <w:rFonts w:cs="宋体"/>
          <w:kern w:val="0"/>
          <w:szCs w:val="21"/>
        </w:rPr>
        <w:t xml:space="preserve"> Préparation de la construction</w:t>
      </w:r>
    </w:p>
    <w:p w14:paraId="0E8CD44A">
      <w:pPr>
        <w:spacing w:line="360" w:lineRule="auto"/>
        <w:ind w:firstLine="420"/>
        <w:textAlignment w:val="baseline"/>
        <w:rPr>
          <w:rFonts w:cs="宋体"/>
          <w:kern w:val="0"/>
          <w:szCs w:val="21"/>
        </w:rPr>
      </w:pPr>
      <w:r>
        <w:rPr>
          <w:rFonts w:cs="宋体"/>
          <w:kern w:val="0"/>
          <w:szCs w:val="21"/>
        </w:rPr>
        <w:t xml:space="preserve">10.1 </w:t>
      </w:r>
      <w:bookmarkStart w:id="126" w:name="OLE_LINK200"/>
      <w:bookmarkStart w:id="127" w:name="OLE_LINK199"/>
      <w:r>
        <w:rPr>
          <w:rFonts w:hint="eastAsia" w:cs="宋体"/>
          <w:kern w:val="0"/>
          <w:szCs w:val="21"/>
        </w:rPr>
        <w:t>涉及破路挖掘、停水等的施工项目，承包商需提前四天书面告知业主，说明施工的内容、施工时间、施工天数等。</w:t>
      </w:r>
      <w:bookmarkStart w:id="128" w:name="OLE_LINK202"/>
      <w:bookmarkStart w:id="129" w:name="OLE_LINK203"/>
      <w:r>
        <w:rPr>
          <w:rFonts w:hint="eastAsia" w:cs="宋体"/>
          <w:kern w:val="0"/>
          <w:szCs w:val="21"/>
        </w:rPr>
        <w:t>业主根据具体情况，予以批准和按时间节点要求，作好相应配合。承包商严格按照批准的施工规定实施施工</w:t>
      </w:r>
      <w:bookmarkEnd w:id="126"/>
      <w:bookmarkEnd w:id="127"/>
      <w:r>
        <w:rPr>
          <w:rFonts w:hint="eastAsia" w:cs="宋体"/>
          <w:kern w:val="0"/>
          <w:szCs w:val="21"/>
        </w:rPr>
        <w:t>。</w:t>
      </w:r>
      <w:bookmarkEnd w:id="128"/>
      <w:bookmarkEnd w:id="129"/>
    </w:p>
    <w:p w14:paraId="4BB8D9F9">
      <w:pPr>
        <w:spacing w:line="360" w:lineRule="auto"/>
        <w:ind w:firstLine="420"/>
        <w:textAlignment w:val="baseline"/>
        <w:rPr>
          <w:rFonts w:cs="宋体"/>
          <w:kern w:val="0"/>
          <w:szCs w:val="21"/>
        </w:rPr>
      </w:pPr>
      <w:r>
        <w:rPr>
          <w:rFonts w:cs="宋体"/>
          <w:kern w:val="0"/>
          <w:szCs w:val="21"/>
        </w:rPr>
        <w:t xml:space="preserve">10.2 </w:t>
      </w:r>
      <w:r>
        <w:rPr>
          <w:rFonts w:hint="eastAsia" w:cs="宋体"/>
          <w:kern w:val="0"/>
          <w:szCs w:val="21"/>
        </w:rPr>
        <w:t>文明施工：承包商负责施工场地的清洁，建筑材料的堆放。业主指定废弃物堆放地点，施工区域内的建筑垃圾按规定地点堆放并及时清运，区域外不得堆放任何建筑垃圾，危险废弃物按相关规定妥善处理。遵守相关法律法规，禁止违反职业健康安全规定的行为。</w:t>
      </w:r>
    </w:p>
    <w:p w14:paraId="0D8EFD0D">
      <w:pPr>
        <w:spacing w:line="360" w:lineRule="auto"/>
        <w:ind w:firstLine="420"/>
        <w:textAlignment w:val="baseline"/>
        <w:rPr>
          <w:rFonts w:cs="宋体"/>
          <w:kern w:val="0"/>
          <w:szCs w:val="21"/>
        </w:rPr>
      </w:pPr>
      <w:bookmarkStart w:id="130" w:name="_Toc62856978"/>
      <w:bookmarkStart w:id="131" w:name="_Toc22309662"/>
      <w:bookmarkStart w:id="132" w:name="_Toc463775126"/>
      <w:r>
        <w:rPr>
          <w:rFonts w:cs="宋体"/>
          <w:kern w:val="0"/>
          <w:szCs w:val="21"/>
        </w:rPr>
        <w:t xml:space="preserve">10.1 Pour les travaux de construction impliquant la rupture de route, </w:t>
      </w:r>
      <w:bookmarkStart w:id="133" w:name="OLE_LINK201"/>
      <w:r>
        <w:rPr>
          <w:rFonts w:cs="宋体"/>
          <w:kern w:val="0"/>
          <w:szCs w:val="21"/>
        </w:rPr>
        <w:t>l’arrêt d’eau</w:t>
      </w:r>
      <w:bookmarkEnd w:id="133"/>
      <w:r>
        <w:rPr>
          <w:rFonts w:cs="宋体"/>
          <w:kern w:val="0"/>
          <w:szCs w:val="21"/>
        </w:rPr>
        <w:t>, etc., l’Entrepreneur informera le Maître d’Ouvrage par écrit quatre jours à l’avance pour expliquer les contenus des travaux, l’heure de travail, le délai d’exécution, etc.</w:t>
      </w:r>
      <w:bookmarkStart w:id="134" w:name="OLE_LINK206"/>
      <w:bookmarkStart w:id="135" w:name="OLE_LINK207"/>
      <w:r>
        <w:rPr>
          <w:rFonts w:cs="宋体"/>
          <w:kern w:val="0"/>
          <w:szCs w:val="21"/>
        </w:rPr>
        <w:t xml:space="preserve"> Le Maître d’Ouvrage doit l’approuver en fonction des circonstances spécifiques</w:t>
      </w:r>
      <w:bookmarkStart w:id="136" w:name="OLE_LINK204"/>
      <w:bookmarkStart w:id="137" w:name="OLE_LINK205"/>
      <w:r>
        <w:rPr>
          <w:rFonts w:cs="宋体"/>
          <w:kern w:val="0"/>
          <w:szCs w:val="21"/>
        </w:rPr>
        <w:t xml:space="preserve">, </w:t>
      </w:r>
      <w:bookmarkEnd w:id="136"/>
      <w:bookmarkEnd w:id="137"/>
      <w:r>
        <w:rPr>
          <w:rFonts w:cs="宋体"/>
          <w:kern w:val="0"/>
          <w:szCs w:val="21"/>
        </w:rPr>
        <w:t>et collaborer en conséquence des nœuds horaires</w:t>
      </w:r>
      <w:bookmarkEnd w:id="134"/>
      <w:bookmarkEnd w:id="135"/>
      <w:r>
        <w:rPr>
          <w:rFonts w:cs="宋体"/>
          <w:kern w:val="0"/>
          <w:szCs w:val="21"/>
        </w:rPr>
        <w:t>. L’entrepreneur met en œuvre la construction en respectant strictement les règlements de construction approuvés.</w:t>
      </w:r>
      <w:bookmarkEnd w:id="130"/>
    </w:p>
    <w:p w14:paraId="418E9C29">
      <w:pPr>
        <w:spacing w:line="360" w:lineRule="auto"/>
        <w:ind w:firstLine="420"/>
        <w:textAlignment w:val="baseline"/>
        <w:rPr>
          <w:rFonts w:cs="宋体"/>
          <w:kern w:val="0"/>
          <w:szCs w:val="21"/>
        </w:rPr>
      </w:pPr>
      <w:bookmarkStart w:id="138" w:name="_Toc62856979"/>
      <w:r>
        <w:rPr>
          <w:rFonts w:cs="宋体"/>
          <w:kern w:val="0"/>
          <w:szCs w:val="21"/>
        </w:rPr>
        <w:t>10.2 Construction civilisée : l’Entrepreneur est responsable du nettoyage des sites de construction et de l’empilement des mat</w:t>
      </w:r>
      <w:r>
        <w:rPr>
          <w:rFonts w:hint="eastAsia" w:cs="宋体"/>
          <w:kern w:val="0"/>
          <w:szCs w:val="21"/>
        </w:rPr>
        <w:t>é</w:t>
      </w:r>
      <w:r>
        <w:rPr>
          <w:rFonts w:cs="宋体"/>
          <w:kern w:val="0"/>
          <w:szCs w:val="21"/>
        </w:rPr>
        <w:t>riaux de construction. Site de d</w:t>
      </w:r>
      <w:r>
        <w:rPr>
          <w:rFonts w:hint="eastAsia" w:cs="宋体"/>
          <w:kern w:val="0"/>
          <w:szCs w:val="21"/>
        </w:rPr>
        <w:t>é</w:t>
      </w:r>
      <w:r>
        <w:rPr>
          <w:rFonts w:cs="宋体"/>
          <w:kern w:val="0"/>
          <w:szCs w:val="21"/>
        </w:rPr>
        <w:t>pôt de d</w:t>
      </w:r>
      <w:r>
        <w:rPr>
          <w:rFonts w:hint="eastAsia" w:cs="宋体"/>
          <w:kern w:val="0"/>
          <w:szCs w:val="21"/>
        </w:rPr>
        <w:t>é</w:t>
      </w:r>
      <w:r>
        <w:rPr>
          <w:rFonts w:cs="宋体"/>
          <w:kern w:val="0"/>
          <w:szCs w:val="21"/>
        </w:rPr>
        <w:t>chets d</w:t>
      </w:r>
      <w:r>
        <w:rPr>
          <w:rFonts w:hint="eastAsia" w:cs="宋体"/>
          <w:kern w:val="0"/>
          <w:szCs w:val="21"/>
        </w:rPr>
        <w:t>é</w:t>
      </w:r>
      <w:r>
        <w:rPr>
          <w:rFonts w:cs="宋体"/>
          <w:kern w:val="0"/>
          <w:szCs w:val="21"/>
        </w:rPr>
        <w:t>sign</w:t>
      </w:r>
      <w:r>
        <w:rPr>
          <w:rFonts w:hint="eastAsia" w:cs="宋体"/>
          <w:kern w:val="0"/>
          <w:szCs w:val="21"/>
        </w:rPr>
        <w:t>é</w:t>
      </w:r>
      <w:r>
        <w:rPr>
          <w:rFonts w:cs="宋体"/>
          <w:kern w:val="0"/>
          <w:szCs w:val="21"/>
        </w:rPr>
        <w:t xml:space="preserve"> par la partie A</w:t>
      </w:r>
      <w:r>
        <w:rPr>
          <w:rFonts w:hint="eastAsia" w:cs="宋体"/>
          <w:kern w:val="0"/>
          <w:szCs w:val="21"/>
        </w:rPr>
        <w:t>，</w:t>
      </w:r>
      <w:r>
        <w:rPr>
          <w:rFonts w:cs="宋体"/>
          <w:kern w:val="0"/>
          <w:szCs w:val="21"/>
        </w:rPr>
        <w:t>Les d</w:t>
      </w:r>
      <w:r>
        <w:rPr>
          <w:rFonts w:hint="eastAsia" w:cs="宋体"/>
          <w:kern w:val="0"/>
          <w:szCs w:val="21"/>
        </w:rPr>
        <w:t>é</w:t>
      </w:r>
      <w:r>
        <w:rPr>
          <w:rFonts w:cs="宋体"/>
          <w:kern w:val="0"/>
          <w:szCs w:val="21"/>
        </w:rPr>
        <w:t>chets de construction dans la zone de construction doivent être empilés conformément à l’emplacement spécifié, puis nettoyés et transportés à temps, aucun déchet de construction ne doit être empilé en dehors de la zone, et les déchets dangereux doivent être éliminés de manière appropriée, conformément à la réglementation en vigueur. Respectez les lois et réglementations en vigueur et interdisez les violations de la santé et de la sécurité au travail.</w:t>
      </w:r>
      <w:bookmarkEnd w:id="138"/>
    </w:p>
    <w:p w14:paraId="1709B2D4">
      <w:pPr>
        <w:spacing w:line="360" w:lineRule="auto"/>
        <w:ind w:firstLine="420"/>
        <w:textAlignment w:val="baseline"/>
        <w:rPr>
          <w:rFonts w:cs="宋体"/>
          <w:kern w:val="0"/>
          <w:szCs w:val="21"/>
        </w:rPr>
      </w:pPr>
      <w:bookmarkStart w:id="139" w:name="_Toc62856980"/>
      <w:bookmarkStart w:id="140" w:name="_Toc1911"/>
      <w:r>
        <w:rPr>
          <w:rFonts w:hint="eastAsia" w:cs="宋体"/>
          <w:kern w:val="0"/>
          <w:szCs w:val="21"/>
        </w:rPr>
        <w:t>十一、安全责任及环境保护</w:t>
      </w:r>
      <w:bookmarkEnd w:id="131"/>
      <w:bookmarkEnd w:id="132"/>
      <w:bookmarkEnd w:id="139"/>
      <w:bookmarkEnd w:id="140"/>
      <w:r>
        <w:rPr>
          <w:rFonts w:cs="宋体"/>
          <w:kern w:val="0"/>
          <w:szCs w:val="21"/>
        </w:rPr>
        <w:t xml:space="preserve"> Responsabilité de la sécurité et Protection de l’environnement</w:t>
      </w:r>
    </w:p>
    <w:p w14:paraId="6A1E3200">
      <w:pPr>
        <w:spacing w:line="360" w:lineRule="auto"/>
        <w:ind w:firstLine="420"/>
        <w:textAlignment w:val="baseline"/>
        <w:rPr>
          <w:rFonts w:cs="宋体"/>
          <w:kern w:val="0"/>
          <w:szCs w:val="21"/>
        </w:rPr>
      </w:pPr>
      <w:r>
        <w:rPr>
          <w:rFonts w:cs="宋体"/>
          <w:kern w:val="0"/>
          <w:szCs w:val="21"/>
        </w:rPr>
        <w:t xml:space="preserve">11.1 </w:t>
      </w:r>
      <w:r>
        <w:rPr>
          <w:rFonts w:hint="eastAsia" w:cs="宋体"/>
          <w:kern w:val="0"/>
          <w:szCs w:val="21"/>
        </w:rPr>
        <w:t>承包商在现场施工必须服从业主安全管理人员的管理及监督。在施工过程中实现如下安全目标：</w:t>
      </w:r>
    </w:p>
    <w:p w14:paraId="237112AD">
      <w:pPr>
        <w:tabs>
          <w:tab w:val="left" w:pos="482"/>
        </w:tabs>
        <w:spacing w:line="360" w:lineRule="auto"/>
        <w:ind w:firstLine="420" w:firstLineChars="200"/>
        <w:rPr>
          <w:kern w:val="13"/>
          <w:szCs w:val="21"/>
        </w:rPr>
      </w:pPr>
      <w:r>
        <w:rPr>
          <w:rFonts w:hint="eastAsia"/>
          <w:kern w:val="13"/>
          <w:szCs w:val="21"/>
        </w:rPr>
        <w:t>（一）安全工作目标</w:t>
      </w:r>
    </w:p>
    <w:p w14:paraId="43E6472C">
      <w:pPr>
        <w:tabs>
          <w:tab w:val="left" w:pos="482"/>
        </w:tabs>
        <w:spacing w:line="360" w:lineRule="auto"/>
        <w:ind w:firstLine="420" w:firstLineChars="200"/>
        <w:rPr>
          <w:kern w:val="13"/>
          <w:szCs w:val="21"/>
        </w:rPr>
      </w:pPr>
      <w:r>
        <w:rPr>
          <w:rFonts w:hint="eastAsia"/>
          <w:kern w:val="13"/>
          <w:szCs w:val="21"/>
        </w:rPr>
        <w:t>1.不发生轻伤及以上人身伤害事件、二类障碍；</w:t>
      </w:r>
    </w:p>
    <w:p w14:paraId="74453208">
      <w:pPr>
        <w:tabs>
          <w:tab w:val="left" w:pos="482"/>
        </w:tabs>
        <w:spacing w:line="360" w:lineRule="auto"/>
        <w:ind w:firstLine="420" w:firstLineChars="200"/>
        <w:rPr>
          <w:kern w:val="13"/>
          <w:szCs w:val="21"/>
        </w:rPr>
      </w:pPr>
      <w:r>
        <w:rPr>
          <w:rFonts w:hint="eastAsia"/>
          <w:kern w:val="13"/>
          <w:szCs w:val="21"/>
        </w:rPr>
        <w:t>2.设备二类故障为0；</w:t>
      </w:r>
    </w:p>
    <w:p w14:paraId="1D9D4EF3">
      <w:pPr>
        <w:tabs>
          <w:tab w:val="left" w:pos="482"/>
        </w:tabs>
        <w:spacing w:line="360" w:lineRule="auto"/>
        <w:ind w:firstLine="420" w:firstLineChars="200"/>
        <w:rPr>
          <w:kern w:val="13"/>
          <w:szCs w:val="21"/>
        </w:rPr>
      </w:pPr>
      <w:r>
        <w:rPr>
          <w:rFonts w:hint="eastAsia"/>
          <w:kern w:val="13"/>
          <w:szCs w:val="21"/>
        </w:rPr>
        <w:t>3.一般及以上火情事件为0；</w:t>
      </w:r>
    </w:p>
    <w:p w14:paraId="36EA8570">
      <w:pPr>
        <w:tabs>
          <w:tab w:val="left" w:pos="482"/>
        </w:tabs>
        <w:spacing w:line="360" w:lineRule="auto"/>
        <w:ind w:firstLine="420" w:firstLineChars="200"/>
        <w:rPr>
          <w:kern w:val="13"/>
          <w:szCs w:val="21"/>
        </w:rPr>
      </w:pPr>
      <w:r>
        <w:rPr>
          <w:rFonts w:hint="eastAsia"/>
          <w:kern w:val="13"/>
          <w:szCs w:val="21"/>
        </w:rPr>
        <w:t>4.轻微及以上场内道路交通事故为0；</w:t>
      </w:r>
    </w:p>
    <w:p w14:paraId="5E0DE643">
      <w:pPr>
        <w:tabs>
          <w:tab w:val="left" w:pos="482"/>
        </w:tabs>
        <w:spacing w:line="360" w:lineRule="auto"/>
        <w:ind w:firstLine="420" w:firstLineChars="200"/>
        <w:rPr>
          <w:kern w:val="13"/>
          <w:szCs w:val="21"/>
        </w:rPr>
      </w:pPr>
      <w:r>
        <w:rPr>
          <w:rFonts w:hint="eastAsia"/>
          <w:kern w:val="13"/>
          <w:szCs w:val="21"/>
        </w:rPr>
        <w:t>5.重大事故隐患为0；（必选）</w:t>
      </w:r>
    </w:p>
    <w:p w14:paraId="56478A9B">
      <w:pPr>
        <w:tabs>
          <w:tab w:val="left" w:pos="482"/>
        </w:tabs>
        <w:spacing w:line="360" w:lineRule="auto"/>
        <w:ind w:firstLine="420" w:firstLineChars="200"/>
        <w:rPr>
          <w:kern w:val="13"/>
          <w:szCs w:val="21"/>
        </w:rPr>
      </w:pPr>
      <w:r>
        <w:rPr>
          <w:rFonts w:hint="eastAsia"/>
          <w:kern w:val="13"/>
          <w:szCs w:val="21"/>
        </w:rPr>
        <w:t>6.消防设施、灭火器材完好率100%；</w:t>
      </w:r>
    </w:p>
    <w:p w14:paraId="119D363A">
      <w:pPr>
        <w:tabs>
          <w:tab w:val="left" w:pos="482"/>
        </w:tabs>
        <w:spacing w:line="360" w:lineRule="auto"/>
        <w:ind w:firstLine="420" w:firstLineChars="200"/>
        <w:rPr>
          <w:kern w:val="13"/>
          <w:szCs w:val="21"/>
        </w:rPr>
      </w:pPr>
      <w:r>
        <w:rPr>
          <w:rFonts w:hint="eastAsia"/>
          <w:kern w:val="13"/>
          <w:szCs w:val="21"/>
        </w:rPr>
        <w:t>7.安全教育覆盖率、合格率为100%；</w:t>
      </w:r>
    </w:p>
    <w:p w14:paraId="57360159">
      <w:pPr>
        <w:tabs>
          <w:tab w:val="left" w:pos="482"/>
        </w:tabs>
        <w:spacing w:line="360" w:lineRule="auto"/>
        <w:ind w:firstLine="420" w:firstLineChars="200"/>
        <w:rPr>
          <w:kern w:val="13"/>
          <w:szCs w:val="21"/>
        </w:rPr>
      </w:pPr>
      <w:r>
        <w:rPr>
          <w:rFonts w:hint="eastAsia"/>
          <w:kern w:val="13"/>
          <w:szCs w:val="21"/>
        </w:rPr>
        <w:t>8.不发生一般及以上责任性网络安全事件；</w:t>
      </w:r>
    </w:p>
    <w:p w14:paraId="4DDE889A">
      <w:pPr>
        <w:tabs>
          <w:tab w:val="left" w:pos="482"/>
        </w:tabs>
        <w:spacing w:line="360" w:lineRule="auto"/>
        <w:ind w:firstLine="420" w:firstLineChars="200"/>
        <w:rPr>
          <w:kern w:val="13"/>
          <w:szCs w:val="21"/>
        </w:rPr>
      </w:pPr>
      <w:r>
        <w:rPr>
          <w:rFonts w:hint="eastAsia"/>
          <w:kern w:val="13"/>
          <w:szCs w:val="21"/>
        </w:rPr>
        <w:t>9.不发生职责范围内被政府主管部门通报或甲方集团公司约谈、处罚、处分的安全事件。</w:t>
      </w:r>
    </w:p>
    <w:p w14:paraId="6D2B4A8B">
      <w:pPr>
        <w:tabs>
          <w:tab w:val="left" w:pos="482"/>
        </w:tabs>
        <w:spacing w:line="360" w:lineRule="auto"/>
        <w:ind w:firstLine="420" w:firstLineChars="200"/>
        <w:rPr>
          <w:kern w:val="13"/>
          <w:szCs w:val="21"/>
        </w:rPr>
      </w:pPr>
      <w:r>
        <w:rPr>
          <w:rFonts w:hint="eastAsia"/>
          <w:kern w:val="13"/>
          <w:szCs w:val="21"/>
        </w:rPr>
        <w:t>（二）环保工作目标</w:t>
      </w:r>
    </w:p>
    <w:p w14:paraId="30D7A517">
      <w:pPr>
        <w:tabs>
          <w:tab w:val="left" w:pos="482"/>
        </w:tabs>
        <w:spacing w:line="360" w:lineRule="auto"/>
        <w:ind w:firstLine="420" w:firstLineChars="200"/>
        <w:rPr>
          <w:kern w:val="13"/>
          <w:szCs w:val="21"/>
        </w:rPr>
      </w:pPr>
      <w:r>
        <w:rPr>
          <w:rFonts w:hint="eastAsia"/>
          <w:kern w:val="13"/>
          <w:szCs w:val="21"/>
        </w:rPr>
        <w:t>1.突发环境事件为0；</w:t>
      </w:r>
    </w:p>
    <w:p w14:paraId="5BE54117">
      <w:pPr>
        <w:tabs>
          <w:tab w:val="left" w:pos="482"/>
        </w:tabs>
        <w:spacing w:line="360" w:lineRule="auto"/>
        <w:ind w:firstLine="420" w:firstLineChars="200"/>
        <w:rPr>
          <w:kern w:val="13"/>
          <w:szCs w:val="21"/>
        </w:rPr>
      </w:pPr>
      <w:r>
        <w:rPr>
          <w:rFonts w:hint="eastAsia"/>
          <w:kern w:val="13"/>
          <w:szCs w:val="21"/>
        </w:rPr>
        <w:t>2.固废（含危废）暂存、转运和处置合规率100%；</w:t>
      </w:r>
    </w:p>
    <w:p w14:paraId="04FEF21D">
      <w:pPr>
        <w:tabs>
          <w:tab w:val="left" w:pos="482"/>
        </w:tabs>
        <w:spacing w:line="360" w:lineRule="auto"/>
        <w:ind w:firstLine="420" w:firstLineChars="200"/>
        <w:rPr>
          <w:kern w:val="13"/>
          <w:szCs w:val="21"/>
        </w:rPr>
      </w:pPr>
      <w:r>
        <w:rPr>
          <w:rFonts w:hint="eastAsia"/>
          <w:kern w:val="13"/>
          <w:szCs w:val="21"/>
        </w:rPr>
        <w:t>3.杜绝生态环保违法违规行为</w:t>
      </w:r>
    </w:p>
    <w:p w14:paraId="439B0572">
      <w:pPr>
        <w:tabs>
          <w:tab w:val="left" w:pos="482"/>
        </w:tabs>
        <w:spacing w:line="360" w:lineRule="auto"/>
        <w:ind w:firstLine="420" w:firstLineChars="200"/>
        <w:rPr>
          <w:kern w:val="13"/>
          <w:szCs w:val="21"/>
        </w:rPr>
      </w:pPr>
      <w:r>
        <w:rPr>
          <w:rFonts w:hint="eastAsia"/>
          <w:kern w:val="13"/>
          <w:szCs w:val="21"/>
        </w:rPr>
        <w:t>4.不因本单位原因发生受环保相关部门处罚事件；</w:t>
      </w:r>
    </w:p>
    <w:p w14:paraId="2D2CC81F">
      <w:pPr>
        <w:tabs>
          <w:tab w:val="left" w:pos="482"/>
        </w:tabs>
        <w:spacing w:line="360" w:lineRule="auto"/>
        <w:ind w:firstLine="420" w:firstLineChars="200"/>
        <w:rPr>
          <w:kern w:val="13"/>
          <w:szCs w:val="21"/>
        </w:rPr>
      </w:pPr>
      <w:r>
        <w:rPr>
          <w:rFonts w:hint="eastAsia"/>
          <w:kern w:val="13"/>
          <w:szCs w:val="21"/>
        </w:rPr>
        <w:t>5.不发生职责范围内被甲方集团公司约谈、处罚、处分的环保事件。</w:t>
      </w:r>
    </w:p>
    <w:p w14:paraId="2A0621B5">
      <w:pPr>
        <w:tabs>
          <w:tab w:val="left" w:pos="482"/>
        </w:tabs>
        <w:spacing w:line="360" w:lineRule="auto"/>
        <w:ind w:firstLine="420" w:firstLineChars="200"/>
        <w:rPr>
          <w:kern w:val="13"/>
          <w:szCs w:val="21"/>
        </w:rPr>
      </w:pPr>
      <w:r>
        <w:rPr>
          <w:rFonts w:hint="eastAsia"/>
          <w:kern w:val="13"/>
          <w:szCs w:val="21"/>
        </w:rPr>
        <w:t>（三）职业健康工作目标</w:t>
      </w:r>
    </w:p>
    <w:p w14:paraId="4847EB6E">
      <w:pPr>
        <w:tabs>
          <w:tab w:val="left" w:pos="482"/>
        </w:tabs>
        <w:spacing w:line="360" w:lineRule="auto"/>
        <w:ind w:firstLine="420" w:firstLineChars="200"/>
        <w:rPr>
          <w:kern w:val="13"/>
          <w:szCs w:val="21"/>
        </w:rPr>
      </w:pPr>
      <w:r>
        <w:rPr>
          <w:rFonts w:hint="eastAsia"/>
          <w:kern w:val="13"/>
          <w:szCs w:val="21"/>
        </w:rPr>
        <w:t>1.新发职业病为0；</w:t>
      </w:r>
    </w:p>
    <w:p w14:paraId="0A1FAA2A">
      <w:pPr>
        <w:tabs>
          <w:tab w:val="left" w:pos="482"/>
        </w:tabs>
        <w:spacing w:line="360" w:lineRule="auto"/>
        <w:ind w:firstLine="420" w:firstLineChars="200"/>
        <w:rPr>
          <w:kern w:val="13"/>
          <w:szCs w:val="21"/>
        </w:rPr>
      </w:pPr>
      <w:r>
        <w:rPr>
          <w:rFonts w:hint="eastAsia"/>
          <w:kern w:val="13"/>
          <w:szCs w:val="21"/>
        </w:rPr>
        <w:t>2.中几方员工职业体检率100%。</w:t>
      </w:r>
    </w:p>
    <w:p w14:paraId="7BCFC081">
      <w:pPr>
        <w:tabs>
          <w:tab w:val="left" w:pos="482"/>
        </w:tabs>
        <w:spacing w:line="360" w:lineRule="auto"/>
        <w:ind w:firstLine="420" w:firstLineChars="200"/>
        <w:rPr>
          <w:kern w:val="13"/>
          <w:szCs w:val="21"/>
        </w:rPr>
      </w:pPr>
      <w:r>
        <w:rPr>
          <w:rFonts w:hint="eastAsia"/>
          <w:kern w:val="13"/>
          <w:szCs w:val="21"/>
        </w:rPr>
        <w:t>（四）公共安全目标</w:t>
      </w:r>
    </w:p>
    <w:p w14:paraId="6C191E5B">
      <w:pPr>
        <w:tabs>
          <w:tab w:val="left" w:pos="482"/>
        </w:tabs>
        <w:spacing w:line="360" w:lineRule="auto"/>
        <w:ind w:firstLine="420" w:firstLineChars="200"/>
        <w:rPr>
          <w:kern w:val="13"/>
          <w:szCs w:val="21"/>
        </w:rPr>
      </w:pPr>
      <w:r>
        <w:rPr>
          <w:rFonts w:hint="eastAsia"/>
          <w:kern w:val="13"/>
          <w:szCs w:val="21"/>
        </w:rPr>
        <w:t>不因本单位原因发生20人以上阻工阻路事件；</w:t>
      </w:r>
    </w:p>
    <w:p w14:paraId="1AAE6EE4">
      <w:pPr>
        <w:spacing w:line="360" w:lineRule="auto"/>
        <w:ind w:firstLine="420"/>
        <w:textAlignment w:val="baseline"/>
        <w:rPr>
          <w:rFonts w:cs="宋体"/>
          <w:kern w:val="0"/>
          <w:szCs w:val="21"/>
        </w:rPr>
      </w:pPr>
      <w:r>
        <w:rPr>
          <w:rFonts w:hint="eastAsia" w:cs="宋体"/>
          <w:kern w:val="0"/>
          <w:szCs w:val="21"/>
        </w:rPr>
        <w:t>如未能实现上述目标，业主将按照有关细则进行处罚，发现每人次违章罚款处罚违章者</w:t>
      </w:r>
      <w:r>
        <w:rPr>
          <w:rFonts w:cs="宋体"/>
          <w:kern w:val="0"/>
          <w:szCs w:val="21"/>
        </w:rPr>
        <w:t>10</w:t>
      </w:r>
      <w:r>
        <w:rPr>
          <w:rFonts w:hint="eastAsia" w:cs="宋体"/>
          <w:kern w:val="0"/>
          <w:szCs w:val="21"/>
        </w:rPr>
        <w:t>美元，承包商</w:t>
      </w:r>
      <w:r>
        <w:rPr>
          <w:rFonts w:cs="宋体"/>
          <w:kern w:val="0"/>
          <w:szCs w:val="21"/>
        </w:rPr>
        <w:t>100</w:t>
      </w:r>
      <w:r>
        <w:rPr>
          <w:rFonts w:hint="eastAsia" w:cs="宋体"/>
          <w:kern w:val="0"/>
          <w:szCs w:val="21"/>
        </w:rPr>
        <w:t>美元。发现发生重复性违章或严重安全隐患，业主以书面形式通知施工单位整改，并按业主安全奖惩实施细则相应条款处</w:t>
      </w:r>
      <w:r>
        <w:rPr>
          <w:rFonts w:cs="宋体"/>
          <w:kern w:val="0"/>
          <w:szCs w:val="21"/>
        </w:rPr>
        <w:t>10—100</w:t>
      </w:r>
      <w:r>
        <w:rPr>
          <w:rFonts w:hint="eastAsia" w:cs="宋体"/>
          <w:kern w:val="0"/>
          <w:szCs w:val="21"/>
        </w:rPr>
        <w:t>美元</w:t>
      </w:r>
      <w:r>
        <w:rPr>
          <w:rFonts w:cs="宋体"/>
          <w:kern w:val="0"/>
          <w:szCs w:val="21"/>
        </w:rPr>
        <w:t>/</w:t>
      </w:r>
      <w:r>
        <w:rPr>
          <w:rFonts w:hint="eastAsia" w:cs="宋体"/>
          <w:kern w:val="0"/>
          <w:szCs w:val="21"/>
        </w:rPr>
        <w:t>次罚款</w:t>
      </w:r>
      <w:r>
        <w:rPr>
          <w:rFonts w:cs="宋体"/>
          <w:kern w:val="0"/>
          <w:szCs w:val="21"/>
        </w:rPr>
        <w:t>,</w:t>
      </w:r>
      <w:r>
        <w:rPr>
          <w:rFonts w:hint="eastAsia" w:cs="宋体"/>
          <w:kern w:val="0"/>
          <w:szCs w:val="21"/>
        </w:rPr>
        <w:t>处罚金在工程款中扣除。</w:t>
      </w:r>
    </w:p>
    <w:p w14:paraId="30E0CE9C">
      <w:pPr>
        <w:spacing w:line="360" w:lineRule="auto"/>
        <w:ind w:firstLine="420"/>
        <w:textAlignment w:val="baseline"/>
        <w:rPr>
          <w:rFonts w:cs="宋体"/>
          <w:kern w:val="0"/>
          <w:szCs w:val="21"/>
        </w:rPr>
      </w:pPr>
      <w:r>
        <w:rPr>
          <w:rFonts w:cs="宋体"/>
          <w:kern w:val="0"/>
          <w:szCs w:val="21"/>
        </w:rPr>
        <w:t xml:space="preserve">11.2 </w:t>
      </w:r>
      <w:bookmarkStart w:id="141" w:name="OLE_LINK210"/>
      <w:bookmarkStart w:id="142" w:name="OLE_LINK211"/>
      <w:r>
        <w:rPr>
          <w:rFonts w:hint="eastAsia" w:cs="宋体"/>
          <w:kern w:val="0"/>
          <w:szCs w:val="21"/>
        </w:rPr>
        <w:t>承包商在施工期间，必须安排具有相应上岗操作证的专业人员全面负责施工场所的安全，</w:t>
      </w:r>
      <w:bookmarkStart w:id="143" w:name="OLE_LINK212"/>
      <w:bookmarkStart w:id="144" w:name="OLE_LINK213"/>
      <w:r>
        <w:rPr>
          <w:rFonts w:hint="eastAsia" w:cs="宋体"/>
          <w:kern w:val="0"/>
          <w:szCs w:val="21"/>
        </w:rPr>
        <w:t>遵守业主的各项规章制度，严格按安全标准组织施工，采取必要的安全防护措施，设置必要的安全防护栏、警示标识等，</w:t>
      </w:r>
      <w:bookmarkStart w:id="145" w:name="OLE_LINK214"/>
      <w:bookmarkStart w:id="146" w:name="OLE_LINK215"/>
      <w:r>
        <w:rPr>
          <w:rFonts w:hint="eastAsia" w:cs="宋体"/>
          <w:kern w:val="0"/>
          <w:szCs w:val="21"/>
        </w:rPr>
        <w:t>须确保自身和业主以及第三方的人身与设备的安全，若因施工不当或安全措施不到位而所造成的损失，均由承包商负责承担。</w:t>
      </w:r>
      <w:bookmarkEnd w:id="141"/>
      <w:bookmarkEnd w:id="142"/>
      <w:bookmarkEnd w:id="143"/>
      <w:bookmarkEnd w:id="144"/>
      <w:bookmarkEnd w:id="145"/>
      <w:bookmarkEnd w:id="146"/>
    </w:p>
    <w:p w14:paraId="3B630FD6">
      <w:pPr>
        <w:spacing w:line="360" w:lineRule="auto"/>
        <w:ind w:firstLine="420"/>
        <w:textAlignment w:val="baseline"/>
        <w:rPr>
          <w:rFonts w:cs="宋体"/>
          <w:kern w:val="0"/>
          <w:szCs w:val="21"/>
        </w:rPr>
      </w:pPr>
      <w:r>
        <w:rPr>
          <w:rFonts w:cs="宋体"/>
          <w:kern w:val="0"/>
          <w:szCs w:val="21"/>
        </w:rPr>
        <w:t xml:space="preserve">11.3 </w:t>
      </w:r>
      <w:r>
        <w:rPr>
          <w:rFonts w:hint="eastAsia" w:cs="宋体"/>
          <w:kern w:val="0"/>
          <w:szCs w:val="21"/>
        </w:rPr>
        <w:t>业主有责任和义务对承包商的施工和管理人员的进入施工区域实行管理，监督与协助承包商落实各项安全责任。业主有协助工程事故的急救与处理的义务。</w:t>
      </w:r>
    </w:p>
    <w:p w14:paraId="6263646D">
      <w:pPr>
        <w:spacing w:line="360" w:lineRule="auto"/>
        <w:ind w:firstLine="420"/>
        <w:textAlignment w:val="baseline"/>
        <w:rPr>
          <w:rFonts w:cs="宋体"/>
          <w:kern w:val="0"/>
          <w:szCs w:val="21"/>
        </w:rPr>
      </w:pPr>
      <w:r>
        <w:rPr>
          <w:rFonts w:cs="宋体"/>
          <w:kern w:val="0"/>
          <w:szCs w:val="21"/>
        </w:rPr>
        <w:t xml:space="preserve">11.4 </w:t>
      </w:r>
      <w:r>
        <w:rPr>
          <w:rFonts w:hint="eastAsia" w:cs="宋体"/>
          <w:kern w:val="0"/>
          <w:szCs w:val="21"/>
        </w:rPr>
        <w:t>在工程施工过程中，承包商应按当地建筑施工有关环境保护条例进行施工，自费寻找建筑垃圾对方场地并得到甲方同意。确保施工废弃物不污染、不影响环境，建筑垃圾清理完整，不留痕迹。因承包商不当施工导致的环境污染、或收到当地社区投诉的，乙方应负责妥善解决并承担因此产生的所有费用。</w:t>
      </w:r>
      <w:bookmarkStart w:id="147" w:name="OLE_LINK223"/>
      <w:bookmarkStart w:id="148" w:name="OLE_LINK222"/>
      <w:bookmarkStart w:id="149" w:name="_Toc463775127"/>
      <w:bookmarkStart w:id="150" w:name="_Toc22309663"/>
    </w:p>
    <w:bookmarkEnd w:id="147"/>
    <w:bookmarkEnd w:id="148"/>
    <w:p w14:paraId="1A1081B7">
      <w:pPr>
        <w:spacing w:line="360" w:lineRule="auto"/>
        <w:ind w:firstLine="420"/>
        <w:textAlignment w:val="baseline"/>
        <w:rPr>
          <w:rFonts w:cs="宋体"/>
          <w:kern w:val="0"/>
          <w:szCs w:val="21"/>
        </w:rPr>
      </w:pPr>
      <w:bookmarkStart w:id="151" w:name="OLE_LINK218"/>
      <w:bookmarkStart w:id="152" w:name="OLE_LINK219"/>
      <w:r>
        <w:rPr>
          <w:rFonts w:cs="宋体"/>
          <w:kern w:val="0"/>
          <w:szCs w:val="21"/>
        </w:rPr>
        <w:t>11.1</w:t>
      </w:r>
      <w:bookmarkEnd w:id="151"/>
      <w:bookmarkEnd w:id="152"/>
      <w:r>
        <w:rPr>
          <w:rFonts w:cs="宋体"/>
          <w:kern w:val="0"/>
          <w:szCs w:val="21"/>
        </w:rPr>
        <w:t xml:space="preserve"> </w:t>
      </w:r>
      <w:bookmarkStart w:id="153" w:name="OLE_LINK208"/>
      <w:bookmarkStart w:id="154" w:name="OLE_LINK209"/>
      <w:r>
        <w:rPr>
          <w:rFonts w:cs="宋体"/>
          <w:kern w:val="0"/>
          <w:szCs w:val="21"/>
        </w:rPr>
        <w:t>L’Entrepreneur doit obéir à la gestion et à la supervision du personnel de gestion de la sécurité du Maître d’Ouvrage sur le site.</w:t>
      </w:r>
      <w:bookmarkEnd w:id="153"/>
      <w:bookmarkEnd w:id="154"/>
    </w:p>
    <w:p w14:paraId="064D1456">
      <w:pPr>
        <w:spacing w:line="360" w:lineRule="auto"/>
        <w:ind w:firstLine="420"/>
        <w:textAlignment w:val="baseline"/>
        <w:rPr>
          <w:rFonts w:cs="宋体"/>
          <w:kern w:val="0"/>
          <w:szCs w:val="21"/>
        </w:rPr>
      </w:pPr>
      <w:r>
        <w:rPr>
          <w:rFonts w:cs="宋体"/>
          <w:kern w:val="0"/>
          <w:szCs w:val="21"/>
        </w:rPr>
        <w:t>Atteindra les objectifs de sécurité suivants dans le processus de construction :</w:t>
      </w:r>
    </w:p>
    <w:p w14:paraId="5611EC53">
      <w:pPr>
        <w:widowControl/>
        <w:spacing w:line="360" w:lineRule="auto"/>
        <w:ind w:firstLine="420" w:firstLineChars="200"/>
      </w:pPr>
      <w:r>
        <w:t>(1) Objectifs de Sécurité</w:t>
      </w:r>
    </w:p>
    <w:p w14:paraId="08A41821">
      <w:pPr>
        <w:widowControl/>
        <w:spacing w:line="360" w:lineRule="auto"/>
        <w:ind w:firstLine="420" w:firstLineChars="200"/>
      </w:pPr>
      <w:r>
        <w:t>Aucun incident de blessure personnelle légère ou supérieure, ni incident de classe II.</w:t>
      </w:r>
    </w:p>
    <w:p w14:paraId="1A3E53A7">
      <w:pPr>
        <w:widowControl/>
        <w:spacing w:line="360" w:lineRule="auto"/>
        <w:ind w:firstLine="420" w:firstLineChars="200"/>
      </w:pPr>
      <w:r>
        <w:t xml:space="preserve">Taux de défauts d'équipement de classe II à 0. </w:t>
      </w:r>
    </w:p>
    <w:p w14:paraId="641BE0D8">
      <w:pPr>
        <w:widowControl/>
        <w:spacing w:line="360" w:lineRule="auto"/>
        <w:ind w:firstLine="420" w:firstLineChars="200"/>
      </w:pPr>
      <w:r>
        <w:t xml:space="preserve">Aucun incident d'incendie général ou supérieur. </w:t>
      </w:r>
    </w:p>
    <w:p w14:paraId="1C8D9AA2">
      <w:pPr>
        <w:widowControl/>
        <w:spacing w:line="360" w:lineRule="auto"/>
        <w:ind w:firstLine="420" w:firstLineChars="200"/>
      </w:pPr>
      <w:r>
        <w:t>Aucun accident de la circulation sur site, même mineur.</w:t>
      </w:r>
    </w:p>
    <w:p w14:paraId="7F71FC5C">
      <w:pPr>
        <w:widowControl/>
        <w:spacing w:line="360" w:lineRule="auto"/>
        <w:ind w:firstLine="420" w:firstLineChars="200"/>
      </w:pPr>
      <w:r>
        <w:t>Aucun risque majeur d'accident.</w:t>
      </w:r>
    </w:p>
    <w:p w14:paraId="52EB4883">
      <w:pPr>
        <w:widowControl/>
        <w:spacing w:line="360" w:lineRule="auto"/>
        <w:ind w:firstLine="420" w:firstLineChars="200"/>
      </w:pPr>
      <w:r>
        <w:t xml:space="preserve">Taux de bon fonctionnement des installations de lutte contre l'incendie et du matériel d'extinction : 100 %. </w:t>
      </w:r>
    </w:p>
    <w:p w14:paraId="2749A36E">
      <w:pPr>
        <w:widowControl/>
        <w:spacing w:line="360" w:lineRule="auto"/>
        <w:ind w:firstLine="420" w:firstLineChars="200"/>
      </w:pPr>
      <w:r>
        <w:t>Couverture et taux de réussite de la formation à la sécurité : 100 %.</w:t>
      </w:r>
    </w:p>
    <w:p w14:paraId="4F0F84A2">
      <w:pPr>
        <w:widowControl/>
        <w:spacing w:line="360" w:lineRule="auto"/>
        <w:ind w:firstLine="420" w:firstLineChars="200"/>
      </w:pPr>
      <w:r>
        <w:t>Aucun incident de sécurité réseau imputable de niveau général ou supérieur.</w:t>
      </w:r>
    </w:p>
    <w:p w14:paraId="2160143E">
      <w:pPr>
        <w:widowControl/>
        <w:spacing w:line="360" w:lineRule="auto"/>
        <w:ind w:firstLine="420" w:firstLineChars="200"/>
      </w:pPr>
      <w:r>
        <w:t>Aucun incident de sécurité relevant de ses attributions faisant l'objet d'une notification par les autorités gouvernementales compétentes ou d'une convocation, sanction ou mesure disciplinaire par le groupe de la Partie A.</w:t>
      </w:r>
    </w:p>
    <w:p w14:paraId="7DF55CBF">
      <w:pPr>
        <w:widowControl/>
        <w:spacing w:line="360" w:lineRule="auto"/>
        <w:ind w:firstLine="420" w:firstLineChars="200"/>
      </w:pPr>
      <w:r>
        <w:t>(2) Objectifs Environnementaux</w:t>
      </w:r>
    </w:p>
    <w:p w14:paraId="48F3FD81">
      <w:pPr>
        <w:widowControl/>
        <w:spacing w:line="360" w:lineRule="auto"/>
        <w:ind w:firstLine="420" w:firstLineChars="200"/>
      </w:pPr>
      <w:r>
        <w:t>Aucun incident environnemental soudain.)</w:t>
      </w:r>
    </w:p>
    <w:p w14:paraId="535109EA">
      <w:pPr>
        <w:widowControl/>
        <w:spacing w:line="360" w:lineRule="auto"/>
        <w:ind w:firstLine="420" w:firstLineChars="200"/>
      </w:pPr>
      <w:r>
        <w:t xml:space="preserve">Taux de conformité du stockage temporaire, du transport et de l'élimination des déchets solides (y compris dangereux) : 100 %. </w:t>
      </w:r>
    </w:p>
    <w:p w14:paraId="66F63DDB">
      <w:pPr>
        <w:widowControl/>
        <w:spacing w:line="360" w:lineRule="auto"/>
        <w:ind w:firstLine="420" w:firstLineChars="200"/>
      </w:pPr>
      <w:r>
        <w:t>Éliminer tout comportement illégal en matière d'écologie et de protection de l'environnement.</w:t>
      </w:r>
    </w:p>
    <w:p w14:paraId="0FAFF153">
      <w:pPr>
        <w:widowControl/>
        <w:spacing w:line="360" w:lineRule="auto"/>
        <w:ind w:firstLine="420" w:firstLineChars="200"/>
      </w:pPr>
      <w:r>
        <w:t>Ne pas subir d'événement entraînant des sanctions de la part des services concernés en raison de faits imputables à l'unité concernée.</w:t>
      </w:r>
    </w:p>
    <w:p w14:paraId="6BC9ACCE">
      <w:pPr>
        <w:widowControl/>
        <w:spacing w:line="360" w:lineRule="auto"/>
        <w:ind w:firstLine="420" w:firstLineChars="200"/>
      </w:pPr>
      <w:r>
        <w:t>Aucun événement environnemental relevant de ses attributions faisant l'objet d'une convocation, sanction ou mesure disciplinaire par le groupe de la Partie A.</w:t>
      </w:r>
    </w:p>
    <w:p w14:paraId="32F748C2">
      <w:pPr>
        <w:widowControl/>
        <w:spacing w:line="360" w:lineRule="auto"/>
        <w:ind w:firstLine="420" w:firstLineChars="200"/>
      </w:pPr>
      <w:r>
        <w:t>(3) Objectifs de Santé au Travail</w:t>
      </w:r>
    </w:p>
    <w:p w14:paraId="53AEFFEF">
      <w:pPr>
        <w:widowControl/>
        <w:spacing w:line="360" w:lineRule="auto"/>
        <w:ind w:firstLine="420" w:firstLineChars="200"/>
      </w:pPr>
      <w:r>
        <w:t>Aucun nouveau cas de maladie professionnelle.)</w:t>
      </w:r>
    </w:p>
    <w:p w14:paraId="7B9D5C45">
      <w:pPr>
        <w:widowControl/>
        <w:spacing w:line="360" w:lineRule="auto"/>
        <w:ind w:firstLine="420" w:firstLineChars="200"/>
      </w:pPr>
      <w:r>
        <w:t>Taux d'examens médicaux professionnels pour les employés chinois et guinéens : 100 %.</w:t>
      </w:r>
    </w:p>
    <w:p w14:paraId="5EE9CB36">
      <w:pPr>
        <w:widowControl/>
        <w:spacing w:line="360" w:lineRule="auto"/>
        <w:ind w:left="199" w:leftChars="95" w:firstLine="210" w:firstLineChars="100"/>
      </w:pPr>
      <w:r>
        <w:t>(4) Objectifs de Sécurité Publique</w:t>
      </w:r>
      <w:r>
        <w:br w:type="textWrapping"/>
      </w:r>
      <w:r>
        <w:t>Ne pas provoquer d'incident de blocage des travaux ou de la circulation impliquant plus de 20 personnes en raison de faits imputables à l'unité concernée.</w:t>
      </w:r>
    </w:p>
    <w:p w14:paraId="4A25B21B">
      <w:pPr>
        <w:spacing w:line="360" w:lineRule="auto"/>
        <w:ind w:firstLine="420"/>
        <w:textAlignment w:val="baseline"/>
        <w:rPr>
          <w:rFonts w:cs="宋体"/>
          <w:kern w:val="0"/>
          <w:szCs w:val="21"/>
        </w:rPr>
      </w:pPr>
      <w:r>
        <w:rPr>
          <w:rFonts w:cs="宋体"/>
          <w:kern w:val="0"/>
          <w:szCs w:val="21"/>
        </w:rPr>
        <w:t>Si les objectifs ci-dessus ne sont pas atteints, le Maître d’Ouvrage infligera une pénalité à l’Entrepreneur conformément aux règles en vigueur et constatera que chaque personne enfreint les amendes et pénalités applicables en cas de violations de $10/fois et à l’entrepreneur de $100/fois. En cas d’infractions répétitives ou de risques graves liés à la sécurité, le Maître d’Ouvrage informera l’Entrepreneur par écrit et et lui infligera une amende de $10 à $100/fois conformément aux règlements de mise en œuvre de la prime et de la sanction de sécurité du Maître d’Ouvrage et l’amende sera déduite du paiement du projet.</w:t>
      </w:r>
    </w:p>
    <w:p w14:paraId="232E8755">
      <w:pPr>
        <w:spacing w:line="360" w:lineRule="auto"/>
        <w:ind w:firstLine="420"/>
        <w:textAlignment w:val="baseline"/>
        <w:rPr>
          <w:rFonts w:cs="宋体"/>
          <w:kern w:val="0"/>
          <w:szCs w:val="21"/>
        </w:rPr>
      </w:pPr>
      <w:r>
        <w:rPr>
          <w:rFonts w:cs="宋体"/>
          <w:kern w:val="0"/>
          <w:szCs w:val="21"/>
        </w:rPr>
        <w:t>11.2 Pendant la période d’exécution du projet, l’Entrepreneur doit doter des professionnels possédants la qualification correspondante et qui seront pleinement responsables de la sécurité du chantier, se conformer aux divers règlements du Maître d’Ouvrage, organiser l’exécution des travaux en respectant strictement les normes de sécurité, prendre les mesures de protection nécessaires et de la sécurité necessaire, y compris les clôtures, les panneaux de signalisation, etc. assurer la sécurité du personnel eux-mêmes, du Maître d’Ouvrage, du tiers, ainsi que la sécurité des équipements. L’entrepreneur est responsable de tous les dommages mat</w:t>
      </w:r>
      <w:r>
        <w:rPr>
          <w:rFonts w:hint="eastAsia" w:cs="宋体"/>
          <w:kern w:val="0"/>
          <w:szCs w:val="21"/>
        </w:rPr>
        <w:t>é</w:t>
      </w:r>
      <w:r>
        <w:rPr>
          <w:rFonts w:cs="宋体"/>
          <w:kern w:val="0"/>
          <w:szCs w:val="21"/>
        </w:rPr>
        <w:t>riels et corporels, si ces dommages sont caus</w:t>
      </w:r>
      <w:r>
        <w:rPr>
          <w:rFonts w:hint="eastAsia" w:cs="宋体"/>
          <w:kern w:val="0"/>
          <w:szCs w:val="21"/>
        </w:rPr>
        <w:t>é</w:t>
      </w:r>
      <w:r>
        <w:rPr>
          <w:rFonts w:cs="宋体"/>
          <w:kern w:val="0"/>
          <w:szCs w:val="21"/>
        </w:rPr>
        <w:t>s par une construction incorrecte ou des mesures de s</w:t>
      </w:r>
      <w:r>
        <w:rPr>
          <w:rFonts w:hint="eastAsia" w:cs="宋体"/>
          <w:kern w:val="0"/>
          <w:szCs w:val="21"/>
        </w:rPr>
        <w:t>é</w:t>
      </w:r>
      <w:r>
        <w:rPr>
          <w:rFonts w:cs="宋体"/>
          <w:kern w:val="0"/>
          <w:szCs w:val="21"/>
        </w:rPr>
        <w:t>curit</w:t>
      </w:r>
      <w:r>
        <w:rPr>
          <w:rFonts w:hint="eastAsia" w:cs="宋体"/>
          <w:kern w:val="0"/>
          <w:szCs w:val="21"/>
        </w:rPr>
        <w:t>é</w:t>
      </w:r>
      <w:r>
        <w:rPr>
          <w:rFonts w:cs="宋体"/>
          <w:kern w:val="0"/>
          <w:szCs w:val="21"/>
        </w:rPr>
        <w:t xml:space="preserve"> inad</w:t>
      </w:r>
      <w:r>
        <w:rPr>
          <w:rFonts w:hint="eastAsia" w:cs="宋体"/>
          <w:kern w:val="0"/>
          <w:szCs w:val="21"/>
        </w:rPr>
        <w:t>é</w:t>
      </w:r>
      <w:r>
        <w:rPr>
          <w:rFonts w:cs="宋体"/>
          <w:kern w:val="0"/>
          <w:szCs w:val="21"/>
        </w:rPr>
        <w:t>quates</w:t>
      </w:r>
      <w:r>
        <w:rPr>
          <w:rFonts w:hint="eastAsia" w:cs="宋体"/>
          <w:kern w:val="0"/>
          <w:szCs w:val="21"/>
        </w:rPr>
        <w:t>．</w:t>
      </w:r>
    </w:p>
    <w:p w14:paraId="4B0A9355">
      <w:pPr>
        <w:spacing w:line="360" w:lineRule="auto"/>
        <w:ind w:firstLine="420"/>
        <w:textAlignment w:val="baseline"/>
        <w:rPr>
          <w:rFonts w:cs="宋体"/>
          <w:kern w:val="0"/>
          <w:szCs w:val="21"/>
        </w:rPr>
      </w:pPr>
      <w:r>
        <w:rPr>
          <w:rFonts w:cs="宋体"/>
          <w:kern w:val="0"/>
          <w:szCs w:val="21"/>
        </w:rPr>
        <w:t>11.3 Le Maître d’Ouvrage a la responsabilité et l’obligation de gérer les personnels de l’Entrepreneur qui entrent la zone de construction, et de superviser et d’assister l’entrepreneur dans la mise en œuvre de diverses responsabilités en matière de sécurité. Le Maître d’Ouvrage a l’obligation d’aider aux premiers secours et à la gestion des accidents d’ingénierie.</w:t>
      </w:r>
    </w:p>
    <w:p w14:paraId="6FC2FA58">
      <w:pPr>
        <w:spacing w:line="360" w:lineRule="auto"/>
        <w:ind w:firstLine="420"/>
        <w:textAlignment w:val="baseline"/>
        <w:rPr>
          <w:rFonts w:cs="宋体"/>
          <w:kern w:val="0"/>
          <w:szCs w:val="21"/>
        </w:rPr>
      </w:pPr>
      <w:r>
        <w:rPr>
          <w:rFonts w:cs="宋体"/>
          <w:kern w:val="0"/>
          <w:szCs w:val="21"/>
        </w:rPr>
        <w:t>11.4</w:t>
      </w:r>
      <w:bookmarkStart w:id="155" w:name="OLE_LINK221"/>
      <w:bookmarkStart w:id="156" w:name="OLE_LINK220"/>
      <w:r>
        <w:rPr>
          <w:rFonts w:cs="宋体"/>
          <w:kern w:val="0"/>
          <w:szCs w:val="21"/>
        </w:rPr>
        <w:t xml:space="preserve"> Pendant l’exécution du projet, l’entrepreneur doit réaliser la construction conformément aux règlements locaux sur la protection de l’environnement pour la construction des bâtiments, trouver des sites pour les déschets de construction les uns des autres à ses propres frais et obtenir le consentement du Maître d’Ouvrage. S’assurer que les déchets de construction ne polluent pas ou n’affectent pas l’environnement et que les déchets de construction sont nettoyés intacts et ne laissent aucune trace. Si la pollution de l’environnement est causée par une construction inadéquate de l’Entrepreneur, ou si des plaintes sont reçues de la part de la communauté locale, l’Entrepreneur, sera responsable du règlement approprié et supportera tous les coûts encourus en conséquence.</w:t>
      </w:r>
      <w:bookmarkEnd w:id="155"/>
      <w:bookmarkEnd w:id="156"/>
    </w:p>
    <w:p w14:paraId="260AF356">
      <w:pPr>
        <w:spacing w:line="360" w:lineRule="auto"/>
        <w:ind w:firstLine="420"/>
        <w:textAlignment w:val="baseline"/>
        <w:rPr>
          <w:rFonts w:cs="宋体"/>
          <w:kern w:val="0"/>
          <w:szCs w:val="21"/>
        </w:rPr>
      </w:pPr>
      <w:bookmarkStart w:id="157" w:name="_Toc27972"/>
      <w:bookmarkStart w:id="158" w:name="_Toc62856981"/>
      <w:r>
        <w:rPr>
          <w:rFonts w:hint="eastAsia" w:cs="宋体"/>
          <w:kern w:val="0"/>
          <w:szCs w:val="21"/>
        </w:rPr>
        <w:t>十二、违约责任，合同生效</w:t>
      </w:r>
      <w:bookmarkEnd w:id="149"/>
      <w:bookmarkEnd w:id="150"/>
      <w:bookmarkEnd w:id="157"/>
      <w:bookmarkEnd w:id="158"/>
      <w:r>
        <w:rPr>
          <w:rFonts w:cs="宋体"/>
          <w:kern w:val="0"/>
          <w:szCs w:val="21"/>
        </w:rPr>
        <w:tab/>
      </w:r>
    </w:p>
    <w:p w14:paraId="0D25FD57">
      <w:pPr>
        <w:spacing w:line="360" w:lineRule="auto"/>
        <w:ind w:firstLine="420"/>
        <w:textAlignment w:val="baseline"/>
        <w:rPr>
          <w:rFonts w:cs="宋体"/>
          <w:kern w:val="0"/>
          <w:szCs w:val="21"/>
        </w:rPr>
      </w:pPr>
      <w:r>
        <w:rPr>
          <w:rFonts w:cs="宋体"/>
          <w:kern w:val="0"/>
          <w:szCs w:val="21"/>
        </w:rPr>
        <w:t>Responsabilité de la rupture du contrat et Entrée en vigeur du contrat</w:t>
      </w:r>
    </w:p>
    <w:p w14:paraId="0574B6F2">
      <w:pPr>
        <w:spacing w:line="360" w:lineRule="auto"/>
        <w:ind w:firstLine="420"/>
        <w:textAlignment w:val="baseline"/>
        <w:rPr>
          <w:rFonts w:cs="宋体"/>
          <w:kern w:val="0"/>
          <w:szCs w:val="21"/>
        </w:rPr>
      </w:pPr>
      <w:r>
        <w:rPr>
          <w:rFonts w:cs="宋体"/>
          <w:kern w:val="0"/>
          <w:szCs w:val="21"/>
        </w:rPr>
        <w:t xml:space="preserve">12.1 </w:t>
      </w:r>
      <w:r>
        <w:rPr>
          <w:rFonts w:hint="eastAsia" w:cs="宋体"/>
          <w:kern w:val="0"/>
          <w:szCs w:val="21"/>
        </w:rPr>
        <w:t>遇到自然灾害或</w:t>
      </w:r>
      <w:bookmarkStart w:id="159" w:name="OLE_LINK229"/>
      <w:bookmarkStart w:id="160" w:name="OLE_LINK228"/>
      <w:r>
        <w:rPr>
          <w:rFonts w:hint="eastAsia" w:cs="宋体"/>
          <w:kern w:val="0"/>
          <w:szCs w:val="21"/>
        </w:rPr>
        <w:t>其它人力不可抗拒的突发事件</w:t>
      </w:r>
      <w:bookmarkEnd w:id="159"/>
      <w:bookmarkEnd w:id="160"/>
      <w:r>
        <w:rPr>
          <w:rFonts w:hint="eastAsia" w:cs="宋体"/>
          <w:kern w:val="0"/>
          <w:szCs w:val="21"/>
        </w:rPr>
        <w:t>，双方另行协商解决。</w:t>
      </w:r>
    </w:p>
    <w:p w14:paraId="699B0833">
      <w:pPr>
        <w:spacing w:line="360" w:lineRule="auto"/>
        <w:ind w:firstLine="420"/>
        <w:textAlignment w:val="baseline"/>
        <w:rPr>
          <w:rFonts w:cs="宋体"/>
          <w:kern w:val="0"/>
          <w:szCs w:val="21"/>
        </w:rPr>
      </w:pPr>
      <w:r>
        <w:rPr>
          <w:rFonts w:cs="宋体"/>
          <w:kern w:val="0"/>
          <w:szCs w:val="21"/>
        </w:rPr>
        <w:t xml:space="preserve">12.2 </w:t>
      </w:r>
      <w:bookmarkStart w:id="161" w:name="OLE_LINK232"/>
      <w:bookmarkStart w:id="162" w:name="OLE_LINK233"/>
      <w:r>
        <w:rPr>
          <w:rFonts w:hint="eastAsia" w:cs="宋体"/>
          <w:kern w:val="0"/>
          <w:szCs w:val="21"/>
        </w:rPr>
        <w:t>按合同中相关规定，甲乙双方应按要求各自承担相应责任和义务，</w:t>
      </w:r>
      <w:bookmarkEnd w:id="161"/>
      <w:bookmarkEnd w:id="162"/>
      <w:bookmarkStart w:id="163" w:name="OLE_LINK230"/>
      <w:bookmarkStart w:id="164" w:name="OLE_LINK231"/>
      <w:r>
        <w:rPr>
          <w:rFonts w:hint="eastAsia" w:cs="宋体"/>
          <w:kern w:val="0"/>
          <w:szCs w:val="21"/>
        </w:rPr>
        <w:t>如果因业主原因拖延工期，合同工期可顺延</w:t>
      </w:r>
      <w:bookmarkEnd w:id="163"/>
      <w:bookmarkEnd w:id="164"/>
      <w:r>
        <w:rPr>
          <w:rFonts w:hint="eastAsia" w:cs="宋体"/>
          <w:kern w:val="0"/>
          <w:szCs w:val="21"/>
        </w:rPr>
        <w:t>；如因承包商原因造成工程竣工验收延误，影响业主按期使用，导致业主遭受损失的，承包商应承担相应违约责任；</w:t>
      </w:r>
      <w:bookmarkStart w:id="165" w:name="OLE_LINK238"/>
      <w:bookmarkStart w:id="166" w:name="OLE_LINK239"/>
      <w:r>
        <w:rPr>
          <w:rFonts w:hint="eastAsia" w:cs="宋体"/>
          <w:kern w:val="0"/>
          <w:szCs w:val="21"/>
        </w:rPr>
        <w:t>每延期一天在合同工程款支付时扣除50美元，违约金总额不超过合同总金额的</w:t>
      </w:r>
      <w:r>
        <w:rPr>
          <w:rFonts w:cs="宋体"/>
          <w:kern w:val="0"/>
          <w:szCs w:val="21"/>
        </w:rPr>
        <w:t>5%</w:t>
      </w:r>
      <w:r>
        <w:rPr>
          <w:rFonts w:hint="eastAsia" w:cs="宋体"/>
          <w:kern w:val="0"/>
          <w:szCs w:val="21"/>
        </w:rPr>
        <w:t>。</w:t>
      </w:r>
      <w:bookmarkEnd w:id="165"/>
      <w:bookmarkEnd w:id="166"/>
    </w:p>
    <w:p w14:paraId="7B9685C2">
      <w:pPr>
        <w:spacing w:line="360" w:lineRule="auto"/>
        <w:ind w:firstLine="420"/>
        <w:textAlignment w:val="baseline"/>
        <w:rPr>
          <w:rFonts w:cs="宋体"/>
          <w:kern w:val="0"/>
          <w:szCs w:val="21"/>
        </w:rPr>
      </w:pPr>
      <w:r>
        <w:rPr>
          <w:rFonts w:cs="宋体"/>
          <w:kern w:val="0"/>
          <w:szCs w:val="21"/>
        </w:rPr>
        <w:t>12.3</w:t>
      </w:r>
      <w:bookmarkStart w:id="167" w:name="OLE_LINK243"/>
      <w:bookmarkStart w:id="168" w:name="OLE_LINK242"/>
      <w:r>
        <w:rPr>
          <w:rFonts w:hint="eastAsia" w:cs="宋体"/>
          <w:kern w:val="0"/>
          <w:szCs w:val="21"/>
        </w:rPr>
        <w:t>承包商如未能按照合同约定确保完成工程质量目标，应承担工程质量违约金，业主应依据有关规定进行罚款，质量违约金最高限额为合同总价的</w:t>
      </w:r>
      <w:r>
        <w:rPr>
          <w:rFonts w:cs="宋体"/>
          <w:kern w:val="0"/>
          <w:szCs w:val="21"/>
        </w:rPr>
        <w:t xml:space="preserve"> 10%</w:t>
      </w:r>
      <w:r>
        <w:rPr>
          <w:rFonts w:hint="eastAsia" w:cs="宋体"/>
          <w:kern w:val="0"/>
          <w:szCs w:val="21"/>
        </w:rPr>
        <w:t>。</w:t>
      </w:r>
    </w:p>
    <w:p w14:paraId="58965FA2">
      <w:pPr>
        <w:spacing w:line="360" w:lineRule="auto"/>
        <w:ind w:firstLine="420"/>
        <w:textAlignment w:val="baseline"/>
        <w:rPr>
          <w:rFonts w:cs="宋体"/>
          <w:kern w:val="0"/>
          <w:szCs w:val="21"/>
        </w:rPr>
      </w:pPr>
      <w:r>
        <w:rPr>
          <w:rFonts w:hint="eastAsia" w:cs="宋体"/>
          <w:kern w:val="0"/>
          <w:szCs w:val="21"/>
        </w:rPr>
        <w:t>承包商支付违约金，并不免除乙方按照合同继续履行的义务。</w:t>
      </w:r>
      <w:bookmarkEnd w:id="167"/>
      <w:bookmarkEnd w:id="168"/>
    </w:p>
    <w:p w14:paraId="1BDFA2F2">
      <w:pPr>
        <w:spacing w:line="360" w:lineRule="auto"/>
        <w:ind w:firstLine="420"/>
        <w:textAlignment w:val="baseline"/>
        <w:rPr>
          <w:rFonts w:cs="宋体"/>
          <w:kern w:val="0"/>
          <w:szCs w:val="21"/>
        </w:rPr>
      </w:pPr>
      <w:r>
        <w:rPr>
          <w:rFonts w:cs="宋体"/>
          <w:kern w:val="0"/>
          <w:szCs w:val="21"/>
        </w:rPr>
        <w:t>12.4</w:t>
      </w:r>
      <w:r>
        <w:rPr>
          <w:rFonts w:hint="eastAsia" w:cs="宋体"/>
          <w:kern w:val="0"/>
          <w:szCs w:val="21"/>
        </w:rPr>
        <w:t>本合同签订</w:t>
      </w:r>
      <w:r>
        <w:rPr>
          <w:rFonts w:cs="宋体"/>
          <w:kern w:val="0"/>
          <w:szCs w:val="21"/>
        </w:rPr>
        <w:t>6</w:t>
      </w:r>
      <w:r>
        <w:rPr>
          <w:rFonts w:hint="eastAsia" w:cs="宋体"/>
          <w:kern w:val="0"/>
          <w:szCs w:val="21"/>
        </w:rPr>
        <w:t>份，业主执</w:t>
      </w:r>
      <w:r>
        <w:rPr>
          <w:rFonts w:cs="宋体"/>
          <w:kern w:val="0"/>
          <w:szCs w:val="21"/>
        </w:rPr>
        <w:t>4</w:t>
      </w:r>
      <w:r>
        <w:rPr>
          <w:rFonts w:hint="eastAsia" w:cs="宋体"/>
          <w:kern w:val="0"/>
          <w:szCs w:val="21"/>
        </w:rPr>
        <w:t>份，承包商执</w:t>
      </w:r>
      <w:r>
        <w:rPr>
          <w:rFonts w:cs="宋体"/>
          <w:kern w:val="0"/>
          <w:szCs w:val="21"/>
        </w:rPr>
        <w:t>2</w:t>
      </w:r>
      <w:r>
        <w:rPr>
          <w:rFonts w:hint="eastAsia" w:cs="宋体"/>
          <w:kern w:val="0"/>
          <w:szCs w:val="21"/>
        </w:rPr>
        <w:t>份，具有同等效力，由合同双方分别保存；双方签字、盖章后生效．</w:t>
      </w:r>
    </w:p>
    <w:p w14:paraId="6D7AD043">
      <w:pPr>
        <w:spacing w:line="360" w:lineRule="auto"/>
        <w:ind w:firstLine="420"/>
        <w:textAlignment w:val="baseline"/>
        <w:rPr>
          <w:rFonts w:cs="宋体"/>
          <w:kern w:val="0"/>
          <w:szCs w:val="21"/>
        </w:rPr>
      </w:pPr>
      <w:r>
        <w:rPr>
          <w:rFonts w:cs="宋体"/>
          <w:kern w:val="0"/>
          <w:szCs w:val="21"/>
        </w:rPr>
        <w:t>12.5</w:t>
      </w:r>
      <w:r>
        <w:rPr>
          <w:rFonts w:hint="eastAsia" w:cs="宋体"/>
          <w:kern w:val="0"/>
          <w:szCs w:val="21"/>
        </w:rPr>
        <w:t>双方如选择终止合同的，乙方应继续执行合同中未终止部分的合同义务并承担合同约定的所有责任，甲方有权从应支付货款中直接扣除终止部分的合同价款和乙方应承担的逾期违约金。</w:t>
      </w:r>
    </w:p>
    <w:p w14:paraId="1B949CF1">
      <w:pPr>
        <w:spacing w:line="360" w:lineRule="auto"/>
        <w:ind w:firstLine="420"/>
        <w:textAlignment w:val="baseline"/>
        <w:rPr>
          <w:rFonts w:cs="宋体"/>
          <w:kern w:val="0"/>
          <w:szCs w:val="21"/>
        </w:rPr>
      </w:pPr>
      <w:r>
        <w:rPr>
          <w:rFonts w:hint="eastAsia" w:cs="宋体"/>
          <w:kern w:val="0"/>
          <w:szCs w:val="21"/>
        </w:rPr>
        <w:t>签约双方任何一方由于人力不可抗力事件的影响而不能执行合同时，履行合同的期限应允延长，延长的期限应相当于事件所影响的时间。不可抗力事件系指买卖双方在缔结合同时所不能预见的，并且它的发生及其后果是无法避免和无法克服的事件，诸如战争、严重火灾、洪水、台风、地震、瘟疫等。</w:t>
      </w:r>
    </w:p>
    <w:p w14:paraId="2F55941B">
      <w:pPr>
        <w:spacing w:line="360" w:lineRule="auto"/>
        <w:ind w:firstLine="420"/>
        <w:textAlignment w:val="baseline"/>
        <w:rPr>
          <w:rFonts w:cs="宋体"/>
          <w:kern w:val="0"/>
          <w:szCs w:val="21"/>
        </w:rPr>
      </w:pPr>
      <w:bookmarkStart w:id="169" w:name="_Toc62856982"/>
      <w:bookmarkStart w:id="170" w:name="_Toc463775128"/>
      <w:bookmarkStart w:id="171" w:name="_Toc22309664"/>
      <w:r>
        <w:rPr>
          <w:rFonts w:cs="宋体"/>
          <w:kern w:val="0"/>
          <w:szCs w:val="21"/>
        </w:rPr>
        <w:t xml:space="preserve">Article 12. </w:t>
      </w:r>
      <w:bookmarkEnd w:id="169"/>
    </w:p>
    <w:p w14:paraId="011F9F63">
      <w:pPr>
        <w:spacing w:line="360" w:lineRule="auto"/>
        <w:ind w:firstLine="420"/>
        <w:textAlignment w:val="baseline"/>
        <w:rPr>
          <w:rFonts w:cs="宋体"/>
          <w:kern w:val="0"/>
          <w:szCs w:val="21"/>
        </w:rPr>
      </w:pPr>
      <w:bookmarkStart w:id="172" w:name="_Toc62856983"/>
      <w:r>
        <w:rPr>
          <w:rFonts w:cs="宋体"/>
          <w:kern w:val="0"/>
          <w:szCs w:val="21"/>
        </w:rPr>
        <w:t xml:space="preserve">12.1 </w:t>
      </w:r>
      <w:bookmarkStart w:id="173" w:name="OLE_LINK226"/>
      <w:bookmarkStart w:id="174" w:name="OLE_LINK227"/>
      <w:r>
        <w:rPr>
          <w:rFonts w:cs="宋体"/>
          <w:kern w:val="0"/>
          <w:szCs w:val="21"/>
        </w:rPr>
        <w:t xml:space="preserve">En cas de </w:t>
      </w:r>
      <w:bookmarkStart w:id="175" w:name="OLE_LINK225"/>
      <w:bookmarkStart w:id="176" w:name="OLE_LINK224"/>
      <w:r>
        <w:rPr>
          <w:rFonts w:cs="宋体"/>
          <w:kern w:val="0"/>
          <w:szCs w:val="21"/>
        </w:rPr>
        <w:t xml:space="preserve">catastrophes </w:t>
      </w:r>
      <w:bookmarkEnd w:id="175"/>
      <w:bookmarkEnd w:id="176"/>
      <w:r>
        <w:rPr>
          <w:rFonts w:cs="宋体"/>
          <w:kern w:val="0"/>
          <w:szCs w:val="21"/>
        </w:rPr>
        <w:t>naturelles ou d’autres facteurs de forces majeurs, les deux parties régleront en négociation.</w:t>
      </w:r>
      <w:bookmarkEnd w:id="172"/>
      <w:bookmarkEnd w:id="173"/>
      <w:bookmarkEnd w:id="174"/>
    </w:p>
    <w:p w14:paraId="353248B2">
      <w:pPr>
        <w:spacing w:line="360" w:lineRule="auto"/>
        <w:ind w:firstLine="420"/>
        <w:textAlignment w:val="baseline"/>
        <w:rPr>
          <w:rFonts w:cs="宋体"/>
          <w:kern w:val="0"/>
          <w:szCs w:val="21"/>
        </w:rPr>
      </w:pPr>
      <w:bookmarkStart w:id="177" w:name="_Toc62856984"/>
      <w:r>
        <w:rPr>
          <w:rFonts w:cs="宋体"/>
          <w:kern w:val="0"/>
          <w:szCs w:val="21"/>
        </w:rPr>
        <w:t xml:space="preserve">12.2 </w:t>
      </w:r>
      <w:bookmarkStart w:id="178" w:name="OLE_LINK236"/>
      <w:bookmarkStart w:id="179" w:name="OLE_LINK237"/>
      <w:r>
        <w:rPr>
          <w:rFonts w:cs="宋体"/>
          <w:kern w:val="0"/>
          <w:szCs w:val="21"/>
        </w:rPr>
        <w:t xml:space="preserve">Selon les dispositions pertinentes du contrat, les deux parties doivent assumer les responsabilités et les obligations correspondantes. Si </w:t>
      </w:r>
      <w:bookmarkStart w:id="180" w:name="OLE_LINK234"/>
      <w:bookmarkStart w:id="181" w:name="OLE_LINK235"/>
      <w:r>
        <w:rPr>
          <w:rFonts w:cs="宋体"/>
          <w:kern w:val="0"/>
          <w:szCs w:val="21"/>
        </w:rPr>
        <w:t>la durée</w:t>
      </w:r>
      <w:bookmarkEnd w:id="180"/>
      <w:bookmarkEnd w:id="181"/>
      <w:r>
        <w:rPr>
          <w:rFonts w:cs="宋体"/>
          <w:kern w:val="0"/>
          <w:szCs w:val="21"/>
        </w:rPr>
        <w:t xml:space="preserve"> de construction est retardée pour des raisons causées par le Maître d’Ouvrage, la durée du contrat peut être différée</w:t>
      </w:r>
      <w:r>
        <w:rPr>
          <w:rFonts w:hint="eastAsia" w:cs="宋体"/>
          <w:kern w:val="0"/>
          <w:szCs w:val="21"/>
        </w:rPr>
        <w:t xml:space="preserve"> </w:t>
      </w:r>
      <w:r>
        <w:rPr>
          <w:rFonts w:cs="宋体"/>
          <w:kern w:val="0"/>
          <w:szCs w:val="21"/>
        </w:rPr>
        <w:t xml:space="preserve">; Si la réception d’achèvement du projet est retardée pour des raisons causées par l’Entrepreneur, entraînant des pertes pour celle-ci, cette dernière assumera la responsabilité correspondante en cas de rupture du contrat. </w:t>
      </w:r>
      <w:bookmarkEnd w:id="178"/>
      <w:bookmarkEnd w:id="179"/>
      <w:r>
        <w:rPr>
          <w:rFonts w:cs="宋体"/>
          <w:kern w:val="0"/>
          <w:szCs w:val="21"/>
        </w:rPr>
        <w:t>La pénalité de retard sera de $10/Jour déductible dans les décomptes et le montant total des dédits pénalité n’excédera pas 5% du montant total du contrat.</w:t>
      </w:r>
      <w:bookmarkEnd w:id="177"/>
    </w:p>
    <w:p w14:paraId="651BA330">
      <w:pPr>
        <w:spacing w:line="360" w:lineRule="auto"/>
        <w:ind w:firstLine="420"/>
        <w:textAlignment w:val="baseline"/>
        <w:rPr>
          <w:rFonts w:cs="宋体"/>
          <w:kern w:val="0"/>
          <w:szCs w:val="21"/>
        </w:rPr>
      </w:pPr>
      <w:bookmarkStart w:id="182" w:name="_Toc62856985"/>
      <w:r>
        <w:rPr>
          <w:rFonts w:cs="宋体"/>
          <w:kern w:val="0"/>
          <w:szCs w:val="21"/>
        </w:rPr>
        <w:t>12.3 Si l’Entrepreneur n’arrive pas à réaliser des objectifs de qualité du projet conformément aux prescriptions contractuelles, il paiera les dommages-intérêts liquidés liés à la qualité du projet et le Maître d’Ouvrage imposera une amende conformément aux spécifications pertinentes. Le montant maximal des dommages-intérêts liquidés s’élève à 10% du prix total du contrat.</w:t>
      </w:r>
    </w:p>
    <w:p w14:paraId="70505B90">
      <w:pPr>
        <w:spacing w:line="360" w:lineRule="auto"/>
        <w:ind w:firstLine="420"/>
        <w:textAlignment w:val="baseline"/>
        <w:rPr>
          <w:rFonts w:cs="宋体"/>
          <w:kern w:val="0"/>
          <w:szCs w:val="21"/>
        </w:rPr>
      </w:pPr>
      <w:r>
        <w:rPr>
          <w:rFonts w:cs="宋体"/>
          <w:kern w:val="0"/>
          <w:szCs w:val="21"/>
        </w:rPr>
        <w:t>Le paiement des dommages-intérêts liquidés par l’Entrepreneur ne libère pas l’Entrepreneur de son obligation de poursuivre l’exécution du contrat.</w:t>
      </w:r>
      <w:bookmarkEnd w:id="182"/>
      <w:bookmarkStart w:id="183" w:name="_Toc62856986"/>
    </w:p>
    <w:p w14:paraId="55D593DB">
      <w:pPr>
        <w:spacing w:line="360" w:lineRule="auto"/>
        <w:ind w:firstLine="420"/>
        <w:textAlignment w:val="baseline"/>
        <w:rPr>
          <w:rFonts w:cs="宋体"/>
          <w:kern w:val="0"/>
          <w:szCs w:val="21"/>
        </w:rPr>
      </w:pPr>
      <w:r>
        <w:rPr>
          <w:rFonts w:cs="宋体"/>
          <w:kern w:val="0"/>
          <w:szCs w:val="21"/>
        </w:rPr>
        <w:t xml:space="preserve">12.4 </w:t>
      </w:r>
      <w:bookmarkEnd w:id="183"/>
      <w:r>
        <w:rPr>
          <w:rFonts w:cs="宋体"/>
          <w:kern w:val="0"/>
          <w:szCs w:val="21"/>
        </w:rPr>
        <w:t>Ce contrat est signé en 6 exemplaires, 4 exemplaires pour le Maître d’Ouvrage et 2 exemplaires pour l’Entrepreneur, et qui sont conservés respectivement par les parties contractantes, le présent contrat prendra effet à compter de sa signature et cachet.</w:t>
      </w:r>
    </w:p>
    <w:p w14:paraId="7D960BCD">
      <w:pPr>
        <w:spacing w:line="360" w:lineRule="auto"/>
        <w:ind w:firstLine="420"/>
        <w:textAlignment w:val="baseline"/>
        <w:rPr>
          <w:rFonts w:cs="宋体"/>
          <w:kern w:val="0"/>
          <w:szCs w:val="21"/>
        </w:rPr>
      </w:pPr>
      <w:r>
        <w:rPr>
          <w:rFonts w:cs="宋体"/>
          <w:kern w:val="0"/>
          <w:szCs w:val="21"/>
        </w:rPr>
        <w:t>12.5 Si les deux parties choisissent de résilier le contrat, l’Entrepreneur continuera à exécuter les obligations contractuelles de la partie non résiliée du contrat et à assumer toutes les responsabilités convenues dans le contrat, et le Maître d’Ouvrage aura le droit de déduire directement du paiement dû le prix du contrat de la partie résiliée et les dommages-intérêts liquidés en retard à la charge de l’Entrepreneur.</w:t>
      </w:r>
    </w:p>
    <w:p w14:paraId="004FB01D">
      <w:pPr>
        <w:spacing w:line="360" w:lineRule="auto"/>
        <w:ind w:firstLine="420"/>
        <w:textAlignment w:val="baseline"/>
        <w:rPr>
          <w:rFonts w:cs="宋体"/>
          <w:kern w:val="0"/>
          <w:szCs w:val="21"/>
        </w:rPr>
      </w:pPr>
      <w:r>
        <w:rPr>
          <w:rFonts w:cs="宋体"/>
          <w:kern w:val="0"/>
          <w:szCs w:val="21"/>
        </w:rPr>
        <w:t>Si l’une des parties contractantes est empêchée d’exécuter le contrat par un événement de force majeure, le délai d’exécution du contrat est prolongé d’une période égale au temps affecté par l’événement. Un évènement de force majeure est un évènement qui n’était pas prévisible par les parties au moment de la conclusion du contrat et dont la survenance et les conséquences sont inévitables et insurmontables, tel que la guerre, un incendie grave, une inondation, un typhon, un tremblement de terre, une peste, etc.</w:t>
      </w:r>
    </w:p>
    <w:p w14:paraId="0C23E6BC">
      <w:pPr>
        <w:spacing w:line="360" w:lineRule="auto"/>
        <w:ind w:firstLine="420"/>
        <w:textAlignment w:val="baseline"/>
        <w:rPr>
          <w:rFonts w:cs="宋体"/>
          <w:kern w:val="0"/>
          <w:szCs w:val="21"/>
        </w:rPr>
      </w:pPr>
      <w:bookmarkStart w:id="184" w:name="_Toc27647"/>
      <w:bookmarkStart w:id="185" w:name="_Toc62856987"/>
      <w:r>
        <w:rPr>
          <w:rFonts w:hint="eastAsia" w:cs="宋体"/>
          <w:kern w:val="0"/>
          <w:szCs w:val="21"/>
        </w:rPr>
        <w:t>十三、分包</w:t>
      </w:r>
      <w:bookmarkEnd w:id="184"/>
      <w:bookmarkEnd w:id="185"/>
      <w:r>
        <w:rPr>
          <w:rFonts w:cs="宋体"/>
          <w:kern w:val="0"/>
          <w:szCs w:val="21"/>
        </w:rPr>
        <w:t xml:space="preserve"> Sous-Traitance</w:t>
      </w:r>
    </w:p>
    <w:p w14:paraId="5857757E">
      <w:pPr>
        <w:spacing w:line="360" w:lineRule="auto"/>
        <w:ind w:firstLine="420"/>
        <w:textAlignment w:val="baseline"/>
        <w:rPr>
          <w:rFonts w:cs="宋体"/>
          <w:kern w:val="0"/>
          <w:szCs w:val="21"/>
        </w:rPr>
      </w:pPr>
      <w:r>
        <w:rPr>
          <w:rFonts w:cs="宋体"/>
          <w:kern w:val="0"/>
          <w:szCs w:val="21"/>
        </w:rPr>
        <w:t xml:space="preserve">13.1 </w:t>
      </w:r>
      <w:r>
        <w:rPr>
          <w:rFonts w:hint="eastAsia" w:cs="宋体"/>
          <w:kern w:val="0"/>
          <w:szCs w:val="21"/>
        </w:rPr>
        <w:t>本工程</w:t>
      </w:r>
      <w:r>
        <w:rPr>
          <w:rFonts w:hint="eastAsia" w:cs="宋体"/>
          <w:kern w:val="0"/>
          <w:szCs w:val="21"/>
          <w:lang w:val="en-US"/>
        </w:rPr>
        <w:t>不</w:t>
      </w:r>
      <w:r>
        <w:rPr>
          <w:rFonts w:hint="eastAsia" w:cs="宋体"/>
          <w:kern w:val="0"/>
          <w:szCs w:val="21"/>
        </w:rPr>
        <w:t>允许分包</w:t>
      </w:r>
    </w:p>
    <w:p w14:paraId="2E4337A9">
      <w:pPr>
        <w:spacing w:line="360" w:lineRule="auto"/>
        <w:ind w:firstLine="420"/>
        <w:textAlignment w:val="baseline"/>
        <w:rPr>
          <w:rFonts w:cs="宋体"/>
          <w:kern w:val="0"/>
          <w:szCs w:val="21"/>
        </w:rPr>
      </w:pPr>
      <w:bookmarkStart w:id="186" w:name="_Toc62856988"/>
      <w:bookmarkStart w:id="187" w:name="_Toc19098"/>
      <w:r>
        <w:rPr>
          <w:rFonts w:hint="eastAsia" w:cs="宋体"/>
          <w:kern w:val="0"/>
          <w:szCs w:val="21"/>
        </w:rPr>
        <w:t xml:space="preserve">13.1 </w:t>
      </w:r>
      <w:r>
        <w:rPr>
          <w:rStyle w:val="37"/>
          <w:rFonts w:ascii="Segoe UI" w:hAnsi="Segoe UI" w:eastAsia="Segoe UI" w:cs="Segoe UI"/>
          <w:sz w:val="16"/>
          <w:szCs w:val="16"/>
          <w:shd w:val="clear" w:color="auto" w:fill="FFFFFF"/>
        </w:rPr>
        <w:t>"</w:t>
      </w:r>
      <w:r>
        <w:rPr>
          <w:rFonts w:cs="宋体"/>
          <w:kern w:val="0"/>
          <w:szCs w:val="21"/>
          <w:shd w:val="clear" w:color="auto" w:fill="FFFFFF"/>
        </w:rPr>
        <w:t>La sous-traitance n'est pas autorisée pour le présent marché.</w:t>
      </w:r>
    </w:p>
    <w:p w14:paraId="63BB113B">
      <w:pPr>
        <w:spacing w:line="360" w:lineRule="auto"/>
        <w:ind w:firstLine="420"/>
        <w:textAlignment w:val="baseline"/>
        <w:rPr>
          <w:rFonts w:cs="宋体"/>
          <w:kern w:val="0"/>
          <w:szCs w:val="21"/>
        </w:rPr>
      </w:pPr>
      <w:r>
        <w:rPr>
          <w:rFonts w:hint="eastAsia" w:cs="宋体"/>
          <w:kern w:val="0"/>
          <w:szCs w:val="21"/>
        </w:rPr>
        <w:t>十四、其它</w:t>
      </w:r>
      <w:bookmarkEnd w:id="170"/>
      <w:bookmarkEnd w:id="171"/>
      <w:bookmarkEnd w:id="186"/>
      <w:bookmarkEnd w:id="187"/>
      <w:r>
        <w:rPr>
          <w:rFonts w:cs="宋体"/>
          <w:kern w:val="0"/>
          <w:szCs w:val="21"/>
        </w:rPr>
        <w:t xml:space="preserve"> Autres</w:t>
      </w:r>
    </w:p>
    <w:p w14:paraId="1A90DF2D">
      <w:pPr>
        <w:spacing w:line="360" w:lineRule="auto"/>
        <w:ind w:firstLine="420"/>
        <w:textAlignment w:val="baseline"/>
        <w:rPr>
          <w:rFonts w:cs="宋体"/>
          <w:kern w:val="0"/>
          <w:szCs w:val="21"/>
          <w:lang w:val="en-US"/>
        </w:rPr>
      </w:pPr>
      <w:r>
        <w:rPr>
          <w:rFonts w:cs="宋体"/>
          <w:kern w:val="0"/>
          <w:szCs w:val="21"/>
        </w:rPr>
        <w:t xml:space="preserve">14.1 </w:t>
      </w:r>
      <w:r>
        <w:rPr>
          <w:rFonts w:hint="eastAsia" w:cs="宋体"/>
          <w:kern w:val="0"/>
          <w:szCs w:val="21"/>
        </w:rPr>
        <w:t>在合同执行过程中如发生争议，合同双方应友好协商解决。如协商后仍未能达成一致，任何一方均可提出仲裁。纠纷处置期间，除正在进行争执的部分外，本合同其它部分应继续执行。</w:t>
      </w:r>
    </w:p>
    <w:p w14:paraId="42CE738D">
      <w:pPr>
        <w:spacing w:line="360" w:lineRule="auto"/>
        <w:ind w:firstLine="420"/>
        <w:textAlignment w:val="baseline"/>
        <w:rPr>
          <w:rFonts w:cs="宋体"/>
          <w:kern w:val="0"/>
          <w:szCs w:val="21"/>
        </w:rPr>
      </w:pPr>
      <w:bookmarkStart w:id="188" w:name="_Toc62856990"/>
      <w:bookmarkStart w:id="189" w:name="_Toc22309665"/>
      <w:bookmarkStart w:id="190" w:name="_Toc463775129"/>
      <w:r>
        <w:rPr>
          <w:rFonts w:hint="eastAsia" w:cs="宋体"/>
          <w:kern w:val="0"/>
          <w:szCs w:val="21"/>
          <w:lang w:val="en-US"/>
        </w:rPr>
        <w:t xml:space="preserve">14.2 </w:t>
      </w:r>
      <w:r>
        <w:rPr>
          <w:rFonts w:hint="eastAsia" w:cs="宋体"/>
          <w:kern w:val="0"/>
          <w:szCs w:val="21"/>
        </w:rPr>
        <w:t>凡因本合同引起的或与本合同有关的任何争议，均应提交至中国国际经济贸易仲裁委员会申请仲裁，仲裁地点在北京，本合同适用中华人民共和国的法律管辖，仲裁语言为中文。</w:t>
      </w:r>
    </w:p>
    <w:p w14:paraId="0533B687">
      <w:pPr>
        <w:widowControl/>
        <w:shd w:val="clear" w:color="auto" w:fill="FFFFFF"/>
        <w:spacing w:after="160" w:line="360" w:lineRule="auto"/>
        <w:ind w:firstLine="420"/>
        <w:textAlignment w:val="baseline"/>
        <w:rPr>
          <w:rFonts w:cs="宋体"/>
          <w:kern w:val="0"/>
          <w:szCs w:val="21"/>
        </w:rPr>
      </w:pPr>
      <w:r>
        <w:rPr>
          <w:rFonts w:cs="宋体"/>
          <w:kern w:val="0"/>
          <w:szCs w:val="21"/>
        </w:rPr>
        <w:t xml:space="preserve">14.1 </w:t>
      </w:r>
      <w:r>
        <w:rPr>
          <w:rFonts w:cs="宋体"/>
          <w:kern w:val="0"/>
          <w:szCs w:val="21"/>
          <w:shd w:val="clear" w:color="auto" w:fill="FFFFFF"/>
        </w:rPr>
        <w:t>En cas de litige survenant pendant l'exécution du contrat, les deux parties au contrat doivent le résoudre par voie de négociation amiable. Si aucun accord n'est trouvé après la négociation, l'une ou l'autre des parties peut soumettre le litige à l'arbitrage. Pendant la période de résolution du litige, à l'exception de la partie faisant l'objet du différend, les autres parties du présent contrat continuent d'être exécutées.</w:t>
      </w:r>
    </w:p>
    <w:p w14:paraId="2BEE0567">
      <w:pPr>
        <w:widowControl/>
        <w:shd w:val="clear" w:color="auto" w:fill="FFFFFF"/>
        <w:spacing w:before="160" w:line="360" w:lineRule="auto"/>
        <w:ind w:firstLine="420"/>
        <w:textAlignment w:val="baseline"/>
        <w:rPr>
          <w:rFonts w:cs="宋体"/>
          <w:szCs w:val="21"/>
        </w:rPr>
      </w:pPr>
      <w:r>
        <w:rPr>
          <w:rFonts w:cs="宋体"/>
          <w:kern w:val="0"/>
          <w:szCs w:val="21"/>
          <w:lang w:val="en-US"/>
        </w:rPr>
        <w:t xml:space="preserve">14.2 </w:t>
      </w:r>
      <w:r>
        <w:rPr>
          <w:rFonts w:cs="宋体"/>
          <w:kern w:val="0"/>
          <w:szCs w:val="21"/>
          <w:shd w:val="clear" w:color="auto" w:fill="FFFFFF"/>
        </w:rPr>
        <w:t>Tout litige découlant du présent contrat ou en relation avec celui-ci sera soumis à l'arbitrage de la Commission chinoise d'arbitrage économique et commercial (CIETAC), le lieu de l'arbitrage étant Pékin. Le présent contrat est régi par les lois de la République populaire de Chine, et la langue de l'arbitrage est le chinois.</w:t>
      </w:r>
    </w:p>
    <w:bookmarkEnd w:id="188"/>
    <w:p w14:paraId="65520846">
      <w:pPr>
        <w:spacing w:line="360" w:lineRule="auto"/>
        <w:ind w:firstLine="420"/>
        <w:textAlignment w:val="baseline"/>
        <w:rPr>
          <w:rFonts w:cs="宋体"/>
          <w:kern w:val="0"/>
          <w:szCs w:val="21"/>
        </w:rPr>
      </w:pPr>
      <w:bookmarkStart w:id="191" w:name="_Toc62856992"/>
      <w:bookmarkStart w:id="192" w:name="_Toc7378"/>
      <w:r>
        <w:rPr>
          <w:rFonts w:hint="eastAsia" w:cs="宋体"/>
          <w:kern w:val="0"/>
          <w:szCs w:val="21"/>
        </w:rPr>
        <w:t>第十五条</w:t>
      </w:r>
      <w:r>
        <w:rPr>
          <w:rFonts w:cs="宋体"/>
          <w:kern w:val="0"/>
          <w:szCs w:val="21"/>
        </w:rPr>
        <w:t xml:space="preserve">  </w:t>
      </w:r>
      <w:r>
        <w:rPr>
          <w:rFonts w:hint="eastAsia" w:cs="宋体"/>
          <w:kern w:val="0"/>
          <w:szCs w:val="21"/>
        </w:rPr>
        <w:t>合同附件</w:t>
      </w:r>
      <w:bookmarkEnd w:id="189"/>
      <w:bookmarkEnd w:id="190"/>
      <w:bookmarkEnd w:id="191"/>
      <w:bookmarkEnd w:id="192"/>
      <w:r>
        <w:rPr>
          <w:rFonts w:cs="宋体"/>
          <w:kern w:val="0"/>
          <w:szCs w:val="21"/>
        </w:rPr>
        <w:t xml:space="preserve"> Annexe du contrat</w:t>
      </w:r>
    </w:p>
    <w:p w14:paraId="171446B0">
      <w:pPr>
        <w:spacing w:line="360" w:lineRule="auto"/>
        <w:ind w:firstLine="420"/>
        <w:textAlignment w:val="baseline"/>
        <w:rPr>
          <w:rFonts w:cs="宋体"/>
          <w:kern w:val="0"/>
          <w:szCs w:val="21"/>
        </w:rPr>
      </w:pPr>
      <w:bookmarkStart w:id="193" w:name="_Toc325729415"/>
      <w:bookmarkStart w:id="194" w:name="_Toc22309666"/>
      <w:r>
        <w:rPr>
          <w:rFonts w:cs="宋体"/>
          <w:kern w:val="0"/>
          <w:szCs w:val="21"/>
        </w:rPr>
        <w:t xml:space="preserve">15.1 </w:t>
      </w:r>
      <w:r>
        <w:rPr>
          <w:rFonts w:hint="eastAsia" w:cs="宋体"/>
          <w:kern w:val="0"/>
          <w:szCs w:val="21"/>
        </w:rPr>
        <w:t>附件</w:t>
      </w:r>
      <w:r>
        <w:rPr>
          <w:rFonts w:cs="宋体"/>
          <w:kern w:val="0"/>
          <w:szCs w:val="21"/>
        </w:rPr>
        <w:t>1</w:t>
      </w:r>
      <w:r>
        <w:rPr>
          <w:rFonts w:hint="eastAsia" w:cs="宋体"/>
          <w:kern w:val="0"/>
          <w:szCs w:val="21"/>
        </w:rPr>
        <w:t>：工程质量保修书</w:t>
      </w:r>
    </w:p>
    <w:p w14:paraId="7FE89EEE">
      <w:pPr>
        <w:spacing w:line="360" w:lineRule="auto"/>
        <w:ind w:firstLine="420"/>
        <w:textAlignment w:val="baseline"/>
        <w:rPr>
          <w:rFonts w:cs="宋体"/>
          <w:kern w:val="0"/>
          <w:szCs w:val="21"/>
        </w:rPr>
      </w:pPr>
      <w:r>
        <w:rPr>
          <w:rFonts w:cs="宋体"/>
          <w:kern w:val="0"/>
          <w:szCs w:val="21"/>
        </w:rPr>
        <w:t xml:space="preserve">15.2 </w:t>
      </w:r>
      <w:r>
        <w:rPr>
          <w:rFonts w:hint="eastAsia" w:cs="宋体"/>
          <w:kern w:val="0"/>
          <w:szCs w:val="21"/>
        </w:rPr>
        <w:t>附件</w:t>
      </w:r>
      <w:r>
        <w:rPr>
          <w:rFonts w:cs="宋体"/>
          <w:kern w:val="0"/>
          <w:szCs w:val="21"/>
        </w:rPr>
        <w:t>2</w:t>
      </w:r>
      <w:r>
        <w:rPr>
          <w:rFonts w:hint="eastAsia" w:cs="宋体"/>
          <w:kern w:val="0"/>
          <w:szCs w:val="21"/>
        </w:rPr>
        <w:t>：安全管理协议</w:t>
      </w:r>
    </w:p>
    <w:p w14:paraId="1A261E3A">
      <w:pPr>
        <w:spacing w:line="360" w:lineRule="auto"/>
        <w:ind w:firstLine="420"/>
        <w:textAlignment w:val="baseline"/>
        <w:rPr>
          <w:rFonts w:cs="宋体"/>
          <w:kern w:val="0"/>
          <w:szCs w:val="21"/>
        </w:rPr>
      </w:pPr>
      <w:r>
        <w:rPr>
          <w:rFonts w:cs="宋体"/>
          <w:kern w:val="0"/>
          <w:szCs w:val="21"/>
        </w:rPr>
        <w:t xml:space="preserve">15.3 </w:t>
      </w:r>
      <w:r>
        <w:rPr>
          <w:rFonts w:hint="eastAsia" w:cs="宋体"/>
          <w:kern w:val="0"/>
          <w:szCs w:val="21"/>
        </w:rPr>
        <w:t>附件</w:t>
      </w:r>
      <w:r>
        <w:rPr>
          <w:rFonts w:cs="宋体"/>
          <w:kern w:val="0"/>
          <w:szCs w:val="21"/>
        </w:rPr>
        <w:t>3</w:t>
      </w:r>
      <w:r>
        <w:rPr>
          <w:rFonts w:hint="eastAsia" w:cs="宋体"/>
          <w:kern w:val="0"/>
          <w:szCs w:val="21"/>
        </w:rPr>
        <w:t>：廉洁协议</w:t>
      </w:r>
    </w:p>
    <w:p w14:paraId="43626406">
      <w:pPr>
        <w:spacing w:line="360" w:lineRule="auto"/>
        <w:ind w:firstLine="420"/>
        <w:textAlignment w:val="baseline"/>
        <w:rPr>
          <w:rFonts w:cs="宋体"/>
          <w:kern w:val="0"/>
          <w:szCs w:val="21"/>
        </w:rPr>
      </w:pPr>
      <w:r>
        <w:rPr>
          <w:rFonts w:cs="宋体"/>
          <w:kern w:val="0"/>
          <w:szCs w:val="21"/>
        </w:rPr>
        <w:t xml:space="preserve">15.4 </w:t>
      </w:r>
      <w:r>
        <w:rPr>
          <w:rFonts w:hint="eastAsia" w:cs="宋体"/>
          <w:kern w:val="0"/>
          <w:szCs w:val="21"/>
        </w:rPr>
        <w:t>附件</w:t>
      </w:r>
      <w:r>
        <w:rPr>
          <w:rFonts w:cs="宋体"/>
          <w:kern w:val="0"/>
          <w:szCs w:val="21"/>
        </w:rPr>
        <w:t>4</w:t>
      </w:r>
      <w:r>
        <w:rPr>
          <w:rFonts w:hint="eastAsia" w:cs="宋体"/>
          <w:kern w:val="0"/>
          <w:szCs w:val="21"/>
        </w:rPr>
        <w:t>：保密协议书</w:t>
      </w:r>
    </w:p>
    <w:p w14:paraId="30A40290">
      <w:pPr>
        <w:spacing w:line="360" w:lineRule="auto"/>
        <w:ind w:firstLine="420"/>
        <w:textAlignment w:val="baseline"/>
        <w:rPr>
          <w:rFonts w:cs="宋体"/>
          <w:kern w:val="0"/>
          <w:szCs w:val="21"/>
          <w:lang w:val="en-US"/>
        </w:rPr>
      </w:pPr>
      <w:r>
        <w:rPr>
          <w:rFonts w:hint="eastAsia" w:cs="宋体"/>
          <w:kern w:val="0"/>
          <w:szCs w:val="21"/>
          <w:lang w:val="en-US"/>
        </w:rPr>
        <w:t>15.5 附件5：社区</w:t>
      </w:r>
      <w:r>
        <w:rPr>
          <w:rFonts w:hint="eastAsia"/>
          <w:kern w:val="13"/>
          <w:szCs w:val="21"/>
        </w:rPr>
        <w:t>关系维护管理协议</w:t>
      </w:r>
    </w:p>
    <w:p w14:paraId="1F0313A0">
      <w:pPr>
        <w:spacing w:line="360" w:lineRule="auto"/>
        <w:ind w:firstLine="420"/>
        <w:textAlignment w:val="baseline"/>
        <w:rPr>
          <w:rFonts w:cs="宋体"/>
          <w:kern w:val="0"/>
          <w:szCs w:val="21"/>
        </w:rPr>
      </w:pPr>
      <w:r>
        <w:rPr>
          <w:rFonts w:cs="宋体"/>
          <w:kern w:val="0"/>
          <w:szCs w:val="21"/>
        </w:rPr>
        <w:t>15.</w:t>
      </w:r>
      <w:r>
        <w:rPr>
          <w:rFonts w:hint="eastAsia" w:cs="宋体"/>
          <w:kern w:val="0"/>
          <w:szCs w:val="21"/>
          <w:lang w:val="en-US"/>
        </w:rPr>
        <w:t>6</w:t>
      </w:r>
      <w:r>
        <w:rPr>
          <w:rFonts w:cs="宋体"/>
          <w:kern w:val="0"/>
          <w:szCs w:val="21"/>
        </w:rPr>
        <w:t xml:space="preserve"> </w:t>
      </w:r>
      <w:r>
        <w:rPr>
          <w:rFonts w:hint="eastAsia" w:cs="宋体"/>
          <w:kern w:val="0"/>
          <w:szCs w:val="21"/>
        </w:rPr>
        <w:t>附件</w:t>
      </w:r>
      <w:r>
        <w:rPr>
          <w:rFonts w:hint="eastAsia" w:cs="宋体"/>
          <w:kern w:val="0"/>
          <w:szCs w:val="21"/>
          <w:lang w:val="en-US"/>
        </w:rPr>
        <w:t>6</w:t>
      </w:r>
      <w:r>
        <w:rPr>
          <w:rFonts w:hint="eastAsia" w:cs="宋体"/>
          <w:kern w:val="0"/>
          <w:szCs w:val="21"/>
        </w:rPr>
        <w:t>：分项报价表</w:t>
      </w:r>
    </w:p>
    <w:p w14:paraId="54149546">
      <w:pPr>
        <w:spacing w:line="360" w:lineRule="auto"/>
        <w:ind w:firstLine="420" w:firstLineChars="200"/>
        <w:textAlignment w:val="baseline"/>
        <w:rPr>
          <w:rFonts w:cs="宋体"/>
          <w:kern w:val="0"/>
          <w:szCs w:val="21"/>
        </w:rPr>
      </w:pPr>
      <w:r>
        <w:rPr>
          <w:rFonts w:cs="宋体"/>
          <w:kern w:val="0"/>
          <w:szCs w:val="21"/>
        </w:rPr>
        <w:t>15.1 Annexe 1</w:t>
      </w:r>
      <w:r>
        <w:rPr>
          <w:rFonts w:hint="eastAsia" w:cs="宋体"/>
          <w:kern w:val="0"/>
          <w:szCs w:val="21"/>
        </w:rPr>
        <w:t xml:space="preserve"> </w:t>
      </w:r>
      <w:r>
        <w:rPr>
          <w:rFonts w:cs="宋体"/>
          <w:kern w:val="0"/>
          <w:szCs w:val="21"/>
        </w:rPr>
        <w:t>: Garantie de la qualité de projet</w:t>
      </w:r>
    </w:p>
    <w:p w14:paraId="34AF8874">
      <w:pPr>
        <w:spacing w:line="360" w:lineRule="auto"/>
        <w:ind w:firstLine="420"/>
        <w:textAlignment w:val="baseline"/>
        <w:rPr>
          <w:rFonts w:cs="宋体"/>
          <w:kern w:val="0"/>
          <w:szCs w:val="21"/>
        </w:rPr>
      </w:pPr>
      <w:r>
        <w:rPr>
          <w:rFonts w:cs="宋体"/>
          <w:kern w:val="0"/>
          <w:szCs w:val="21"/>
        </w:rPr>
        <w:t>15.2 Annexe 2 : Accord sur la gestion de la sécurité</w:t>
      </w:r>
    </w:p>
    <w:p w14:paraId="4D12A4CE">
      <w:pPr>
        <w:spacing w:line="360" w:lineRule="auto"/>
        <w:ind w:firstLine="420"/>
        <w:textAlignment w:val="baseline"/>
        <w:rPr>
          <w:rFonts w:cs="宋体"/>
          <w:kern w:val="0"/>
          <w:szCs w:val="21"/>
        </w:rPr>
      </w:pPr>
      <w:r>
        <w:rPr>
          <w:rFonts w:cs="宋体"/>
          <w:kern w:val="0"/>
          <w:szCs w:val="21"/>
        </w:rPr>
        <w:t>15.3 Annexe 3 : Accord d’intégrité</w:t>
      </w:r>
    </w:p>
    <w:p w14:paraId="5F49446E">
      <w:pPr>
        <w:spacing w:line="360" w:lineRule="auto"/>
        <w:ind w:firstLine="420"/>
        <w:textAlignment w:val="baseline"/>
        <w:rPr>
          <w:rFonts w:cs="宋体"/>
          <w:kern w:val="0"/>
          <w:szCs w:val="21"/>
        </w:rPr>
      </w:pPr>
      <w:r>
        <w:rPr>
          <w:rFonts w:cs="宋体"/>
          <w:kern w:val="0"/>
          <w:szCs w:val="21"/>
        </w:rPr>
        <w:t>15.4 Annexe 4 : ACCORD DE CONFIDENTIALITÉ</w:t>
      </w:r>
    </w:p>
    <w:p w14:paraId="18D328C0">
      <w:pPr>
        <w:spacing w:line="360" w:lineRule="auto"/>
        <w:ind w:firstLine="420"/>
        <w:textAlignment w:val="baseline"/>
        <w:rPr>
          <w:rFonts w:cs="宋体"/>
          <w:kern w:val="0"/>
          <w:szCs w:val="21"/>
        </w:rPr>
      </w:pPr>
      <w:r>
        <w:rPr>
          <w:rFonts w:cs="宋体"/>
          <w:kern w:val="0"/>
          <w:szCs w:val="21"/>
        </w:rPr>
        <w:t>15.</w:t>
      </w:r>
      <w:r>
        <w:rPr>
          <w:rFonts w:hint="eastAsia" w:cs="宋体"/>
          <w:kern w:val="0"/>
          <w:szCs w:val="21"/>
          <w:lang w:val="en-US"/>
        </w:rPr>
        <w:t>5</w:t>
      </w:r>
      <w:r>
        <w:rPr>
          <w:rFonts w:cs="宋体"/>
          <w:kern w:val="0"/>
          <w:szCs w:val="21"/>
        </w:rPr>
        <w:t xml:space="preserve"> Annexe </w:t>
      </w:r>
      <w:r>
        <w:rPr>
          <w:rFonts w:hint="eastAsia" w:cs="宋体"/>
          <w:kern w:val="0"/>
          <w:szCs w:val="21"/>
          <w:lang w:val="en-US"/>
        </w:rPr>
        <w:t>5</w:t>
      </w:r>
      <w:r>
        <w:rPr>
          <w:rFonts w:cs="宋体"/>
          <w:kern w:val="0"/>
          <w:szCs w:val="21"/>
        </w:rPr>
        <w:t xml:space="preserve"> : </w:t>
      </w:r>
      <w:r>
        <w:rPr>
          <w:rFonts w:hint="eastAsia" w:cs="宋体"/>
          <w:kern w:val="0"/>
          <w:szCs w:val="21"/>
        </w:rPr>
        <w:t>Accord de Gestion et de Maintien des Relations Communautaires</w:t>
      </w:r>
    </w:p>
    <w:p w14:paraId="77CEF9BB">
      <w:pPr>
        <w:spacing w:line="360" w:lineRule="auto"/>
        <w:ind w:firstLine="420"/>
        <w:textAlignment w:val="baseline"/>
        <w:rPr>
          <w:rFonts w:cs="宋体"/>
          <w:kern w:val="0"/>
          <w:szCs w:val="21"/>
        </w:rPr>
      </w:pPr>
      <w:r>
        <w:rPr>
          <w:rFonts w:cs="宋体"/>
          <w:kern w:val="0"/>
          <w:szCs w:val="21"/>
        </w:rPr>
        <w:t>15.</w:t>
      </w:r>
      <w:r>
        <w:rPr>
          <w:rFonts w:hint="eastAsia" w:cs="宋体"/>
          <w:kern w:val="0"/>
          <w:szCs w:val="21"/>
          <w:lang w:val="en-US"/>
        </w:rPr>
        <w:t>6</w:t>
      </w:r>
      <w:r>
        <w:rPr>
          <w:rFonts w:cs="宋体"/>
          <w:kern w:val="0"/>
          <w:szCs w:val="21"/>
        </w:rPr>
        <w:t xml:space="preserve"> Annexe </w:t>
      </w:r>
      <w:r>
        <w:rPr>
          <w:rFonts w:hint="eastAsia" w:cs="宋体"/>
          <w:kern w:val="0"/>
          <w:szCs w:val="21"/>
          <w:lang w:val="en-US"/>
        </w:rPr>
        <w:t>6</w:t>
      </w:r>
      <w:r>
        <w:rPr>
          <w:rFonts w:hint="eastAsia" w:cs="宋体"/>
          <w:kern w:val="0"/>
          <w:szCs w:val="21"/>
        </w:rPr>
        <w:t xml:space="preserve"> </w:t>
      </w:r>
      <w:r>
        <w:rPr>
          <w:rFonts w:cs="宋体"/>
          <w:kern w:val="0"/>
          <w:szCs w:val="21"/>
        </w:rPr>
        <w:t xml:space="preserve">: Tableau de devis détaillé  </w:t>
      </w:r>
    </w:p>
    <w:p w14:paraId="5A4F6CAC">
      <w:pPr>
        <w:keepNext/>
        <w:widowControl/>
        <w:autoSpaceDE w:val="0"/>
        <w:autoSpaceDN w:val="0"/>
        <w:spacing w:line="360" w:lineRule="auto"/>
        <w:jc w:val="center"/>
        <w:rPr>
          <w:b/>
          <w:kern w:val="0"/>
          <w:sz w:val="24"/>
          <w:szCs w:val="24"/>
        </w:rPr>
      </w:pPr>
    </w:p>
    <w:bookmarkEnd w:id="193"/>
    <w:bookmarkEnd w:id="194"/>
    <w:p w14:paraId="3408F87F"/>
    <w:p w14:paraId="5731FD32"/>
    <w:p w14:paraId="33CB57EF"/>
    <w:p w14:paraId="1AF92D77"/>
    <w:p w14:paraId="6451E633"/>
    <w:p w14:paraId="34F926AB"/>
    <w:p w14:paraId="554D366D"/>
    <w:p w14:paraId="0E2DD84E"/>
    <w:p w14:paraId="0FCFE09C"/>
    <w:p w14:paraId="34E883F5"/>
    <w:p w14:paraId="571B2C30"/>
    <w:p w14:paraId="487B13A4"/>
    <w:p w14:paraId="34AD4B21"/>
    <w:p w14:paraId="7727EE94"/>
    <w:p w14:paraId="51F88971"/>
    <w:p w14:paraId="46BDA09F"/>
    <w:p w14:paraId="73C7D52A"/>
    <w:p w14:paraId="5449B18E"/>
    <w:p w14:paraId="2A2D73D2"/>
    <w:p w14:paraId="2CC113F6"/>
    <w:p w14:paraId="06278196"/>
    <w:p w14:paraId="34A31A54">
      <w:pPr>
        <w:pStyle w:val="21"/>
      </w:pPr>
    </w:p>
    <w:p w14:paraId="7035E340">
      <w:pPr>
        <w:pStyle w:val="21"/>
      </w:pPr>
    </w:p>
    <w:p w14:paraId="5E5C0D2D">
      <w:pPr>
        <w:pStyle w:val="21"/>
      </w:pPr>
    </w:p>
    <w:p w14:paraId="0C726C2A">
      <w:pPr>
        <w:pStyle w:val="21"/>
      </w:pPr>
    </w:p>
    <w:p w14:paraId="1CAC418E">
      <w:pPr>
        <w:pStyle w:val="21"/>
      </w:pPr>
    </w:p>
    <w:p w14:paraId="175BA434">
      <w:pPr>
        <w:pStyle w:val="21"/>
      </w:pPr>
    </w:p>
    <w:p w14:paraId="31B71A89">
      <w:pPr>
        <w:pStyle w:val="21"/>
      </w:pPr>
    </w:p>
    <w:p w14:paraId="5881C3B9">
      <w:pPr>
        <w:pStyle w:val="21"/>
      </w:pPr>
    </w:p>
    <w:p w14:paraId="053E74C4">
      <w:pPr>
        <w:pStyle w:val="21"/>
      </w:pPr>
    </w:p>
    <w:p w14:paraId="48122D8A">
      <w:pPr>
        <w:pStyle w:val="21"/>
      </w:pPr>
    </w:p>
    <w:p w14:paraId="7C69D2A8">
      <w:pPr>
        <w:pStyle w:val="21"/>
      </w:pPr>
    </w:p>
    <w:p w14:paraId="02C37AD6">
      <w:pPr>
        <w:pStyle w:val="21"/>
      </w:pPr>
    </w:p>
    <w:p w14:paraId="204C0457"/>
    <w:p w14:paraId="1F4F319C"/>
    <w:p w14:paraId="3C2EFA66"/>
    <w:p w14:paraId="7148F4E4"/>
    <w:p w14:paraId="16E7C6DE"/>
    <w:p w14:paraId="54C4E5D3"/>
    <w:p w14:paraId="20B1ABD1"/>
    <w:p w14:paraId="5B19346F"/>
    <w:p w14:paraId="70FD7969"/>
    <w:tbl>
      <w:tblPr>
        <w:tblStyle w:val="34"/>
        <w:tblW w:w="5023" w:type="pct"/>
        <w:tblInd w:w="113" w:type="dxa"/>
        <w:tblLayout w:type="autofit"/>
        <w:tblCellMar>
          <w:top w:w="0" w:type="dxa"/>
          <w:left w:w="108" w:type="dxa"/>
          <w:bottom w:w="0" w:type="dxa"/>
          <w:right w:w="108" w:type="dxa"/>
        </w:tblCellMar>
      </w:tblPr>
      <w:tblGrid>
        <w:gridCol w:w="1678"/>
        <w:gridCol w:w="2958"/>
        <w:gridCol w:w="1854"/>
        <w:gridCol w:w="3125"/>
      </w:tblGrid>
      <w:tr w14:paraId="105760A0">
        <w:tblPrEx>
          <w:tblCellMar>
            <w:top w:w="0" w:type="dxa"/>
            <w:left w:w="108" w:type="dxa"/>
            <w:bottom w:w="0" w:type="dxa"/>
            <w:right w:w="108" w:type="dxa"/>
          </w:tblCellMar>
        </w:tblPrEx>
        <w:trPr>
          <w:trHeight w:val="97" w:hRule="atLeast"/>
        </w:trPr>
        <w:tc>
          <w:tcPr>
            <w:tcW w:w="2411" w:type="pct"/>
            <w:gridSpan w:val="2"/>
            <w:tcBorders>
              <w:top w:val="single" w:color="auto" w:sz="4" w:space="0"/>
              <w:left w:val="single" w:color="auto" w:sz="4" w:space="0"/>
              <w:bottom w:val="single" w:color="auto" w:sz="4" w:space="0"/>
              <w:right w:val="single" w:color="auto" w:sz="4" w:space="0"/>
            </w:tcBorders>
            <w:vAlign w:val="center"/>
          </w:tcPr>
          <w:p w14:paraId="4727B159">
            <w:pPr>
              <w:pStyle w:val="33"/>
              <w:ind w:firstLine="400"/>
              <w:rPr>
                <w:sz w:val="20"/>
                <w:szCs w:val="20"/>
              </w:rPr>
            </w:pPr>
            <w:r>
              <w:rPr>
                <w:sz w:val="20"/>
                <w:szCs w:val="20"/>
              </w:rPr>
              <w:t>业主/ Maître d’Ouvrage</w:t>
            </w:r>
          </w:p>
        </w:tc>
        <w:tc>
          <w:tcPr>
            <w:tcW w:w="2589" w:type="pct"/>
            <w:gridSpan w:val="2"/>
            <w:tcBorders>
              <w:top w:val="single" w:color="auto" w:sz="4" w:space="0"/>
              <w:left w:val="nil"/>
              <w:bottom w:val="single" w:color="auto" w:sz="4" w:space="0"/>
              <w:right w:val="single" w:color="auto" w:sz="4" w:space="0"/>
            </w:tcBorders>
            <w:vAlign w:val="center"/>
          </w:tcPr>
          <w:p w14:paraId="58CB7514">
            <w:pPr>
              <w:pStyle w:val="33"/>
              <w:ind w:firstLine="400"/>
              <w:rPr>
                <w:sz w:val="20"/>
                <w:szCs w:val="20"/>
              </w:rPr>
            </w:pPr>
            <w:r>
              <w:rPr>
                <w:sz w:val="20"/>
                <w:szCs w:val="20"/>
              </w:rPr>
              <w:t>承包商/ Entrepreneur</w:t>
            </w:r>
          </w:p>
        </w:tc>
      </w:tr>
      <w:tr w14:paraId="7D40D92D">
        <w:tblPrEx>
          <w:tblCellMar>
            <w:top w:w="0" w:type="dxa"/>
            <w:left w:w="108" w:type="dxa"/>
            <w:bottom w:w="0" w:type="dxa"/>
            <w:right w:w="108" w:type="dxa"/>
          </w:tblCellMar>
        </w:tblPrEx>
        <w:trPr>
          <w:trHeight w:val="97" w:hRule="atLeast"/>
        </w:trPr>
        <w:tc>
          <w:tcPr>
            <w:tcW w:w="873" w:type="pct"/>
            <w:tcBorders>
              <w:top w:val="single" w:color="auto" w:sz="4" w:space="0"/>
              <w:left w:val="single" w:color="auto" w:sz="4" w:space="0"/>
              <w:bottom w:val="single" w:color="auto" w:sz="4" w:space="0"/>
              <w:right w:val="single" w:color="auto" w:sz="4" w:space="0"/>
            </w:tcBorders>
            <w:vAlign w:val="center"/>
          </w:tcPr>
          <w:p w14:paraId="0322A43C">
            <w:r>
              <w:rPr>
                <w:rFonts w:hint="eastAsia"/>
              </w:rPr>
              <w:t>名</w:t>
            </w:r>
            <w:r>
              <w:t xml:space="preserve">        </w:t>
            </w:r>
            <w:r>
              <w:rPr>
                <w:rFonts w:hint="eastAsia"/>
              </w:rPr>
              <w:t>称：</w:t>
            </w:r>
          </w:p>
          <w:p w14:paraId="6303378F">
            <w:r>
              <w:rPr>
                <w:rFonts w:hint="eastAsia"/>
              </w:rPr>
              <w:t xml:space="preserve">Nom : </w:t>
            </w:r>
          </w:p>
        </w:tc>
        <w:tc>
          <w:tcPr>
            <w:tcW w:w="1538" w:type="pct"/>
            <w:tcBorders>
              <w:top w:val="single" w:color="auto" w:sz="4" w:space="0"/>
              <w:left w:val="nil"/>
              <w:bottom w:val="single" w:color="auto" w:sz="4" w:space="0"/>
              <w:right w:val="single" w:color="auto" w:sz="4" w:space="0"/>
            </w:tcBorders>
            <w:vAlign w:val="center"/>
          </w:tcPr>
          <w:p w14:paraId="0D7757C6">
            <w:r>
              <w:rPr>
                <w:rFonts w:hint="eastAsia"/>
              </w:rPr>
              <w:t>几内亚高丽亚矿山股份有限公司Guinea Colia Mining S.A.</w:t>
            </w:r>
          </w:p>
        </w:tc>
        <w:tc>
          <w:tcPr>
            <w:tcW w:w="964" w:type="pct"/>
            <w:tcBorders>
              <w:top w:val="single" w:color="auto" w:sz="4" w:space="0"/>
              <w:left w:val="nil"/>
              <w:bottom w:val="single" w:color="auto" w:sz="4" w:space="0"/>
              <w:right w:val="single" w:color="auto" w:sz="4" w:space="0"/>
            </w:tcBorders>
            <w:vAlign w:val="center"/>
          </w:tcPr>
          <w:p w14:paraId="366F03D9">
            <w:r>
              <w:rPr>
                <w:rFonts w:hint="eastAsia"/>
              </w:rPr>
              <w:t xml:space="preserve">名 </w:t>
            </w:r>
            <w:r>
              <w:t xml:space="preserve">       </w:t>
            </w:r>
            <w:r>
              <w:rPr>
                <w:rFonts w:hint="eastAsia"/>
              </w:rPr>
              <w:t>称：</w:t>
            </w:r>
          </w:p>
          <w:p w14:paraId="5BF36928">
            <w:r>
              <w:rPr>
                <w:rFonts w:hint="eastAsia"/>
              </w:rPr>
              <w:t xml:space="preserve">Nom : </w:t>
            </w:r>
            <w:r>
              <w:t xml:space="preserve"> </w:t>
            </w:r>
          </w:p>
        </w:tc>
        <w:tc>
          <w:tcPr>
            <w:tcW w:w="1625" w:type="pct"/>
            <w:tcBorders>
              <w:top w:val="single" w:color="auto" w:sz="4" w:space="0"/>
              <w:left w:val="nil"/>
              <w:bottom w:val="single" w:color="auto" w:sz="4" w:space="0"/>
              <w:right w:val="single" w:color="auto" w:sz="4" w:space="0"/>
            </w:tcBorders>
            <w:vAlign w:val="center"/>
          </w:tcPr>
          <w:p w14:paraId="24160EC1"/>
        </w:tc>
      </w:tr>
      <w:tr w14:paraId="2144C940">
        <w:tblPrEx>
          <w:tblCellMar>
            <w:top w:w="0" w:type="dxa"/>
            <w:left w:w="108" w:type="dxa"/>
            <w:bottom w:w="0" w:type="dxa"/>
            <w:right w:w="108" w:type="dxa"/>
          </w:tblCellMar>
        </w:tblPrEx>
        <w:trPr>
          <w:trHeight w:val="97" w:hRule="atLeast"/>
        </w:trPr>
        <w:tc>
          <w:tcPr>
            <w:tcW w:w="873" w:type="pct"/>
            <w:tcBorders>
              <w:top w:val="single" w:color="auto" w:sz="4" w:space="0"/>
              <w:left w:val="single" w:color="auto" w:sz="4" w:space="0"/>
              <w:bottom w:val="single" w:color="auto" w:sz="4" w:space="0"/>
              <w:right w:val="single" w:color="auto" w:sz="4" w:space="0"/>
            </w:tcBorders>
            <w:vAlign w:val="center"/>
          </w:tcPr>
          <w:p w14:paraId="3BD89619">
            <w:r>
              <w:rPr>
                <w:rFonts w:hint="eastAsia"/>
              </w:rPr>
              <w:t>地</w:t>
            </w:r>
            <w:r>
              <w:t xml:space="preserve">        </w:t>
            </w:r>
            <w:r>
              <w:rPr>
                <w:rFonts w:hint="eastAsia"/>
              </w:rPr>
              <w:t>址</w:t>
            </w:r>
          </w:p>
          <w:p w14:paraId="7F031592">
            <w:r>
              <w:rPr>
                <w:rFonts w:hint="eastAsia"/>
              </w:rPr>
              <w:t>Adresse : ：</w:t>
            </w:r>
          </w:p>
        </w:tc>
        <w:tc>
          <w:tcPr>
            <w:tcW w:w="1538" w:type="pct"/>
            <w:tcBorders>
              <w:top w:val="single" w:color="auto" w:sz="4" w:space="0"/>
              <w:left w:val="nil"/>
              <w:bottom w:val="single" w:color="auto" w:sz="4" w:space="0"/>
              <w:right w:val="single" w:color="auto" w:sz="4" w:space="0"/>
            </w:tcBorders>
            <w:vAlign w:val="center"/>
          </w:tcPr>
          <w:p w14:paraId="345F6FBC">
            <w:r>
              <w:t>B.P. 6888, Villa SPIC, Quartier Coléah, Commune Matam,Conakry, République de Guinée，</w:t>
            </w:r>
          </w:p>
        </w:tc>
        <w:tc>
          <w:tcPr>
            <w:tcW w:w="964" w:type="pct"/>
            <w:tcBorders>
              <w:top w:val="single" w:color="auto" w:sz="4" w:space="0"/>
              <w:left w:val="nil"/>
              <w:bottom w:val="single" w:color="auto" w:sz="4" w:space="0"/>
              <w:right w:val="single" w:color="auto" w:sz="4" w:space="0"/>
            </w:tcBorders>
            <w:vAlign w:val="center"/>
          </w:tcPr>
          <w:p w14:paraId="4C4E5623">
            <w:r>
              <w:rPr>
                <w:rFonts w:hint="eastAsia"/>
              </w:rPr>
              <w:t>地</w:t>
            </w:r>
            <w:r>
              <w:t xml:space="preserve">        </w:t>
            </w:r>
            <w:r>
              <w:rPr>
                <w:rFonts w:hint="eastAsia"/>
              </w:rPr>
              <w:t>址</w:t>
            </w:r>
          </w:p>
          <w:p w14:paraId="744B6A8F">
            <w:r>
              <w:rPr>
                <w:rFonts w:hint="eastAsia"/>
              </w:rPr>
              <w:t>Adresse : ：</w:t>
            </w:r>
          </w:p>
        </w:tc>
        <w:tc>
          <w:tcPr>
            <w:tcW w:w="1625" w:type="pct"/>
            <w:tcBorders>
              <w:top w:val="single" w:color="auto" w:sz="4" w:space="0"/>
              <w:left w:val="nil"/>
              <w:bottom w:val="single" w:color="auto" w:sz="4" w:space="0"/>
              <w:right w:val="single" w:color="auto" w:sz="4" w:space="0"/>
            </w:tcBorders>
            <w:vAlign w:val="center"/>
          </w:tcPr>
          <w:p w14:paraId="0C43D4BB"/>
        </w:tc>
      </w:tr>
      <w:tr w14:paraId="2433D7DF">
        <w:tblPrEx>
          <w:tblCellMar>
            <w:top w:w="0" w:type="dxa"/>
            <w:left w:w="108" w:type="dxa"/>
            <w:bottom w:w="0" w:type="dxa"/>
            <w:right w:w="108" w:type="dxa"/>
          </w:tblCellMar>
        </w:tblPrEx>
        <w:trPr>
          <w:trHeight w:val="97" w:hRule="atLeast"/>
        </w:trPr>
        <w:tc>
          <w:tcPr>
            <w:tcW w:w="873" w:type="pct"/>
            <w:tcBorders>
              <w:top w:val="single" w:color="auto" w:sz="4" w:space="0"/>
              <w:left w:val="single" w:color="auto" w:sz="4" w:space="0"/>
              <w:bottom w:val="single" w:color="auto" w:sz="4" w:space="0"/>
              <w:right w:val="single" w:color="auto" w:sz="4" w:space="0"/>
            </w:tcBorders>
            <w:vAlign w:val="center"/>
          </w:tcPr>
          <w:p w14:paraId="66E96261">
            <w:r>
              <w:rPr>
                <w:rFonts w:hint="eastAsia"/>
              </w:rPr>
              <w:t xml:space="preserve">联 </w:t>
            </w:r>
            <w:r>
              <w:t xml:space="preserve">  </w:t>
            </w:r>
            <w:r>
              <w:rPr>
                <w:rFonts w:hint="eastAsia"/>
              </w:rPr>
              <w:t xml:space="preserve">系 </w:t>
            </w:r>
            <w:r>
              <w:t xml:space="preserve">  </w:t>
            </w:r>
            <w:r>
              <w:rPr>
                <w:rFonts w:hint="eastAsia"/>
              </w:rPr>
              <w:t>人</w:t>
            </w:r>
          </w:p>
          <w:p w14:paraId="2270240B">
            <w:r>
              <w:rPr>
                <w:rFonts w:hint="eastAsia"/>
              </w:rPr>
              <w:t>Personne de contact ：</w:t>
            </w:r>
          </w:p>
        </w:tc>
        <w:tc>
          <w:tcPr>
            <w:tcW w:w="1538" w:type="pct"/>
            <w:tcBorders>
              <w:top w:val="single" w:color="auto" w:sz="4" w:space="0"/>
              <w:left w:val="nil"/>
              <w:bottom w:val="single" w:color="auto" w:sz="4" w:space="0"/>
              <w:right w:val="single" w:color="auto" w:sz="4" w:space="0"/>
            </w:tcBorders>
            <w:vAlign w:val="center"/>
          </w:tcPr>
          <w:p w14:paraId="432376B0"/>
        </w:tc>
        <w:tc>
          <w:tcPr>
            <w:tcW w:w="964" w:type="pct"/>
            <w:tcBorders>
              <w:top w:val="single" w:color="auto" w:sz="4" w:space="0"/>
              <w:left w:val="nil"/>
              <w:bottom w:val="single" w:color="auto" w:sz="4" w:space="0"/>
              <w:right w:val="single" w:color="auto" w:sz="4" w:space="0"/>
            </w:tcBorders>
            <w:vAlign w:val="center"/>
          </w:tcPr>
          <w:p w14:paraId="428D1CB9">
            <w:pPr>
              <w:rPr>
                <w:b/>
                <w:bCs/>
              </w:rPr>
            </w:pPr>
            <w:r>
              <w:rPr>
                <w:b/>
                <w:bCs/>
              </w:rPr>
              <w:t>联   系   人</w:t>
            </w:r>
          </w:p>
          <w:p w14:paraId="3A93B66E">
            <w:pPr>
              <w:rPr>
                <w:b/>
                <w:bCs/>
              </w:rPr>
            </w:pPr>
            <w:r>
              <w:rPr>
                <w:rFonts w:hint="eastAsia"/>
              </w:rPr>
              <w:t xml:space="preserve">Personne de contact </w:t>
            </w:r>
            <w:r>
              <w:rPr>
                <w:b/>
                <w:bCs/>
              </w:rPr>
              <w:t>：</w:t>
            </w:r>
          </w:p>
        </w:tc>
        <w:tc>
          <w:tcPr>
            <w:tcW w:w="1625" w:type="pct"/>
            <w:tcBorders>
              <w:top w:val="single" w:color="auto" w:sz="4" w:space="0"/>
              <w:left w:val="nil"/>
              <w:bottom w:val="single" w:color="auto" w:sz="4" w:space="0"/>
              <w:right w:val="single" w:color="auto" w:sz="4" w:space="0"/>
            </w:tcBorders>
            <w:vAlign w:val="center"/>
          </w:tcPr>
          <w:p w14:paraId="4FCA6FE7"/>
        </w:tc>
      </w:tr>
      <w:tr w14:paraId="020E7CE8">
        <w:tblPrEx>
          <w:tblCellMar>
            <w:top w:w="0" w:type="dxa"/>
            <w:left w:w="108" w:type="dxa"/>
            <w:bottom w:w="0" w:type="dxa"/>
            <w:right w:w="108" w:type="dxa"/>
          </w:tblCellMar>
        </w:tblPrEx>
        <w:trPr>
          <w:trHeight w:val="97" w:hRule="atLeast"/>
        </w:trPr>
        <w:tc>
          <w:tcPr>
            <w:tcW w:w="873" w:type="pct"/>
            <w:tcBorders>
              <w:top w:val="single" w:color="auto" w:sz="4" w:space="0"/>
              <w:left w:val="single" w:color="auto" w:sz="4" w:space="0"/>
              <w:bottom w:val="single" w:color="auto" w:sz="4" w:space="0"/>
              <w:right w:val="single" w:color="auto" w:sz="4" w:space="0"/>
            </w:tcBorders>
            <w:vAlign w:val="center"/>
          </w:tcPr>
          <w:p w14:paraId="73ED4F83">
            <w:r>
              <w:rPr>
                <w:rFonts w:hint="eastAsia"/>
              </w:rPr>
              <w:t xml:space="preserve">电 </w:t>
            </w:r>
            <w:r>
              <w:t xml:space="preserve">       </w:t>
            </w:r>
            <w:r>
              <w:rPr>
                <w:rFonts w:hint="eastAsia"/>
              </w:rPr>
              <w:t>话</w:t>
            </w:r>
          </w:p>
          <w:p w14:paraId="72105C0F">
            <w:r>
              <w:rPr>
                <w:rFonts w:hint="eastAsia"/>
              </w:rPr>
              <w:t>Téléphone：</w:t>
            </w:r>
          </w:p>
        </w:tc>
        <w:tc>
          <w:tcPr>
            <w:tcW w:w="1538" w:type="pct"/>
            <w:tcBorders>
              <w:top w:val="single" w:color="auto" w:sz="4" w:space="0"/>
              <w:left w:val="nil"/>
              <w:bottom w:val="single" w:color="auto" w:sz="4" w:space="0"/>
              <w:right w:val="single" w:color="auto" w:sz="4" w:space="0"/>
            </w:tcBorders>
            <w:vAlign w:val="center"/>
          </w:tcPr>
          <w:p w14:paraId="78A894DF"/>
        </w:tc>
        <w:tc>
          <w:tcPr>
            <w:tcW w:w="964" w:type="pct"/>
            <w:tcBorders>
              <w:top w:val="single" w:color="auto" w:sz="4" w:space="0"/>
              <w:left w:val="nil"/>
              <w:bottom w:val="single" w:color="auto" w:sz="4" w:space="0"/>
              <w:right w:val="single" w:color="auto" w:sz="4" w:space="0"/>
            </w:tcBorders>
            <w:vAlign w:val="center"/>
          </w:tcPr>
          <w:p w14:paraId="76641EBA">
            <w:r>
              <w:rPr>
                <w:rFonts w:hint="eastAsia"/>
              </w:rPr>
              <w:t xml:space="preserve">电 </w:t>
            </w:r>
            <w:r>
              <w:t xml:space="preserve">       </w:t>
            </w:r>
            <w:r>
              <w:rPr>
                <w:rFonts w:hint="eastAsia"/>
              </w:rPr>
              <w:t>话</w:t>
            </w:r>
          </w:p>
          <w:p w14:paraId="79FBBF2D">
            <w:r>
              <w:t>Téléphone：</w:t>
            </w:r>
          </w:p>
        </w:tc>
        <w:tc>
          <w:tcPr>
            <w:tcW w:w="1625" w:type="pct"/>
            <w:tcBorders>
              <w:top w:val="single" w:color="auto" w:sz="4" w:space="0"/>
              <w:left w:val="nil"/>
              <w:bottom w:val="single" w:color="auto" w:sz="4" w:space="0"/>
              <w:right w:val="single" w:color="auto" w:sz="4" w:space="0"/>
            </w:tcBorders>
            <w:vAlign w:val="center"/>
          </w:tcPr>
          <w:p w14:paraId="49E21A0F"/>
        </w:tc>
      </w:tr>
      <w:tr w14:paraId="528B521A">
        <w:tblPrEx>
          <w:tblCellMar>
            <w:top w:w="0" w:type="dxa"/>
            <w:left w:w="108" w:type="dxa"/>
            <w:bottom w:w="0" w:type="dxa"/>
            <w:right w:w="108" w:type="dxa"/>
          </w:tblCellMar>
        </w:tblPrEx>
        <w:trPr>
          <w:trHeight w:val="97" w:hRule="atLeast"/>
        </w:trPr>
        <w:tc>
          <w:tcPr>
            <w:tcW w:w="873" w:type="pct"/>
            <w:tcBorders>
              <w:top w:val="single" w:color="auto" w:sz="4" w:space="0"/>
              <w:left w:val="single" w:color="auto" w:sz="4" w:space="0"/>
              <w:bottom w:val="single" w:color="auto" w:sz="4" w:space="0"/>
              <w:right w:val="single" w:color="auto" w:sz="4" w:space="0"/>
            </w:tcBorders>
            <w:vAlign w:val="center"/>
          </w:tcPr>
          <w:p w14:paraId="00DA8064">
            <w:r>
              <w:rPr>
                <w:rFonts w:hint="eastAsia"/>
              </w:rPr>
              <w:t>Email地址：</w:t>
            </w:r>
          </w:p>
        </w:tc>
        <w:tc>
          <w:tcPr>
            <w:tcW w:w="1538" w:type="pct"/>
            <w:tcBorders>
              <w:top w:val="single" w:color="auto" w:sz="4" w:space="0"/>
              <w:left w:val="nil"/>
              <w:bottom w:val="single" w:color="auto" w:sz="4" w:space="0"/>
              <w:right w:val="single" w:color="auto" w:sz="4" w:space="0"/>
            </w:tcBorders>
            <w:vAlign w:val="center"/>
          </w:tcPr>
          <w:p w14:paraId="597C20F8"/>
        </w:tc>
        <w:tc>
          <w:tcPr>
            <w:tcW w:w="964" w:type="pct"/>
            <w:tcBorders>
              <w:top w:val="single" w:color="auto" w:sz="4" w:space="0"/>
              <w:left w:val="nil"/>
              <w:bottom w:val="single" w:color="auto" w:sz="4" w:space="0"/>
              <w:right w:val="single" w:color="auto" w:sz="4" w:space="0"/>
            </w:tcBorders>
            <w:vAlign w:val="center"/>
          </w:tcPr>
          <w:p w14:paraId="0A09B41D">
            <w:r>
              <w:rPr>
                <w:rFonts w:hint="eastAsia"/>
              </w:rPr>
              <w:t>Email地址：</w:t>
            </w:r>
          </w:p>
        </w:tc>
        <w:tc>
          <w:tcPr>
            <w:tcW w:w="1625" w:type="pct"/>
            <w:tcBorders>
              <w:top w:val="single" w:color="auto" w:sz="4" w:space="0"/>
              <w:left w:val="nil"/>
              <w:bottom w:val="single" w:color="auto" w:sz="4" w:space="0"/>
              <w:right w:val="single" w:color="auto" w:sz="4" w:space="0"/>
            </w:tcBorders>
            <w:vAlign w:val="center"/>
          </w:tcPr>
          <w:p w14:paraId="314F8418"/>
        </w:tc>
      </w:tr>
      <w:tr w14:paraId="46CE5021">
        <w:tblPrEx>
          <w:tblCellMar>
            <w:top w:w="0" w:type="dxa"/>
            <w:left w:w="108" w:type="dxa"/>
            <w:bottom w:w="0" w:type="dxa"/>
            <w:right w:w="108" w:type="dxa"/>
          </w:tblCellMar>
        </w:tblPrEx>
        <w:trPr>
          <w:trHeight w:val="97" w:hRule="atLeast"/>
        </w:trPr>
        <w:tc>
          <w:tcPr>
            <w:tcW w:w="873" w:type="pct"/>
            <w:tcBorders>
              <w:top w:val="single" w:color="auto" w:sz="4" w:space="0"/>
              <w:left w:val="single" w:color="auto" w:sz="4" w:space="0"/>
              <w:bottom w:val="single" w:color="auto" w:sz="4" w:space="0"/>
              <w:right w:val="single" w:color="auto" w:sz="4" w:space="0"/>
            </w:tcBorders>
            <w:vAlign w:val="center"/>
          </w:tcPr>
          <w:p w14:paraId="45D990ED">
            <w:r>
              <w:rPr>
                <w:rFonts w:hint="eastAsia"/>
              </w:rPr>
              <w:t>银行开户名称</w:t>
            </w:r>
          </w:p>
          <w:p w14:paraId="4699BA00">
            <w:r>
              <w:rPr>
                <w:rFonts w:hint="eastAsia"/>
              </w:rPr>
              <w:t>Nom de compte bancaire：</w:t>
            </w:r>
          </w:p>
        </w:tc>
        <w:tc>
          <w:tcPr>
            <w:tcW w:w="1538" w:type="pct"/>
            <w:tcBorders>
              <w:top w:val="single" w:color="auto" w:sz="4" w:space="0"/>
              <w:left w:val="nil"/>
              <w:bottom w:val="single" w:color="auto" w:sz="4" w:space="0"/>
              <w:right w:val="single" w:color="auto" w:sz="4" w:space="0"/>
            </w:tcBorders>
            <w:vAlign w:val="center"/>
          </w:tcPr>
          <w:p w14:paraId="12816D0A">
            <w:pPr>
              <w:rPr>
                <w:lang w:val="en-US"/>
              </w:rPr>
            </w:pPr>
            <w:r>
              <w:rPr>
                <w:rFonts w:hint="eastAsia"/>
                <w:lang w:val="en-US"/>
              </w:rPr>
              <w:t>Guinea Colia Mining S.A.</w:t>
            </w:r>
          </w:p>
        </w:tc>
        <w:tc>
          <w:tcPr>
            <w:tcW w:w="964" w:type="pct"/>
            <w:tcBorders>
              <w:top w:val="single" w:color="auto" w:sz="4" w:space="0"/>
              <w:left w:val="nil"/>
              <w:bottom w:val="single" w:color="auto" w:sz="4" w:space="0"/>
              <w:right w:val="single" w:color="auto" w:sz="4" w:space="0"/>
            </w:tcBorders>
            <w:vAlign w:val="center"/>
          </w:tcPr>
          <w:p w14:paraId="0A40E6B6">
            <w:r>
              <w:rPr>
                <w:rFonts w:hint="eastAsia"/>
              </w:rPr>
              <w:t>银行开户名称</w:t>
            </w:r>
          </w:p>
          <w:p w14:paraId="76DF91EE">
            <w:r>
              <w:rPr>
                <w:rFonts w:hint="eastAsia"/>
              </w:rPr>
              <w:t>Nom de compte bancaire：</w:t>
            </w:r>
          </w:p>
        </w:tc>
        <w:tc>
          <w:tcPr>
            <w:tcW w:w="1625" w:type="pct"/>
            <w:tcBorders>
              <w:top w:val="single" w:color="auto" w:sz="4" w:space="0"/>
              <w:left w:val="nil"/>
              <w:bottom w:val="single" w:color="auto" w:sz="4" w:space="0"/>
              <w:right w:val="single" w:color="auto" w:sz="4" w:space="0"/>
            </w:tcBorders>
            <w:vAlign w:val="center"/>
          </w:tcPr>
          <w:p w14:paraId="79EE520A"/>
        </w:tc>
      </w:tr>
      <w:tr w14:paraId="2C207265">
        <w:tblPrEx>
          <w:tblCellMar>
            <w:top w:w="0" w:type="dxa"/>
            <w:left w:w="108" w:type="dxa"/>
            <w:bottom w:w="0" w:type="dxa"/>
            <w:right w:w="108" w:type="dxa"/>
          </w:tblCellMar>
        </w:tblPrEx>
        <w:trPr>
          <w:trHeight w:val="97" w:hRule="atLeast"/>
        </w:trPr>
        <w:tc>
          <w:tcPr>
            <w:tcW w:w="873" w:type="pct"/>
            <w:tcBorders>
              <w:top w:val="single" w:color="auto" w:sz="4" w:space="0"/>
              <w:left w:val="single" w:color="auto" w:sz="4" w:space="0"/>
              <w:bottom w:val="single" w:color="auto" w:sz="4" w:space="0"/>
              <w:right w:val="single" w:color="auto" w:sz="4" w:space="0"/>
            </w:tcBorders>
            <w:vAlign w:val="center"/>
          </w:tcPr>
          <w:p w14:paraId="73E4DD9F">
            <w:r>
              <w:rPr>
                <w:rFonts w:hint="eastAsia"/>
              </w:rPr>
              <w:t>开</w:t>
            </w:r>
            <w:r>
              <w:t xml:space="preserve"> </w:t>
            </w:r>
            <w:r>
              <w:rPr>
                <w:rFonts w:hint="eastAsia"/>
              </w:rPr>
              <w:t>户</w:t>
            </w:r>
            <w:r>
              <w:t xml:space="preserve">  </w:t>
            </w:r>
            <w:r>
              <w:rPr>
                <w:rFonts w:hint="eastAsia"/>
              </w:rPr>
              <w:t>银</w:t>
            </w:r>
            <w:r>
              <w:t xml:space="preserve"> </w:t>
            </w:r>
            <w:r>
              <w:rPr>
                <w:rFonts w:hint="eastAsia"/>
              </w:rPr>
              <w:t>行</w:t>
            </w:r>
          </w:p>
          <w:p w14:paraId="2E172296">
            <w:r>
              <w:rPr>
                <w:rFonts w:hint="eastAsia"/>
              </w:rPr>
              <w:t>Banque d</w:t>
            </w:r>
            <w:r>
              <w:t>’</w:t>
            </w:r>
            <w:r>
              <w:rPr>
                <w:rFonts w:hint="eastAsia"/>
              </w:rPr>
              <w:t>ouverture de compte：</w:t>
            </w:r>
          </w:p>
        </w:tc>
        <w:tc>
          <w:tcPr>
            <w:tcW w:w="1538" w:type="pct"/>
            <w:tcBorders>
              <w:top w:val="single" w:color="auto" w:sz="4" w:space="0"/>
              <w:left w:val="nil"/>
              <w:bottom w:val="single" w:color="auto" w:sz="4" w:space="0"/>
              <w:right w:val="single" w:color="auto" w:sz="4" w:space="0"/>
            </w:tcBorders>
            <w:vAlign w:val="center"/>
          </w:tcPr>
          <w:p w14:paraId="489697DA">
            <w:r>
              <w:rPr>
                <w:rFonts w:hint="eastAsia"/>
              </w:rPr>
              <w:t>SOCIETE GENERALE HONG KONG</w:t>
            </w:r>
          </w:p>
        </w:tc>
        <w:tc>
          <w:tcPr>
            <w:tcW w:w="964" w:type="pct"/>
            <w:tcBorders>
              <w:top w:val="single" w:color="auto" w:sz="4" w:space="0"/>
              <w:left w:val="nil"/>
              <w:bottom w:val="single" w:color="auto" w:sz="4" w:space="0"/>
              <w:right w:val="single" w:color="auto" w:sz="4" w:space="0"/>
            </w:tcBorders>
            <w:vAlign w:val="center"/>
          </w:tcPr>
          <w:p w14:paraId="544C6B59">
            <w:r>
              <w:rPr>
                <w:rFonts w:hint="eastAsia"/>
              </w:rPr>
              <w:t>开</w:t>
            </w:r>
            <w:r>
              <w:t xml:space="preserve"> </w:t>
            </w:r>
            <w:r>
              <w:rPr>
                <w:rFonts w:hint="eastAsia"/>
              </w:rPr>
              <w:t xml:space="preserve">户 </w:t>
            </w:r>
            <w:r>
              <w:t xml:space="preserve"> </w:t>
            </w:r>
            <w:r>
              <w:rPr>
                <w:rFonts w:hint="eastAsia"/>
              </w:rPr>
              <w:t>银</w:t>
            </w:r>
            <w:r>
              <w:t xml:space="preserve"> </w:t>
            </w:r>
            <w:r>
              <w:rPr>
                <w:rFonts w:hint="eastAsia"/>
              </w:rPr>
              <w:t>行</w:t>
            </w:r>
          </w:p>
          <w:p w14:paraId="12BF176B">
            <w:r>
              <w:rPr>
                <w:rFonts w:hint="eastAsia"/>
              </w:rPr>
              <w:t>Banque d</w:t>
            </w:r>
            <w:r>
              <w:t>’</w:t>
            </w:r>
            <w:r>
              <w:rPr>
                <w:rFonts w:hint="eastAsia"/>
              </w:rPr>
              <w:t>ouverture de compte：</w:t>
            </w:r>
          </w:p>
        </w:tc>
        <w:tc>
          <w:tcPr>
            <w:tcW w:w="1625" w:type="pct"/>
            <w:tcBorders>
              <w:top w:val="single" w:color="auto" w:sz="4" w:space="0"/>
              <w:left w:val="nil"/>
              <w:bottom w:val="single" w:color="auto" w:sz="4" w:space="0"/>
              <w:right w:val="single" w:color="auto" w:sz="4" w:space="0"/>
            </w:tcBorders>
            <w:vAlign w:val="center"/>
          </w:tcPr>
          <w:p w14:paraId="47F20E6E">
            <w:pPr>
              <w:spacing w:line="360" w:lineRule="auto"/>
            </w:pPr>
          </w:p>
        </w:tc>
      </w:tr>
      <w:tr w14:paraId="096190D4">
        <w:tblPrEx>
          <w:tblCellMar>
            <w:top w:w="0" w:type="dxa"/>
            <w:left w:w="108" w:type="dxa"/>
            <w:bottom w:w="0" w:type="dxa"/>
            <w:right w:w="108" w:type="dxa"/>
          </w:tblCellMar>
        </w:tblPrEx>
        <w:trPr>
          <w:trHeight w:val="97" w:hRule="atLeast"/>
        </w:trPr>
        <w:tc>
          <w:tcPr>
            <w:tcW w:w="873" w:type="pct"/>
            <w:tcBorders>
              <w:top w:val="single" w:color="auto" w:sz="4" w:space="0"/>
              <w:left w:val="single" w:color="auto" w:sz="4" w:space="0"/>
              <w:bottom w:val="single" w:color="auto" w:sz="4" w:space="0"/>
              <w:right w:val="single" w:color="auto" w:sz="4" w:space="0"/>
            </w:tcBorders>
            <w:vAlign w:val="center"/>
          </w:tcPr>
          <w:p w14:paraId="73D15DC3">
            <w:r>
              <w:rPr>
                <w:rFonts w:hint="eastAsia"/>
              </w:rPr>
              <w:t xml:space="preserve">帐 </w:t>
            </w:r>
            <w:r>
              <w:t xml:space="preserve">       </w:t>
            </w:r>
            <w:r>
              <w:rPr>
                <w:rFonts w:hint="eastAsia"/>
              </w:rPr>
              <w:t>号</w:t>
            </w:r>
          </w:p>
          <w:p w14:paraId="4206F036">
            <w:r>
              <w:t>Numéro de compte：</w:t>
            </w:r>
          </w:p>
        </w:tc>
        <w:tc>
          <w:tcPr>
            <w:tcW w:w="1538" w:type="pct"/>
            <w:tcBorders>
              <w:top w:val="single" w:color="auto" w:sz="4" w:space="0"/>
              <w:left w:val="nil"/>
              <w:bottom w:val="single" w:color="auto" w:sz="4" w:space="0"/>
              <w:right w:val="single" w:color="auto" w:sz="4" w:space="0"/>
            </w:tcBorders>
            <w:vAlign w:val="center"/>
          </w:tcPr>
          <w:p w14:paraId="1F3A1086">
            <w:r>
              <w:rPr>
                <w:rFonts w:hint="eastAsia"/>
              </w:rPr>
              <w:t>003 001 0000755146 06</w:t>
            </w:r>
          </w:p>
        </w:tc>
        <w:tc>
          <w:tcPr>
            <w:tcW w:w="964" w:type="pct"/>
            <w:tcBorders>
              <w:top w:val="single" w:color="auto" w:sz="4" w:space="0"/>
              <w:left w:val="nil"/>
              <w:bottom w:val="single" w:color="auto" w:sz="4" w:space="0"/>
              <w:right w:val="single" w:color="auto" w:sz="4" w:space="0"/>
            </w:tcBorders>
            <w:vAlign w:val="center"/>
          </w:tcPr>
          <w:p w14:paraId="1198B468">
            <w:r>
              <w:rPr>
                <w:rFonts w:hint="eastAsia"/>
              </w:rPr>
              <w:t xml:space="preserve">帐 </w:t>
            </w:r>
            <w:r>
              <w:t xml:space="preserve">       </w:t>
            </w:r>
            <w:r>
              <w:rPr>
                <w:rFonts w:hint="eastAsia"/>
              </w:rPr>
              <w:t>号</w:t>
            </w:r>
          </w:p>
          <w:p w14:paraId="2A4DB773">
            <w:r>
              <w:t>Numéro de compte：</w:t>
            </w:r>
          </w:p>
        </w:tc>
        <w:tc>
          <w:tcPr>
            <w:tcW w:w="1625" w:type="pct"/>
            <w:tcBorders>
              <w:top w:val="single" w:color="auto" w:sz="4" w:space="0"/>
              <w:left w:val="nil"/>
              <w:bottom w:val="single" w:color="auto" w:sz="4" w:space="0"/>
              <w:right w:val="single" w:color="auto" w:sz="4" w:space="0"/>
            </w:tcBorders>
            <w:vAlign w:val="center"/>
          </w:tcPr>
          <w:p w14:paraId="02837D10"/>
        </w:tc>
      </w:tr>
      <w:tr w14:paraId="2B609073">
        <w:tblPrEx>
          <w:tblCellMar>
            <w:top w:w="0" w:type="dxa"/>
            <w:left w:w="108" w:type="dxa"/>
            <w:bottom w:w="0" w:type="dxa"/>
            <w:right w:w="108" w:type="dxa"/>
          </w:tblCellMar>
        </w:tblPrEx>
        <w:trPr>
          <w:trHeight w:val="97" w:hRule="atLeast"/>
        </w:trPr>
        <w:tc>
          <w:tcPr>
            <w:tcW w:w="873" w:type="pct"/>
            <w:tcBorders>
              <w:top w:val="single" w:color="auto" w:sz="4" w:space="0"/>
              <w:left w:val="single" w:color="auto" w:sz="4" w:space="0"/>
              <w:bottom w:val="single" w:color="auto" w:sz="4" w:space="0"/>
              <w:right w:val="single" w:color="auto" w:sz="4" w:space="0"/>
            </w:tcBorders>
            <w:vAlign w:val="center"/>
          </w:tcPr>
          <w:p w14:paraId="7EFDC977">
            <w:r>
              <w:rPr>
                <w:rFonts w:hint="eastAsia"/>
              </w:rPr>
              <w:t>纳税人登记号</w:t>
            </w:r>
          </w:p>
          <w:p w14:paraId="6926D0C1">
            <w:r>
              <w:rPr>
                <w:rFonts w:hint="eastAsia"/>
              </w:rPr>
              <w:t>NIF：</w:t>
            </w:r>
          </w:p>
        </w:tc>
        <w:tc>
          <w:tcPr>
            <w:tcW w:w="1538" w:type="pct"/>
            <w:tcBorders>
              <w:top w:val="single" w:color="auto" w:sz="4" w:space="0"/>
              <w:left w:val="nil"/>
              <w:bottom w:val="single" w:color="auto" w:sz="4" w:space="0"/>
              <w:right w:val="single" w:color="auto" w:sz="4" w:space="0"/>
            </w:tcBorders>
            <w:vAlign w:val="center"/>
          </w:tcPr>
          <w:p w14:paraId="11237AD2"/>
        </w:tc>
        <w:tc>
          <w:tcPr>
            <w:tcW w:w="964" w:type="pct"/>
            <w:tcBorders>
              <w:top w:val="single" w:color="auto" w:sz="4" w:space="0"/>
              <w:left w:val="nil"/>
              <w:bottom w:val="single" w:color="auto" w:sz="4" w:space="0"/>
              <w:right w:val="single" w:color="auto" w:sz="4" w:space="0"/>
            </w:tcBorders>
            <w:vAlign w:val="center"/>
          </w:tcPr>
          <w:p w14:paraId="192B83B0">
            <w:r>
              <w:rPr>
                <w:rFonts w:hint="eastAsia"/>
              </w:rPr>
              <w:t>纳税人登记号</w:t>
            </w:r>
          </w:p>
          <w:p w14:paraId="3567AFA9">
            <w:r>
              <w:rPr>
                <w:rFonts w:hint="eastAsia"/>
              </w:rPr>
              <w:t>NIF：</w:t>
            </w:r>
          </w:p>
        </w:tc>
        <w:tc>
          <w:tcPr>
            <w:tcW w:w="1625" w:type="pct"/>
            <w:tcBorders>
              <w:top w:val="single" w:color="auto" w:sz="4" w:space="0"/>
              <w:left w:val="nil"/>
              <w:bottom w:val="single" w:color="auto" w:sz="4" w:space="0"/>
              <w:right w:val="single" w:color="auto" w:sz="4" w:space="0"/>
            </w:tcBorders>
            <w:vAlign w:val="center"/>
          </w:tcPr>
          <w:p w14:paraId="65CAAD20"/>
        </w:tc>
      </w:tr>
      <w:tr w14:paraId="7F2F9E6C">
        <w:tblPrEx>
          <w:tblCellMar>
            <w:top w:w="0" w:type="dxa"/>
            <w:left w:w="108" w:type="dxa"/>
            <w:bottom w:w="0" w:type="dxa"/>
            <w:right w:w="108" w:type="dxa"/>
          </w:tblCellMar>
        </w:tblPrEx>
        <w:trPr>
          <w:trHeight w:val="889" w:hRule="atLeast"/>
        </w:trPr>
        <w:tc>
          <w:tcPr>
            <w:tcW w:w="873" w:type="pct"/>
            <w:tcBorders>
              <w:top w:val="single" w:color="auto" w:sz="4" w:space="0"/>
              <w:left w:val="single" w:color="auto" w:sz="4" w:space="0"/>
              <w:bottom w:val="single" w:color="auto" w:sz="4" w:space="0"/>
              <w:right w:val="single" w:color="auto" w:sz="4" w:space="0"/>
            </w:tcBorders>
            <w:vAlign w:val="center"/>
          </w:tcPr>
          <w:p w14:paraId="32924DDE">
            <w:r>
              <w:rPr>
                <w:rFonts w:hint="eastAsia"/>
              </w:rPr>
              <w:t xml:space="preserve">单 位 </w:t>
            </w:r>
            <w:r>
              <w:t xml:space="preserve"> </w:t>
            </w:r>
            <w:r>
              <w:rPr>
                <w:rFonts w:hint="eastAsia"/>
              </w:rPr>
              <w:t>盖 章</w:t>
            </w:r>
          </w:p>
          <w:p w14:paraId="31C1F911">
            <w:r>
              <w:rPr>
                <w:rFonts w:hint="eastAsia"/>
              </w:rPr>
              <w:t>Cachet</w:t>
            </w:r>
            <w:r>
              <w:t xml:space="preserve"> </w:t>
            </w:r>
            <w:r>
              <w:rPr>
                <w:rFonts w:hint="eastAsia"/>
              </w:rPr>
              <w:t>de l</w:t>
            </w:r>
            <w:r>
              <w:t>’</w:t>
            </w:r>
            <w:r>
              <w:rPr>
                <w:rFonts w:hint="eastAsia"/>
              </w:rPr>
              <w:t>entreprise</w:t>
            </w:r>
            <w:r>
              <w:t>：</w:t>
            </w:r>
          </w:p>
        </w:tc>
        <w:tc>
          <w:tcPr>
            <w:tcW w:w="1538" w:type="pct"/>
            <w:tcBorders>
              <w:top w:val="single" w:color="auto" w:sz="4" w:space="0"/>
              <w:left w:val="nil"/>
              <w:bottom w:val="single" w:color="auto" w:sz="4" w:space="0"/>
              <w:right w:val="single" w:color="auto" w:sz="4" w:space="0"/>
            </w:tcBorders>
            <w:vAlign w:val="center"/>
          </w:tcPr>
          <w:p w14:paraId="797CDC96"/>
        </w:tc>
        <w:tc>
          <w:tcPr>
            <w:tcW w:w="964" w:type="pct"/>
            <w:tcBorders>
              <w:top w:val="single" w:color="auto" w:sz="4" w:space="0"/>
              <w:left w:val="nil"/>
              <w:bottom w:val="single" w:color="auto" w:sz="4" w:space="0"/>
              <w:right w:val="single" w:color="auto" w:sz="4" w:space="0"/>
            </w:tcBorders>
            <w:vAlign w:val="center"/>
          </w:tcPr>
          <w:p w14:paraId="46275769">
            <w:r>
              <w:rPr>
                <w:rFonts w:hint="eastAsia"/>
              </w:rPr>
              <w:t xml:space="preserve">单 位 </w:t>
            </w:r>
            <w:r>
              <w:t xml:space="preserve"> </w:t>
            </w:r>
            <w:r>
              <w:rPr>
                <w:rFonts w:hint="eastAsia"/>
              </w:rPr>
              <w:t>盖 章</w:t>
            </w:r>
          </w:p>
          <w:p w14:paraId="6E5126CA">
            <w:r>
              <w:rPr>
                <w:rFonts w:hint="eastAsia"/>
              </w:rPr>
              <w:t>Cachet de l</w:t>
            </w:r>
            <w:r>
              <w:t>’</w:t>
            </w:r>
            <w:r>
              <w:rPr>
                <w:rFonts w:hint="eastAsia"/>
              </w:rPr>
              <w:t>entreprise</w:t>
            </w:r>
            <w:r>
              <w:t>：</w:t>
            </w:r>
          </w:p>
        </w:tc>
        <w:tc>
          <w:tcPr>
            <w:tcW w:w="1625" w:type="pct"/>
            <w:tcBorders>
              <w:top w:val="single" w:color="auto" w:sz="4" w:space="0"/>
              <w:left w:val="nil"/>
              <w:bottom w:val="single" w:color="auto" w:sz="4" w:space="0"/>
              <w:right w:val="single" w:color="auto" w:sz="4" w:space="0"/>
            </w:tcBorders>
            <w:vAlign w:val="center"/>
          </w:tcPr>
          <w:p w14:paraId="3A4A16CF"/>
          <w:p w14:paraId="4759CDC1"/>
          <w:p w14:paraId="5B3734B0"/>
          <w:p w14:paraId="6FED1A07"/>
          <w:p w14:paraId="760C736E"/>
          <w:p w14:paraId="56B52A96"/>
        </w:tc>
      </w:tr>
      <w:tr w14:paraId="62DDD172">
        <w:tblPrEx>
          <w:tblCellMar>
            <w:top w:w="0" w:type="dxa"/>
            <w:left w:w="108" w:type="dxa"/>
            <w:bottom w:w="0" w:type="dxa"/>
            <w:right w:w="108" w:type="dxa"/>
          </w:tblCellMar>
        </w:tblPrEx>
        <w:trPr>
          <w:trHeight w:val="1740" w:hRule="atLeast"/>
        </w:trPr>
        <w:tc>
          <w:tcPr>
            <w:tcW w:w="873" w:type="pct"/>
            <w:tcBorders>
              <w:top w:val="single" w:color="auto" w:sz="4" w:space="0"/>
              <w:left w:val="single" w:color="auto" w:sz="4" w:space="0"/>
              <w:bottom w:val="single" w:color="auto" w:sz="4" w:space="0"/>
              <w:right w:val="single" w:color="auto" w:sz="4" w:space="0"/>
            </w:tcBorders>
            <w:vAlign w:val="center"/>
          </w:tcPr>
          <w:p w14:paraId="60DD7E95">
            <w:r>
              <w:rPr>
                <w:rFonts w:hint="eastAsia"/>
              </w:rPr>
              <w:t>法定代表人或授</w:t>
            </w:r>
          </w:p>
          <w:p w14:paraId="2C4E02F5">
            <w:r>
              <w:rPr>
                <w:rFonts w:hint="eastAsia"/>
              </w:rPr>
              <w:t>权代表人签字</w:t>
            </w:r>
          </w:p>
          <w:p w14:paraId="47D428E6">
            <w:r>
              <w:rPr>
                <w:rFonts w:hint="eastAsia"/>
              </w:rPr>
              <w:t>Signature du représentant légal ou du représentant autorisé：</w:t>
            </w:r>
          </w:p>
        </w:tc>
        <w:tc>
          <w:tcPr>
            <w:tcW w:w="1538" w:type="pct"/>
            <w:tcBorders>
              <w:top w:val="single" w:color="auto" w:sz="4" w:space="0"/>
              <w:left w:val="nil"/>
              <w:bottom w:val="single" w:color="auto" w:sz="4" w:space="0"/>
              <w:right w:val="single" w:color="auto" w:sz="4" w:space="0"/>
            </w:tcBorders>
            <w:vAlign w:val="center"/>
          </w:tcPr>
          <w:p w14:paraId="3131ECBA"/>
        </w:tc>
        <w:tc>
          <w:tcPr>
            <w:tcW w:w="964" w:type="pct"/>
            <w:tcBorders>
              <w:top w:val="single" w:color="auto" w:sz="4" w:space="0"/>
              <w:left w:val="nil"/>
              <w:bottom w:val="single" w:color="auto" w:sz="4" w:space="0"/>
              <w:right w:val="single" w:color="auto" w:sz="4" w:space="0"/>
            </w:tcBorders>
            <w:vAlign w:val="center"/>
          </w:tcPr>
          <w:p w14:paraId="635367FF">
            <w:r>
              <w:rPr>
                <w:rFonts w:hint="eastAsia"/>
              </w:rPr>
              <w:t>法定代表人或授</w:t>
            </w:r>
          </w:p>
          <w:p w14:paraId="11C985F8">
            <w:r>
              <w:rPr>
                <w:rFonts w:hint="eastAsia"/>
              </w:rPr>
              <w:t>权代表人签字</w:t>
            </w:r>
          </w:p>
          <w:p w14:paraId="7B2536E2">
            <w:r>
              <w:rPr>
                <w:rFonts w:hint="eastAsia"/>
              </w:rPr>
              <w:t>Signature du représentant légal ou du représentant autorisé：</w:t>
            </w:r>
          </w:p>
        </w:tc>
        <w:tc>
          <w:tcPr>
            <w:tcW w:w="1625" w:type="pct"/>
            <w:tcBorders>
              <w:top w:val="single" w:color="auto" w:sz="4" w:space="0"/>
              <w:left w:val="nil"/>
              <w:bottom w:val="single" w:color="auto" w:sz="4" w:space="0"/>
              <w:right w:val="single" w:color="auto" w:sz="4" w:space="0"/>
            </w:tcBorders>
            <w:vAlign w:val="center"/>
          </w:tcPr>
          <w:p w14:paraId="5DB77A5B"/>
        </w:tc>
      </w:tr>
      <w:tr w14:paraId="30B0EF07">
        <w:tblPrEx>
          <w:tblCellMar>
            <w:top w:w="0" w:type="dxa"/>
            <w:left w:w="108" w:type="dxa"/>
            <w:bottom w:w="0" w:type="dxa"/>
            <w:right w:w="108" w:type="dxa"/>
          </w:tblCellMar>
        </w:tblPrEx>
        <w:trPr>
          <w:trHeight w:val="1537" w:hRule="atLeast"/>
        </w:trPr>
        <w:tc>
          <w:tcPr>
            <w:tcW w:w="873" w:type="pct"/>
            <w:tcBorders>
              <w:top w:val="single" w:color="auto" w:sz="4" w:space="0"/>
              <w:left w:val="single" w:color="auto" w:sz="4" w:space="0"/>
              <w:bottom w:val="single" w:color="auto" w:sz="4" w:space="0"/>
              <w:right w:val="single" w:color="auto" w:sz="4" w:space="0"/>
            </w:tcBorders>
            <w:vAlign w:val="center"/>
          </w:tcPr>
          <w:p w14:paraId="72B8DAD4">
            <w:r>
              <w:rPr>
                <w:rFonts w:hint="eastAsia"/>
              </w:rPr>
              <w:t xml:space="preserve">签 字 </w:t>
            </w:r>
            <w:r>
              <w:t xml:space="preserve"> </w:t>
            </w:r>
            <w:r>
              <w:rPr>
                <w:rFonts w:hint="eastAsia"/>
              </w:rPr>
              <w:t>日 期</w:t>
            </w:r>
            <w:r>
              <w:t xml:space="preserve">： </w:t>
            </w:r>
          </w:p>
          <w:p w14:paraId="38AFDDBE">
            <w:r>
              <w:rPr>
                <w:rFonts w:hint="eastAsia"/>
              </w:rPr>
              <w:t>Date de signature</w:t>
            </w:r>
          </w:p>
        </w:tc>
        <w:tc>
          <w:tcPr>
            <w:tcW w:w="1538" w:type="pct"/>
            <w:tcBorders>
              <w:top w:val="single" w:color="auto" w:sz="4" w:space="0"/>
              <w:left w:val="nil"/>
              <w:bottom w:val="single" w:color="auto" w:sz="4" w:space="0"/>
              <w:right w:val="single" w:color="auto" w:sz="4" w:space="0"/>
            </w:tcBorders>
            <w:vAlign w:val="center"/>
          </w:tcPr>
          <w:p w14:paraId="4DDA9D10"/>
        </w:tc>
        <w:tc>
          <w:tcPr>
            <w:tcW w:w="964" w:type="pct"/>
            <w:tcBorders>
              <w:top w:val="single" w:color="auto" w:sz="4" w:space="0"/>
              <w:left w:val="nil"/>
              <w:bottom w:val="single" w:color="auto" w:sz="4" w:space="0"/>
              <w:right w:val="single" w:color="auto" w:sz="4" w:space="0"/>
            </w:tcBorders>
            <w:vAlign w:val="center"/>
          </w:tcPr>
          <w:p w14:paraId="56C83CE3">
            <w:r>
              <w:rPr>
                <w:rFonts w:hint="eastAsia"/>
              </w:rPr>
              <w:t xml:space="preserve">签 字 </w:t>
            </w:r>
            <w:r>
              <w:t xml:space="preserve"> </w:t>
            </w:r>
            <w:r>
              <w:rPr>
                <w:rFonts w:hint="eastAsia"/>
              </w:rPr>
              <w:t>日 期</w:t>
            </w:r>
            <w:r>
              <w:t>：</w:t>
            </w:r>
          </w:p>
          <w:p w14:paraId="5AD4B4A5">
            <w:r>
              <w:t xml:space="preserve"> </w:t>
            </w:r>
            <w:r>
              <w:rPr>
                <w:rFonts w:hint="eastAsia"/>
              </w:rPr>
              <w:t>Date de signature</w:t>
            </w:r>
          </w:p>
        </w:tc>
        <w:tc>
          <w:tcPr>
            <w:tcW w:w="1625" w:type="pct"/>
            <w:tcBorders>
              <w:top w:val="single" w:color="auto" w:sz="4" w:space="0"/>
              <w:left w:val="nil"/>
              <w:bottom w:val="single" w:color="auto" w:sz="4" w:space="0"/>
              <w:right w:val="single" w:color="auto" w:sz="4" w:space="0"/>
            </w:tcBorders>
            <w:vAlign w:val="center"/>
          </w:tcPr>
          <w:p w14:paraId="2D22F22A"/>
        </w:tc>
      </w:tr>
    </w:tbl>
    <w:p w14:paraId="0ECEBB1C">
      <w:pPr>
        <w:spacing w:line="360" w:lineRule="auto"/>
        <w:rPr>
          <w:sz w:val="24"/>
          <w:szCs w:val="24"/>
        </w:rPr>
      </w:pPr>
      <w:bookmarkStart w:id="195" w:name="_Toc8383"/>
    </w:p>
    <w:p w14:paraId="2BECD34D">
      <w:pPr>
        <w:spacing w:line="360" w:lineRule="auto"/>
        <w:rPr>
          <w:sz w:val="24"/>
          <w:szCs w:val="24"/>
        </w:rPr>
      </w:pPr>
    </w:p>
    <w:p w14:paraId="3772F84E">
      <w:pPr>
        <w:spacing w:line="360" w:lineRule="auto"/>
        <w:rPr>
          <w:sz w:val="24"/>
          <w:szCs w:val="24"/>
        </w:rPr>
      </w:pPr>
    </w:p>
    <w:p w14:paraId="50AC9F2D">
      <w:pPr>
        <w:spacing w:line="360" w:lineRule="auto"/>
        <w:rPr>
          <w:sz w:val="24"/>
          <w:szCs w:val="24"/>
        </w:rPr>
      </w:pPr>
    </w:p>
    <w:p w14:paraId="09636F32">
      <w:pPr>
        <w:spacing w:line="360" w:lineRule="auto"/>
        <w:rPr>
          <w:b/>
          <w:kern w:val="0"/>
          <w:sz w:val="24"/>
          <w:szCs w:val="24"/>
        </w:rPr>
      </w:pPr>
      <w:r>
        <w:rPr>
          <w:b/>
          <w:kern w:val="0"/>
          <w:sz w:val="24"/>
          <w:szCs w:val="24"/>
        </w:rPr>
        <w:t>Annexe 1</w:t>
      </w:r>
    </w:p>
    <w:p w14:paraId="46AD8F94">
      <w:pPr>
        <w:keepNext/>
        <w:widowControl/>
        <w:autoSpaceDE w:val="0"/>
        <w:autoSpaceDN w:val="0"/>
        <w:spacing w:line="360" w:lineRule="auto"/>
        <w:jc w:val="left"/>
        <w:outlineLvl w:val="0"/>
        <w:rPr>
          <w:b/>
          <w:kern w:val="0"/>
          <w:sz w:val="24"/>
          <w:szCs w:val="24"/>
        </w:rPr>
      </w:pPr>
      <w:r>
        <w:rPr>
          <w:rFonts w:hint="eastAsia"/>
          <w:b/>
          <w:kern w:val="0"/>
          <w:sz w:val="24"/>
          <w:szCs w:val="24"/>
        </w:rPr>
        <w:t>合同附件1：</w:t>
      </w:r>
    </w:p>
    <w:p w14:paraId="0B6A065F">
      <w:pPr>
        <w:keepNext/>
        <w:widowControl/>
        <w:autoSpaceDE w:val="0"/>
        <w:autoSpaceDN w:val="0"/>
        <w:spacing w:line="360" w:lineRule="auto"/>
        <w:jc w:val="center"/>
        <w:outlineLvl w:val="0"/>
        <w:rPr>
          <w:b/>
          <w:kern w:val="0"/>
          <w:sz w:val="24"/>
          <w:szCs w:val="24"/>
        </w:rPr>
      </w:pPr>
      <w:r>
        <w:rPr>
          <w:b/>
          <w:kern w:val="0"/>
          <w:sz w:val="24"/>
          <w:szCs w:val="24"/>
        </w:rPr>
        <w:t>工程质量保修书</w:t>
      </w:r>
      <w:bookmarkEnd w:id="195"/>
    </w:p>
    <w:p w14:paraId="7D8329AC">
      <w:pPr>
        <w:spacing w:line="360" w:lineRule="auto"/>
        <w:jc w:val="center"/>
        <w:rPr>
          <w:b/>
          <w:kern w:val="0"/>
          <w:sz w:val="24"/>
          <w:szCs w:val="24"/>
        </w:rPr>
      </w:pPr>
      <w:r>
        <w:rPr>
          <w:b/>
          <w:kern w:val="0"/>
          <w:sz w:val="24"/>
          <w:szCs w:val="24"/>
        </w:rPr>
        <w:t>La garantie de la qualité du projet</w:t>
      </w:r>
    </w:p>
    <w:p w14:paraId="2BE2B069">
      <w:pPr>
        <w:overflowPunct w:val="0"/>
        <w:autoSpaceDE w:val="0"/>
        <w:autoSpaceDN w:val="0"/>
        <w:adjustRightInd w:val="0"/>
        <w:snapToGrid w:val="0"/>
        <w:spacing w:line="360" w:lineRule="auto"/>
        <w:ind w:firstLine="422" w:firstLineChars="201"/>
        <w:jc w:val="left"/>
        <w:rPr>
          <w:kern w:val="13"/>
          <w:szCs w:val="21"/>
        </w:rPr>
      </w:pPr>
      <w:r>
        <w:rPr>
          <w:rFonts w:hint="eastAsia"/>
          <w:kern w:val="13"/>
          <w:szCs w:val="21"/>
        </w:rPr>
        <w:t>业</w:t>
      </w:r>
      <w:r>
        <w:rPr>
          <w:kern w:val="13"/>
          <w:szCs w:val="21"/>
        </w:rPr>
        <w:t xml:space="preserve">    </w:t>
      </w:r>
      <w:r>
        <w:rPr>
          <w:rFonts w:hint="eastAsia"/>
          <w:kern w:val="13"/>
          <w:szCs w:val="21"/>
        </w:rPr>
        <w:t>主</w:t>
      </w:r>
      <w:r>
        <w:rPr>
          <w:kern w:val="13"/>
          <w:szCs w:val="21"/>
        </w:rPr>
        <w:t>/ Le Maître d’Ouvrage</w:t>
      </w:r>
      <w:r>
        <w:rPr>
          <w:rFonts w:hint="eastAsia"/>
          <w:kern w:val="13"/>
          <w:szCs w:val="21"/>
        </w:rPr>
        <w:t>：</w:t>
      </w:r>
    </w:p>
    <w:p w14:paraId="3296689D">
      <w:pPr>
        <w:overflowPunct w:val="0"/>
        <w:autoSpaceDE w:val="0"/>
        <w:autoSpaceDN w:val="0"/>
        <w:adjustRightInd w:val="0"/>
        <w:snapToGrid w:val="0"/>
        <w:spacing w:line="360" w:lineRule="auto"/>
        <w:ind w:firstLine="422" w:firstLineChars="201"/>
        <w:jc w:val="left"/>
        <w:rPr>
          <w:kern w:val="13"/>
          <w:szCs w:val="21"/>
        </w:rPr>
      </w:pPr>
      <w:r>
        <w:rPr>
          <w:rFonts w:hint="eastAsia"/>
          <w:kern w:val="13"/>
          <w:szCs w:val="21"/>
        </w:rPr>
        <w:t>承</w:t>
      </w:r>
      <w:r>
        <w:rPr>
          <w:kern w:val="13"/>
          <w:szCs w:val="21"/>
        </w:rPr>
        <w:t xml:space="preserve"> </w:t>
      </w:r>
      <w:r>
        <w:rPr>
          <w:rFonts w:hint="eastAsia"/>
          <w:kern w:val="13"/>
          <w:szCs w:val="21"/>
        </w:rPr>
        <w:t>包</w:t>
      </w:r>
      <w:r>
        <w:rPr>
          <w:kern w:val="13"/>
          <w:szCs w:val="21"/>
        </w:rPr>
        <w:t xml:space="preserve"> </w:t>
      </w:r>
      <w:r>
        <w:rPr>
          <w:rFonts w:hint="eastAsia"/>
          <w:kern w:val="13"/>
          <w:szCs w:val="21"/>
        </w:rPr>
        <w:t>商</w:t>
      </w:r>
      <w:r>
        <w:rPr>
          <w:kern w:val="13"/>
          <w:szCs w:val="21"/>
        </w:rPr>
        <w:t>/L’Entrepreneur</w:t>
      </w:r>
      <w:r>
        <w:rPr>
          <w:rFonts w:hint="eastAsia"/>
          <w:kern w:val="13"/>
          <w:szCs w:val="21"/>
        </w:rPr>
        <w:t>：</w:t>
      </w:r>
    </w:p>
    <w:p w14:paraId="4F3818EA">
      <w:pPr>
        <w:overflowPunct w:val="0"/>
        <w:autoSpaceDE w:val="0"/>
        <w:autoSpaceDN w:val="0"/>
        <w:adjustRightInd w:val="0"/>
        <w:snapToGrid w:val="0"/>
        <w:spacing w:line="360" w:lineRule="auto"/>
        <w:ind w:firstLine="422" w:firstLineChars="201"/>
        <w:jc w:val="left"/>
        <w:rPr>
          <w:kern w:val="13"/>
          <w:szCs w:val="21"/>
        </w:rPr>
      </w:pPr>
      <w:bookmarkStart w:id="196" w:name="OLE_LINK13"/>
      <w:bookmarkStart w:id="197" w:name="OLE_LINK14"/>
      <w:r>
        <w:rPr>
          <w:rFonts w:hint="eastAsia"/>
          <w:kern w:val="13"/>
          <w:szCs w:val="21"/>
        </w:rPr>
        <w:t>为保证工程在合理年限内正常使用，业主、承包商协商一致签订工程质量保修书。承包商在质量保修期内按照有关管理规定及双方约定承担工程质量保修责任。</w:t>
      </w:r>
    </w:p>
    <w:p w14:paraId="3620A698">
      <w:pPr>
        <w:overflowPunct w:val="0"/>
        <w:autoSpaceDE w:val="0"/>
        <w:autoSpaceDN w:val="0"/>
        <w:adjustRightInd w:val="0"/>
        <w:snapToGrid w:val="0"/>
        <w:spacing w:line="360" w:lineRule="auto"/>
        <w:ind w:firstLine="422" w:firstLineChars="201"/>
        <w:jc w:val="left"/>
        <w:rPr>
          <w:kern w:val="13"/>
          <w:szCs w:val="21"/>
        </w:rPr>
      </w:pPr>
      <w:r>
        <w:rPr>
          <w:kern w:val="13"/>
          <w:szCs w:val="21"/>
        </w:rPr>
        <w:t>Afin de garantir l’utilisation normale du projet dans un délai raisonnable, une garantie de qualité du projet a été signée par le Maître d’Ouvrage et l’Entrepreneur</w:t>
      </w:r>
      <w:r>
        <w:rPr>
          <w:rFonts w:hint="eastAsia"/>
          <w:kern w:val="13"/>
          <w:szCs w:val="21"/>
        </w:rPr>
        <w:t>．</w:t>
      </w:r>
      <w:r>
        <w:rPr>
          <w:kern w:val="13"/>
          <w:szCs w:val="21"/>
        </w:rPr>
        <w:t xml:space="preserve">L’Entrepreneur assume la responsabilité de la garantie de qualité du projet conformément aux règles de gestion pertinentes et à l’accord conclu entre les parties pendant </w:t>
      </w:r>
      <w:bookmarkStart w:id="198" w:name="OLE_LINK18"/>
      <w:bookmarkStart w:id="199" w:name="OLE_LINK19"/>
      <w:r>
        <w:rPr>
          <w:kern w:val="13"/>
          <w:szCs w:val="21"/>
        </w:rPr>
        <w:t>la période de garantie de la qualité</w:t>
      </w:r>
      <w:bookmarkEnd w:id="198"/>
      <w:bookmarkEnd w:id="199"/>
      <w:r>
        <w:rPr>
          <w:kern w:val="13"/>
          <w:szCs w:val="21"/>
        </w:rPr>
        <w:t>.</w:t>
      </w:r>
      <w:bookmarkEnd w:id="196"/>
      <w:bookmarkEnd w:id="197"/>
    </w:p>
    <w:p w14:paraId="1DA3EA0A">
      <w:pPr>
        <w:numPr>
          <w:ilvl w:val="0"/>
          <w:numId w:val="6"/>
        </w:numPr>
        <w:overflowPunct w:val="0"/>
        <w:autoSpaceDE w:val="0"/>
        <w:autoSpaceDN w:val="0"/>
        <w:adjustRightInd w:val="0"/>
        <w:snapToGrid w:val="0"/>
        <w:spacing w:line="360" w:lineRule="auto"/>
        <w:ind w:firstLine="422" w:firstLineChars="201"/>
        <w:jc w:val="left"/>
        <w:rPr>
          <w:kern w:val="13"/>
          <w:szCs w:val="21"/>
        </w:rPr>
      </w:pPr>
      <w:r>
        <w:rPr>
          <w:rFonts w:hint="eastAsia"/>
          <w:kern w:val="13"/>
          <w:szCs w:val="21"/>
        </w:rPr>
        <w:t>工程质量保修范围和内容</w:t>
      </w:r>
    </w:p>
    <w:p w14:paraId="34564CC9">
      <w:pPr>
        <w:overflowPunct w:val="0"/>
        <w:autoSpaceDE w:val="0"/>
        <w:autoSpaceDN w:val="0"/>
        <w:adjustRightInd w:val="0"/>
        <w:snapToGrid w:val="0"/>
        <w:spacing w:line="360" w:lineRule="auto"/>
        <w:ind w:firstLine="422" w:firstLineChars="200"/>
        <w:jc w:val="left"/>
        <w:rPr>
          <w:b/>
          <w:bCs/>
          <w:kern w:val="13"/>
          <w:szCs w:val="21"/>
        </w:rPr>
      </w:pPr>
      <w:r>
        <w:rPr>
          <w:b/>
          <w:bCs/>
          <w:kern w:val="13"/>
          <w:szCs w:val="21"/>
        </w:rPr>
        <w:t>Contenu et portée de la garantie de qualité d’ingénierie</w:t>
      </w:r>
    </w:p>
    <w:p w14:paraId="6DCC9BF9">
      <w:pPr>
        <w:overflowPunct w:val="0"/>
        <w:autoSpaceDE w:val="0"/>
        <w:autoSpaceDN w:val="0"/>
        <w:adjustRightInd w:val="0"/>
        <w:snapToGrid w:val="0"/>
        <w:spacing w:line="360" w:lineRule="auto"/>
        <w:ind w:firstLine="422" w:firstLineChars="201"/>
        <w:jc w:val="left"/>
        <w:rPr>
          <w:kern w:val="13"/>
          <w:szCs w:val="21"/>
        </w:rPr>
      </w:pPr>
      <w:r>
        <w:rPr>
          <w:rFonts w:hint="eastAsia"/>
          <w:kern w:val="13"/>
          <w:szCs w:val="21"/>
        </w:rPr>
        <w:t>质量保修范围是</w:t>
      </w:r>
      <w:r>
        <w:rPr>
          <w:kern w:val="13"/>
          <w:szCs w:val="21"/>
        </w:rPr>
        <w:t>:</w:t>
      </w:r>
      <w:bookmarkStart w:id="200" w:name="OLE_LINK16"/>
      <w:bookmarkStart w:id="201" w:name="OLE_LINK15"/>
      <w:r>
        <w:rPr>
          <w:rFonts w:hint="eastAsia"/>
          <w:kern w:val="13"/>
          <w:szCs w:val="21"/>
        </w:rPr>
        <w:t>工程承包范围</w:t>
      </w:r>
      <w:bookmarkEnd w:id="200"/>
      <w:bookmarkEnd w:id="201"/>
      <w:r>
        <w:rPr>
          <w:rFonts w:hint="eastAsia"/>
          <w:kern w:val="13"/>
          <w:szCs w:val="21"/>
        </w:rPr>
        <w:t>。</w:t>
      </w:r>
    </w:p>
    <w:p w14:paraId="5D88A14E">
      <w:pPr>
        <w:overflowPunct w:val="0"/>
        <w:autoSpaceDE w:val="0"/>
        <w:autoSpaceDN w:val="0"/>
        <w:adjustRightInd w:val="0"/>
        <w:snapToGrid w:val="0"/>
        <w:spacing w:line="360" w:lineRule="auto"/>
        <w:ind w:left="855"/>
        <w:jc w:val="left"/>
        <w:rPr>
          <w:kern w:val="13"/>
          <w:sz w:val="24"/>
          <w:szCs w:val="21"/>
        </w:rPr>
      </w:pPr>
      <w:r>
        <w:rPr>
          <w:rFonts w:hint="eastAsia"/>
          <w:kern w:val="13"/>
          <w:szCs w:val="21"/>
        </w:rPr>
        <w:t xml:space="preserve">    </w:t>
      </w:r>
      <w:r>
        <w:rPr>
          <w:kern w:val="13"/>
          <w:sz w:val="24"/>
          <w:szCs w:val="21"/>
        </w:rPr>
        <w:t>Portée de la garantie de qualité : dans le cadre du contrat d’ingénierie</w:t>
      </w:r>
    </w:p>
    <w:p w14:paraId="5DA1254B">
      <w:pPr>
        <w:overflowPunct w:val="0"/>
        <w:autoSpaceDE w:val="0"/>
        <w:autoSpaceDN w:val="0"/>
        <w:adjustRightInd w:val="0"/>
        <w:snapToGrid w:val="0"/>
        <w:spacing w:line="360" w:lineRule="auto"/>
        <w:ind w:firstLine="422" w:firstLineChars="201"/>
        <w:jc w:val="left"/>
        <w:rPr>
          <w:kern w:val="13"/>
          <w:szCs w:val="21"/>
        </w:rPr>
      </w:pPr>
      <w:r>
        <w:rPr>
          <w:rFonts w:hint="eastAsia"/>
          <w:kern w:val="13"/>
          <w:szCs w:val="21"/>
        </w:rPr>
        <w:t>二、质量保修期</w:t>
      </w:r>
    </w:p>
    <w:p w14:paraId="0A20A709">
      <w:pPr>
        <w:overflowPunct w:val="0"/>
        <w:autoSpaceDE w:val="0"/>
        <w:autoSpaceDN w:val="0"/>
        <w:adjustRightInd w:val="0"/>
        <w:snapToGrid w:val="0"/>
        <w:spacing w:line="360" w:lineRule="auto"/>
        <w:ind w:firstLine="422" w:firstLineChars="201"/>
        <w:jc w:val="left"/>
        <w:rPr>
          <w:kern w:val="13"/>
          <w:szCs w:val="21"/>
        </w:rPr>
      </w:pPr>
      <w:bookmarkStart w:id="202" w:name="OLE_LINK21"/>
      <w:bookmarkStart w:id="203" w:name="OLE_LINK20"/>
      <w:r>
        <w:rPr>
          <w:rFonts w:hint="eastAsia"/>
          <w:kern w:val="13"/>
          <w:szCs w:val="21"/>
        </w:rPr>
        <w:t>从投入使用且办理履约证书之日起分别计算保修期。本工程约定的保修期为</w:t>
      </w:r>
      <w:r>
        <w:rPr>
          <w:kern w:val="13"/>
          <w:szCs w:val="21"/>
        </w:rPr>
        <w:t>180</w:t>
      </w:r>
      <w:r>
        <w:rPr>
          <w:rFonts w:hint="eastAsia"/>
          <w:kern w:val="13"/>
          <w:szCs w:val="21"/>
        </w:rPr>
        <w:t>天。</w:t>
      </w:r>
      <w:bookmarkEnd w:id="202"/>
      <w:bookmarkEnd w:id="203"/>
    </w:p>
    <w:p w14:paraId="21B4B041">
      <w:pPr>
        <w:overflowPunct w:val="0"/>
        <w:autoSpaceDE w:val="0"/>
        <w:autoSpaceDN w:val="0"/>
        <w:adjustRightInd w:val="0"/>
        <w:snapToGrid w:val="0"/>
        <w:spacing w:line="360" w:lineRule="auto"/>
        <w:ind w:firstLine="482" w:firstLineChars="200"/>
        <w:jc w:val="left"/>
        <w:rPr>
          <w:b/>
          <w:kern w:val="13"/>
          <w:sz w:val="24"/>
          <w:szCs w:val="21"/>
        </w:rPr>
      </w:pPr>
      <w:r>
        <w:rPr>
          <w:b/>
          <w:kern w:val="13"/>
          <w:sz w:val="24"/>
          <w:szCs w:val="21"/>
        </w:rPr>
        <w:t>La période de garantie de qualité</w:t>
      </w:r>
    </w:p>
    <w:p w14:paraId="2BDA78FE">
      <w:pPr>
        <w:overflowPunct w:val="0"/>
        <w:autoSpaceDE w:val="0"/>
        <w:autoSpaceDN w:val="0"/>
        <w:adjustRightInd w:val="0"/>
        <w:snapToGrid w:val="0"/>
        <w:spacing w:line="360" w:lineRule="auto"/>
        <w:ind w:firstLine="422" w:firstLineChars="201"/>
        <w:jc w:val="left"/>
        <w:rPr>
          <w:kern w:val="13"/>
          <w:szCs w:val="21"/>
        </w:rPr>
      </w:pPr>
      <w:r>
        <w:rPr>
          <w:kern w:val="13"/>
          <w:szCs w:val="21"/>
        </w:rPr>
        <w:t>La période de garantie est calculée séparément à partir de la date de mise en service et d’attribution du certificat de performance. La période de garantie dans ce projet est conclue 180 Jours.</w:t>
      </w:r>
    </w:p>
    <w:p w14:paraId="776077C5">
      <w:pPr>
        <w:overflowPunct w:val="0"/>
        <w:autoSpaceDE w:val="0"/>
        <w:autoSpaceDN w:val="0"/>
        <w:adjustRightInd w:val="0"/>
        <w:snapToGrid w:val="0"/>
        <w:spacing w:line="360" w:lineRule="auto"/>
        <w:ind w:firstLine="422" w:firstLineChars="201"/>
        <w:jc w:val="left"/>
        <w:rPr>
          <w:kern w:val="13"/>
          <w:szCs w:val="21"/>
        </w:rPr>
      </w:pPr>
      <w:r>
        <w:rPr>
          <w:rFonts w:hint="eastAsia"/>
          <w:kern w:val="13"/>
          <w:szCs w:val="21"/>
        </w:rPr>
        <w:t>三、质量保修责任</w:t>
      </w:r>
    </w:p>
    <w:p w14:paraId="4ADFB60E">
      <w:pPr>
        <w:overflowPunct w:val="0"/>
        <w:autoSpaceDE w:val="0"/>
        <w:autoSpaceDN w:val="0"/>
        <w:adjustRightInd w:val="0"/>
        <w:snapToGrid w:val="0"/>
        <w:spacing w:line="360" w:lineRule="auto"/>
        <w:ind w:firstLine="422" w:firstLineChars="201"/>
        <w:jc w:val="left"/>
        <w:rPr>
          <w:kern w:val="13"/>
          <w:szCs w:val="21"/>
        </w:rPr>
      </w:pPr>
      <w:r>
        <w:rPr>
          <w:kern w:val="13"/>
          <w:szCs w:val="21"/>
        </w:rPr>
        <w:t>1.</w:t>
      </w:r>
      <w:r>
        <w:rPr>
          <w:rFonts w:hint="eastAsia"/>
          <w:kern w:val="13"/>
          <w:szCs w:val="21"/>
        </w:rPr>
        <w:t>属于保修范围和内容的项目，承包商应在接到修理通知之日起</w:t>
      </w:r>
      <w:r>
        <w:rPr>
          <w:kern w:val="13"/>
          <w:szCs w:val="21"/>
        </w:rPr>
        <w:t>7</w:t>
      </w:r>
      <w:r>
        <w:rPr>
          <w:rFonts w:hint="eastAsia"/>
          <w:kern w:val="13"/>
          <w:szCs w:val="21"/>
        </w:rPr>
        <w:t>天内派人修理。承包商不在约定期限内派人修理，业主可委托其他人员修理，保修费从质量保证金内扣除。</w:t>
      </w:r>
    </w:p>
    <w:p w14:paraId="035809BC">
      <w:pPr>
        <w:overflowPunct w:val="0"/>
        <w:autoSpaceDE w:val="0"/>
        <w:autoSpaceDN w:val="0"/>
        <w:adjustRightInd w:val="0"/>
        <w:snapToGrid w:val="0"/>
        <w:spacing w:line="360" w:lineRule="auto"/>
        <w:ind w:firstLine="422" w:firstLineChars="201"/>
        <w:jc w:val="left"/>
        <w:rPr>
          <w:kern w:val="13"/>
          <w:szCs w:val="21"/>
        </w:rPr>
      </w:pPr>
      <w:r>
        <w:rPr>
          <w:kern w:val="13"/>
          <w:szCs w:val="21"/>
        </w:rPr>
        <w:t>2.</w:t>
      </w:r>
      <w:bookmarkStart w:id="204" w:name="OLE_LINK26"/>
      <w:bookmarkStart w:id="205" w:name="OLE_LINK27"/>
      <w:r>
        <w:rPr>
          <w:rFonts w:hint="eastAsia"/>
          <w:kern w:val="13"/>
          <w:szCs w:val="21"/>
        </w:rPr>
        <w:t>发生紧急抢修事故，承包商接到事故通知后，应立即到达事故现场抢修。非承包商施工质量引起的事故，抢修费用由业主承担。</w:t>
      </w:r>
      <w:bookmarkEnd w:id="204"/>
      <w:bookmarkEnd w:id="205"/>
    </w:p>
    <w:p w14:paraId="637A322F">
      <w:pPr>
        <w:overflowPunct w:val="0"/>
        <w:autoSpaceDE w:val="0"/>
        <w:autoSpaceDN w:val="0"/>
        <w:adjustRightInd w:val="0"/>
        <w:snapToGrid w:val="0"/>
        <w:spacing w:line="360" w:lineRule="auto"/>
        <w:ind w:firstLine="422" w:firstLineChars="201"/>
        <w:jc w:val="left"/>
        <w:rPr>
          <w:kern w:val="13"/>
          <w:szCs w:val="21"/>
        </w:rPr>
      </w:pPr>
      <w:bookmarkStart w:id="206" w:name="OLE_LINK29"/>
      <w:bookmarkStart w:id="207" w:name="OLE_LINK28"/>
      <w:r>
        <w:rPr>
          <w:kern w:val="13"/>
          <w:szCs w:val="21"/>
        </w:rPr>
        <w:t>3.</w:t>
      </w:r>
      <w:r>
        <w:rPr>
          <w:rFonts w:hint="eastAsia"/>
          <w:kern w:val="13"/>
          <w:szCs w:val="21"/>
        </w:rPr>
        <w:t>在国家规定的工程合理使用年限内，承包商应确保施工结构质量。因承包商原因致使工程在合理使用期限内造成人身和财产损害的，承包商应承担损害赔偿责任。</w:t>
      </w:r>
      <w:bookmarkEnd w:id="206"/>
      <w:bookmarkEnd w:id="207"/>
    </w:p>
    <w:p w14:paraId="61E41A73">
      <w:pPr>
        <w:overflowPunct w:val="0"/>
        <w:autoSpaceDE w:val="0"/>
        <w:autoSpaceDN w:val="0"/>
        <w:adjustRightInd w:val="0"/>
        <w:snapToGrid w:val="0"/>
        <w:spacing w:line="360" w:lineRule="auto"/>
        <w:ind w:firstLine="482" w:firstLineChars="200"/>
        <w:jc w:val="left"/>
        <w:rPr>
          <w:b/>
          <w:kern w:val="13"/>
          <w:sz w:val="24"/>
          <w:szCs w:val="21"/>
        </w:rPr>
      </w:pPr>
      <w:r>
        <w:rPr>
          <w:b/>
          <w:kern w:val="13"/>
          <w:sz w:val="24"/>
          <w:szCs w:val="21"/>
        </w:rPr>
        <w:t xml:space="preserve">Responsabilité de la garantie de qualité </w:t>
      </w:r>
    </w:p>
    <w:p w14:paraId="06D7A4C4">
      <w:pPr>
        <w:overflowPunct w:val="0"/>
        <w:autoSpaceDE w:val="0"/>
        <w:autoSpaceDN w:val="0"/>
        <w:adjustRightInd w:val="0"/>
        <w:snapToGrid w:val="0"/>
        <w:spacing w:line="360" w:lineRule="auto"/>
        <w:ind w:firstLine="422" w:firstLineChars="201"/>
        <w:jc w:val="left"/>
        <w:rPr>
          <w:kern w:val="13"/>
          <w:szCs w:val="21"/>
        </w:rPr>
      </w:pPr>
      <w:r>
        <w:rPr>
          <w:kern w:val="13"/>
          <w:szCs w:val="21"/>
        </w:rPr>
        <w:t>(1) Pour les articles entrant dans le champ d’application et le contenu de la garantie, l’Entrepreneur enverra une réhabilitation dans les 7 jours à compter de la date de réception de l’avis de réhabilitation. En cas de l’Entrepreneur n’enverra aucune réhabilitation dans les délais convenus, le Maître d’Ouvrage pourra confier la réhabilitation à un autre personnel et les frais de réhabilitation seront déduits dans la retenue de garantie.</w:t>
      </w:r>
    </w:p>
    <w:p w14:paraId="19D8B7C4">
      <w:pPr>
        <w:overflowPunct w:val="0"/>
        <w:autoSpaceDE w:val="0"/>
        <w:autoSpaceDN w:val="0"/>
        <w:adjustRightInd w:val="0"/>
        <w:snapToGrid w:val="0"/>
        <w:spacing w:line="360" w:lineRule="auto"/>
        <w:ind w:firstLine="422" w:firstLineChars="201"/>
        <w:jc w:val="left"/>
        <w:rPr>
          <w:kern w:val="13"/>
          <w:szCs w:val="21"/>
        </w:rPr>
      </w:pPr>
      <w:r>
        <w:rPr>
          <w:kern w:val="13"/>
          <w:szCs w:val="21"/>
        </w:rPr>
        <w:t>(2) En cas d’incident de réhabilitation d’urgence, l’Entrepreneur doit arriver sur les lieux de l’incident immédiatement après avoir reçu la notification de l’incident. Les incidents causés par des autres raisons que la qualité de la construction du l’Entrepreneur sont à la charge du Maître d’Ouvrage.</w:t>
      </w:r>
    </w:p>
    <w:p w14:paraId="2A0E9566">
      <w:pPr>
        <w:overflowPunct w:val="0"/>
        <w:autoSpaceDE w:val="0"/>
        <w:autoSpaceDN w:val="0"/>
        <w:adjustRightInd w:val="0"/>
        <w:snapToGrid w:val="0"/>
        <w:spacing w:line="360" w:lineRule="auto"/>
        <w:ind w:firstLine="422" w:firstLineChars="201"/>
        <w:jc w:val="left"/>
        <w:rPr>
          <w:kern w:val="13"/>
          <w:szCs w:val="21"/>
        </w:rPr>
      </w:pPr>
      <w:r>
        <w:rPr>
          <w:kern w:val="13"/>
          <w:szCs w:val="21"/>
        </w:rPr>
        <w:t>(3) L’Entrepreneur assurera la qualité de la structure principale dans le délai d’utilisation raisonnable d’ingénierie stipulé par l’État. En cas des dommages à la personne et aux biens causés par l’Entrepreneur dans un délai raisonnable d’ingénierie, l’Entrepreneur est responsable des dommages.</w:t>
      </w:r>
    </w:p>
    <w:p w14:paraId="0C863091">
      <w:pPr>
        <w:overflowPunct w:val="0"/>
        <w:autoSpaceDE w:val="0"/>
        <w:autoSpaceDN w:val="0"/>
        <w:adjustRightInd w:val="0"/>
        <w:snapToGrid w:val="0"/>
        <w:spacing w:line="360" w:lineRule="auto"/>
        <w:ind w:firstLine="422" w:firstLineChars="201"/>
        <w:jc w:val="left"/>
        <w:rPr>
          <w:kern w:val="13"/>
          <w:szCs w:val="21"/>
        </w:rPr>
      </w:pPr>
      <w:bookmarkStart w:id="208" w:name="OLE_LINK34"/>
      <w:bookmarkStart w:id="209" w:name="OLE_LINK35"/>
      <w:r>
        <w:rPr>
          <w:rFonts w:hint="eastAsia"/>
          <w:kern w:val="13"/>
          <w:szCs w:val="21"/>
        </w:rPr>
        <w:t>四、</w:t>
      </w:r>
      <w:bookmarkEnd w:id="208"/>
      <w:bookmarkEnd w:id="209"/>
      <w:r>
        <w:rPr>
          <w:rFonts w:hint="eastAsia"/>
          <w:kern w:val="13"/>
          <w:szCs w:val="21"/>
        </w:rPr>
        <w:t>质量保证金的支付</w:t>
      </w:r>
    </w:p>
    <w:p w14:paraId="1301DB3B">
      <w:pPr>
        <w:overflowPunct w:val="0"/>
        <w:autoSpaceDE w:val="0"/>
        <w:autoSpaceDN w:val="0"/>
        <w:adjustRightInd w:val="0"/>
        <w:snapToGrid w:val="0"/>
        <w:spacing w:line="360" w:lineRule="auto"/>
        <w:ind w:firstLine="422" w:firstLineChars="201"/>
        <w:jc w:val="left"/>
        <w:rPr>
          <w:kern w:val="13"/>
          <w:szCs w:val="21"/>
        </w:rPr>
      </w:pPr>
      <w:bookmarkStart w:id="210" w:name="OLE_LINK31"/>
      <w:bookmarkStart w:id="211" w:name="OLE_LINK30"/>
      <w:r>
        <w:rPr>
          <w:rFonts w:hint="eastAsia"/>
          <w:kern w:val="13"/>
          <w:szCs w:val="21"/>
        </w:rPr>
        <w:t>本工程约定的工程质量保证金为合同结算价款的</w:t>
      </w:r>
      <w:r>
        <w:rPr>
          <w:kern w:val="13"/>
          <w:szCs w:val="21"/>
        </w:rPr>
        <w:t>3%</w:t>
      </w:r>
      <w:r>
        <w:rPr>
          <w:rFonts w:hint="eastAsia"/>
          <w:kern w:val="13"/>
          <w:szCs w:val="21"/>
        </w:rPr>
        <w:t>。</w:t>
      </w:r>
      <w:bookmarkEnd w:id="210"/>
      <w:bookmarkEnd w:id="211"/>
    </w:p>
    <w:p w14:paraId="494434E2">
      <w:pPr>
        <w:overflowPunct w:val="0"/>
        <w:autoSpaceDE w:val="0"/>
        <w:autoSpaceDN w:val="0"/>
        <w:adjustRightInd w:val="0"/>
        <w:snapToGrid w:val="0"/>
        <w:spacing w:line="360" w:lineRule="auto"/>
        <w:ind w:firstLine="482" w:firstLineChars="200"/>
        <w:jc w:val="left"/>
        <w:rPr>
          <w:b/>
          <w:kern w:val="13"/>
          <w:sz w:val="24"/>
          <w:szCs w:val="21"/>
        </w:rPr>
      </w:pPr>
      <w:r>
        <w:rPr>
          <w:b/>
          <w:kern w:val="13"/>
          <w:sz w:val="24"/>
          <w:szCs w:val="21"/>
        </w:rPr>
        <w:t>Paiement de la retenue de garantie</w:t>
      </w:r>
    </w:p>
    <w:p w14:paraId="58ADA2C2">
      <w:pPr>
        <w:overflowPunct w:val="0"/>
        <w:autoSpaceDE w:val="0"/>
        <w:autoSpaceDN w:val="0"/>
        <w:adjustRightInd w:val="0"/>
        <w:snapToGrid w:val="0"/>
        <w:spacing w:line="360" w:lineRule="auto"/>
        <w:ind w:firstLine="422" w:firstLineChars="201"/>
        <w:jc w:val="left"/>
        <w:rPr>
          <w:kern w:val="13"/>
          <w:szCs w:val="21"/>
        </w:rPr>
      </w:pPr>
      <w:r>
        <w:rPr>
          <w:kern w:val="13"/>
          <w:szCs w:val="21"/>
        </w:rPr>
        <w:t>La Retenue de garantie de ce contrat est de 3% du montant du contrat défini dans l’Accord Contractuel</w:t>
      </w:r>
      <w:r>
        <w:rPr>
          <w:rFonts w:hint="eastAsia"/>
          <w:kern w:val="13"/>
          <w:szCs w:val="21"/>
        </w:rPr>
        <w:t>．</w:t>
      </w:r>
    </w:p>
    <w:p w14:paraId="1849D275">
      <w:pPr>
        <w:overflowPunct w:val="0"/>
        <w:autoSpaceDE w:val="0"/>
        <w:autoSpaceDN w:val="0"/>
        <w:adjustRightInd w:val="0"/>
        <w:snapToGrid w:val="0"/>
        <w:spacing w:line="360" w:lineRule="auto"/>
        <w:ind w:firstLine="422" w:firstLineChars="201"/>
        <w:jc w:val="left"/>
        <w:rPr>
          <w:kern w:val="13"/>
          <w:szCs w:val="21"/>
        </w:rPr>
      </w:pPr>
      <w:r>
        <w:rPr>
          <w:rFonts w:hint="eastAsia"/>
          <w:kern w:val="13"/>
          <w:szCs w:val="21"/>
        </w:rPr>
        <w:t>五、质量保证金的退还</w:t>
      </w:r>
    </w:p>
    <w:p w14:paraId="631B8E25">
      <w:pPr>
        <w:overflowPunct w:val="0"/>
        <w:autoSpaceDE w:val="0"/>
        <w:autoSpaceDN w:val="0"/>
        <w:adjustRightInd w:val="0"/>
        <w:snapToGrid w:val="0"/>
        <w:spacing w:line="360" w:lineRule="auto"/>
        <w:ind w:firstLine="422" w:firstLineChars="201"/>
        <w:jc w:val="left"/>
        <w:rPr>
          <w:kern w:val="13"/>
          <w:szCs w:val="21"/>
        </w:rPr>
      </w:pPr>
      <w:r>
        <w:rPr>
          <w:rFonts w:hint="eastAsia"/>
          <w:kern w:val="13"/>
          <w:szCs w:val="21"/>
        </w:rPr>
        <w:t>工程质量缺陷责任期结束后</w:t>
      </w:r>
      <w:r>
        <w:rPr>
          <w:kern w:val="13"/>
          <w:szCs w:val="21"/>
        </w:rPr>
        <w:t>30</w:t>
      </w:r>
      <w:r>
        <w:rPr>
          <w:rFonts w:hint="eastAsia"/>
          <w:kern w:val="13"/>
          <w:szCs w:val="21"/>
        </w:rPr>
        <w:t>日内，承包商提供</w:t>
      </w:r>
      <w:r>
        <w:rPr>
          <w:kern w:val="13"/>
          <w:szCs w:val="21"/>
        </w:rPr>
        <w:t>3%</w:t>
      </w:r>
      <w:r>
        <w:rPr>
          <w:rFonts w:hint="eastAsia"/>
          <w:kern w:val="13"/>
          <w:szCs w:val="21"/>
        </w:rPr>
        <w:t>合同金额的收据，在所有工程缺陷经业主确认修缮完毕后予以支付。</w:t>
      </w:r>
    </w:p>
    <w:p w14:paraId="332911C3">
      <w:pPr>
        <w:overflowPunct w:val="0"/>
        <w:autoSpaceDE w:val="0"/>
        <w:autoSpaceDN w:val="0"/>
        <w:adjustRightInd w:val="0"/>
        <w:snapToGrid w:val="0"/>
        <w:spacing w:line="360" w:lineRule="auto"/>
        <w:ind w:firstLine="482" w:firstLineChars="200"/>
        <w:jc w:val="left"/>
        <w:rPr>
          <w:b/>
          <w:kern w:val="13"/>
          <w:sz w:val="24"/>
          <w:szCs w:val="21"/>
        </w:rPr>
      </w:pPr>
      <w:r>
        <w:rPr>
          <w:b/>
          <w:kern w:val="13"/>
          <w:sz w:val="24"/>
          <w:szCs w:val="21"/>
        </w:rPr>
        <w:t>Retour de la retenue de garantie</w:t>
      </w:r>
    </w:p>
    <w:p w14:paraId="499B2408">
      <w:pPr>
        <w:overflowPunct w:val="0"/>
        <w:autoSpaceDE w:val="0"/>
        <w:autoSpaceDN w:val="0"/>
        <w:adjustRightInd w:val="0"/>
        <w:snapToGrid w:val="0"/>
        <w:spacing w:line="360" w:lineRule="auto"/>
        <w:ind w:firstLine="422" w:firstLineChars="201"/>
        <w:jc w:val="left"/>
        <w:rPr>
          <w:kern w:val="13"/>
          <w:szCs w:val="21"/>
        </w:rPr>
      </w:pPr>
      <w:r>
        <w:rPr>
          <w:kern w:val="13"/>
          <w:szCs w:val="21"/>
        </w:rPr>
        <w:t>L’Entrepreneur remettra une facture représentant 3% du montant du contrat au Maitre d’Ouvrage dans les 30 jours suivant l’expiration du délai de notification des défauts, une fois que la réhabilitation des défauts et des défauts potentiels aura été confirmé par le Maitre d’Ouvrage, la retenue de garantie sera versée à l’Entrepreneur.</w:t>
      </w:r>
    </w:p>
    <w:p w14:paraId="5FC2179A">
      <w:pPr>
        <w:overflowPunct w:val="0"/>
        <w:autoSpaceDE w:val="0"/>
        <w:autoSpaceDN w:val="0"/>
        <w:adjustRightInd w:val="0"/>
        <w:snapToGrid w:val="0"/>
        <w:spacing w:line="360" w:lineRule="auto"/>
        <w:ind w:firstLine="422" w:firstLineChars="201"/>
        <w:jc w:val="left"/>
        <w:rPr>
          <w:kern w:val="13"/>
          <w:szCs w:val="21"/>
        </w:rPr>
      </w:pPr>
      <w:r>
        <w:rPr>
          <w:rFonts w:hint="eastAsia"/>
          <w:kern w:val="13"/>
          <w:szCs w:val="21"/>
        </w:rPr>
        <w:t>六、其他</w:t>
      </w:r>
    </w:p>
    <w:p w14:paraId="341060D6">
      <w:pPr>
        <w:overflowPunct w:val="0"/>
        <w:autoSpaceDE w:val="0"/>
        <w:autoSpaceDN w:val="0"/>
        <w:adjustRightInd w:val="0"/>
        <w:snapToGrid w:val="0"/>
        <w:spacing w:line="360" w:lineRule="auto"/>
        <w:ind w:firstLine="422" w:firstLineChars="201"/>
        <w:jc w:val="left"/>
        <w:rPr>
          <w:kern w:val="13"/>
          <w:szCs w:val="21"/>
        </w:rPr>
      </w:pPr>
      <w:r>
        <w:rPr>
          <w:rFonts w:hint="eastAsia"/>
          <w:kern w:val="13"/>
          <w:szCs w:val="21"/>
        </w:rPr>
        <w:t>双方约定的其它工程质量保修事项：质量保证金返还后，并不免除承包商对所施工范围在设计使用年限内的保修责任。</w:t>
      </w:r>
    </w:p>
    <w:p w14:paraId="735FCF2D">
      <w:pPr>
        <w:overflowPunct w:val="0"/>
        <w:autoSpaceDE w:val="0"/>
        <w:autoSpaceDN w:val="0"/>
        <w:adjustRightInd w:val="0"/>
        <w:snapToGrid w:val="0"/>
        <w:spacing w:line="360" w:lineRule="auto"/>
        <w:ind w:firstLine="422" w:firstLineChars="201"/>
        <w:jc w:val="left"/>
        <w:rPr>
          <w:kern w:val="13"/>
          <w:szCs w:val="21"/>
        </w:rPr>
      </w:pPr>
      <w:bookmarkStart w:id="212" w:name="OLE_LINK41"/>
      <w:bookmarkStart w:id="213" w:name="OLE_LINK40"/>
      <w:r>
        <w:rPr>
          <w:rFonts w:hint="eastAsia"/>
          <w:kern w:val="13"/>
          <w:szCs w:val="21"/>
        </w:rPr>
        <w:t>本工程质量保修书作为施工合同附件，由业主公司和承包商双方共同签署。</w:t>
      </w:r>
      <w:bookmarkEnd w:id="212"/>
      <w:bookmarkEnd w:id="213"/>
    </w:p>
    <w:p w14:paraId="3D9BDE98">
      <w:pPr>
        <w:overflowPunct w:val="0"/>
        <w:autoSpaceDE w:val="0"/>
        <w:autoSpaceDN w:val="0"/>
        <w:adjustRightInd w:val="0"/>
        <w:snapToGrid w:val="0"/>
        <w:spacing w:line="360" w:lineRule="auto"/>
        <w:ind w:firstLine="482" w:firstLineChars="200"/>
        <w:jc w:val="left"/>
        <w:rPr>
          <w:b/>
          <w:kern w:val="13"/>
          <w:sz w:val="24"/>
          <w:szCs w:val="21"/>
        </w:rPr>
      </w:pPr>
      <w:r>
        <w:rPr>
          <w:b/>
          <w:kern w:val="13"/>
          <w:sz w:val="24"/>
          <w:szCs w:val="21"/>
        </w:rPr>
        <w:t>Autres</w:t>
      </w:r>
    </w:p>
    <w:p w14:paraId="1FB740C4">
      <w:pPr>
        <w:overflowPunct w:val="0"/>
        <w:autoSpaceDE w:val="0"/>
        <w:autoSpaceDN w:val="0"/>
        <w:adjustRightInd w:val="0"/>
        <w:snapToGrid w:val="0"/>
        <w:spacing w:line="360" w:lineRule="auto"/>
        <w:ind w:firstLine="422" w:firstLineChars="201"/>
        <w:jc w:val="left"/>
        <w:rPr>
          <w:kern w:val="13"/>
          <w:szCs w:val="21"/>
        </w:rPr>
      </w:pPr>
      <w:bookmarkStart w:id="214" w:name="OLE_LINK38"/>
      <w:bookmarkStart w:id="215" w:name="OLE_LINK39"/>
      <w:r>
        <w:rPr>
          <w:kern w:val="13"/>
          <w:szCs w:val="21"/>
        </w:rPr>
        <w:t>Autres articles de la garantie de qualité d’ingénierie convenus entre les deux parties: après le retour de la retenue de garantie de qualité, cela ne dégage pas la responsabilité de la garantie de l’entrepreneur de ce projet pendant la durée de vie de la conception.</w:t>
      </w:r>
      <w:bookmarkEnd w:id="214"/>
      <w:bookmarkEnd w:id="215"/>
    </w:p>
    <w:p w14:paraId="543C66FC">
      <w:pPr>
        <w:overflowPunct w:val="0"/>
        <w:autoSpaceDE w:val="0"/>
        <w:autoSpaceDN w:val="0"/>
        <w:adjustRightInd w:val="0"/>
        <w:snapToGrid w:val="0"/>
        <w:spacing w:line="360" w:lineRule="auto"/>
        <w:ind w:firstLine="422" w:firstLineChars="201"/>
        <w:jc w:val="left"/>
        <w:rPr>
          <w:kern w:val="13"/>
          <w:szCs w:val="21"/>
        </w:rPr>
      </w:pPr>
      <w:bookmarkStart w:id="216" w:name="OLE_LINK43"/>
      <w:bookmarkStart w:id="217" w:name="OLE_LINK42"/>
      <w:r>
        <w:rPr>
          <w:kern w:val="13"/>
          <w:szCs w:val="21"/>
        </w:rPr>
        <w:t>La garantie de la qualité de ce projet est signée par le Maître d’Ouvrage et l’Entrepreneur, en tant que pièce jointe au contrat de construction.</w:t>
      </w:r>
      <w:bookmarkEnd w:id="216"/>
      <w:bookmarkEnd w:id="217"/>
    </w:p>
    <w:p w14:paraId="2C47ABD6"/>
    <w:p w14:paraId="549805DC">
      <w:pPr>
        <w:spacing w:line="360" w:lineRule="auto"/>
        <w:rPr>
          <w:bCs/>
          <w:kern w:val="0"/>
          <w:szCs w:val="21"/>
        </w:rPr>
      </w:pPr>
    </w:p>
    <w:p w14:paraId="6725AFF2">
      <w:pPr>
        <w:spacing w:line="360" w:lineRule="auto"/>
        <w:rPr>
          <w:bCs/>
          <w:kern w:val="0"/>
          <w:szCs w:val="21"/>
        </w:rPr>
      </w:pPr>
    </w:p>
    <w:p w14:paraId="2BDBCDC0">
      <w:pPr>
        <w:spacing w:line="360" w:lineRule="auto"/>
        <w:rPr>
          <w:bCs/>
          <w:kern w:val="0"/>
          <w:szCs w:val="21"/>
        </w:rPr>
      </w:pPr>
    </w:p>
    <w:p w14:paraId="2A711BBD">
      <w:pPr>
        <w:spacing w:line="360" w:lineRule="auto"/>
        <w:rPr>
          <w:bCs/>
          <w:kern w:val="0"/>
          <w:szCs w:val="21"/>
        </w:rPr>
      </w:pPr>
    </w:p>
    <w:p w14:paraId="5041E518">
      <w:pPr>
        <w:spacing w:line="360" w:lineRule="auto"/>
        <w:rPr>
          <w:bCs/>
          <w:kern w:val="0"/>
          <w:szCs w:val="21"/>
        </w:rPr>
      </w:pPr>
    </w:p>
    <w:p w14:paraId="0AFEB5D8">
      <w:pPr>
        <w:spacing w:line="360" w:lineRule="auto"/>
        <w:rPr>
          <w:bCs/>
          <w:kern w:val="0"/>
          <w:szCs w:val="21"/>
        </w:rPr>
      </w:pPr>
    </w:p>
    <w:p w14:paraId="6892D710">
      <w:pPr>
        <w:spacing w:line="360" w:lineRule="auto"/>
        <w:rPr>
          <w:bCs/>
          <w:kern w:val="0"/>
          <w:szCs w:val="21"/>
        </w:rPr>
      </w:pPr>
    </w:p>
    <w:p w14:paraId="64517879">
      <w:pPr>
        <w:spacing w:line="360" w:lineRule="auto"/>
        <w:rPr>
          <w:bCs/>
          <w:kern w:val="0"/>
          <w:szCs w:val="21"/>
        </w:rPr>
      </w:pPr>
    </w:p>
    <w:p w14:paraId="248796DF">
      <w:pPr>
        <w:spacing w:line="360" w:lineRule="auto"/>
        <w:rPr>
          <w:bCs/>
          <w:kern w:val="0"/>
          <w:szCs w:val="21"/>
        </w:rPr>
      </w:pPr>
    </w:p>
    <w:p w14:paraId="00B3A57C">
      <w:pPr>
        <w:spacing w:line="360" w:lineRule="auto"/>
        <w:rPr>
          <w:bCs/>
          <w:kern w:val="0"/>
          <w:szCs w:val="21"/>
        </w:rPr>
      </w:pPr>
    </w:p>
    <w:p w14:paraId="06E02991">
      <w:pPr>
        <w:spacing w:line="360" w:lineRule="auto"/>
        <w:rPr>
          <w:bCs/>
          <w:kern w:val="0"/>
          <w:szCs w:val="21"/>
        </w:rPr>
      </w:pPr>
    </w:p>
    <w:p w14:paraId="60A756E6">
      <w:pPr>
        <w:spacing w:line="360" w:lineRule="auto"/>
        <w:rPr>
          <w:bCs/>
          <w:kern w:val="0"/>
          <w:szCs w:val="21"/>
        </w:rPr>
      </w:pPr>
    </w:p>
    <w:p w14:paraId="0EBD95E1">
      <w:pPr>
        <w:spacing w:line="360" w:lineRule="auto"/>
        <w:rPr>
          <w:bCs/>
          <w:kern w:val="0"/>
          <w:szCs w:val="21"/>
        </w:rPr>
      </w:pPr>
    </w:p>
    <w:p w14:paraId="1A2B8C24">
      <w:pPr>
        <w:spacing w:line="360" w:lineRule="auto"/>
        <w:jc w:val="left"/>
        <w:rPr>
          <w:b/>
          <w:kern w:val="0"/>
          <w:sz w:val="24"/>
          <w:szCs w:val="24"/>
        </w:rPr>
      </w:pPr>
      <w:r>
        <w:rPr>
          <w:rFonts w:hint="eastAsia"/>
          <w:b/>
          <w:kern w:val="0"/>
          <w:sz w:val="24"/>
          <w:szCs w:val="24"/>
        </w:rPr>
        <w:t>合同附件2：</w:t>
      </w:r>
      <w:r>
        <w:rPr>
          <w:b/>
          <w:kern w:val="0"/>
          <w:sz w:val="24"/>
          <w:szCs w:val="24"/>
        </w:rPr>
        <w:t xml:space="preserve"> </w:t>
      </w:r>
    </w:p>
    <w:p w14:paraId="13AC0BC9">
      <w:pPr>
        <w:spacing w:line="360" w:lineRule="auto"/>
        <w:jc w:val="left"/>
        <w:rPr>
          <w:b/>
          <w:kern w:val="0"/>
          <w:sz w:val="24"/>
          <w:szCs w:val="24"/>
        </w:rPr>
      </w:pPr>
      <w:r>
        <w:rPr>
          <w:b/>
          <w:kern w:val="0"/>
          <w:sz w:val="24"/>
          <w:szCs w:val="24"/>
        </w:rPr>
        <w:t xml:space="preserve">Annexe </w:t>
      </w:r>
      <w:r>
        <w:rPr>
          <w:rFonts w:hint="eastAsia"/>
          <w:b/>
          <w:kern w:val="0"/>
          <w:sz w:val="24"/>
          <w:szCs w:val="24"/>
        </w:rPr>
        <w:t>2</w:t>
      </w:r>
    </w:p>
    <w:p w14:paraId="4A4CD52B">
      <w:pPr>
        <w:jc w:val="center"/>
        <w:rPr>
          <w:kern w:val="13"/>
          <w:szCs w:val="21"/>
        </w:rPr>
      </w:pPr>
      <w:r>
        <w:rPr>
          <w:b/>
          <w:kern w:val="13"/>
          <w:sz w:val="24"/>
          <w:szCs w:val="24"/>
        </w:rPr>
        <w:t>安全管理协议</w:t>
      </w:r>
    </w:p>
    <w:p w14:paraId="009AA07A">
      <w:pPr>
        <w:tabs>
          <w:tab w:val="left" w:pos="482"/>
        </w:tabs>
        <w:spacing w:line="360" w:lineRule="auto"/>
        <w:ind w:firstLine="420" w:firstLineChars="200"/>
        <w:rPr>
          <w:kern w:val="13"/>
          <w:szCs w:val="21"/>
        </w:rPr>
      </w:pPr>
    </w:p>
    <w:p w14:paraId="470B113B">
      <w:pPr>
        <w:adjustRightInd w:val="0"/>
        <w:snapToGrid w:val="0"/>
        <w:ind w:firstLine="420" w:firstLineChars="200"/>
        <w:jc w:val="left"/>
        <w:rPr>
          <w:kern w:val="13"/>
          <w:szCs w:val="21"/>
        </w:rPr>
      </w:pPr>
      <w:r>
        <w:rPr>
          <w:rFonts w:hint="eastAsia"/>
          <w:kern w:val="13"/>
          <w:szCs w:val="21"/>
        </w:rPr>
        <w:t>项目名称：</w:t>
      </w:r>
      <w:r>
        <w:rPr>
          <w:rFonts w:hint="eastAsia"/>
        </w:rPr>
        <w:t>几内亚高丽亚矿山股份有限公司</w:t>
      </w:r>
      <w:r>
        <w:rPr>
          <w:rFonts w:hint="eastAsia"/>
          <w:lang w:val="en-US"/>
        </w:rPr>
        <w:t>蒂美伟-</w:t>
      </w:r>
      <w:r>
        <w:rPr>
          <w:rFonts w:hint="eastAsia"/>
        </w:rPr>
        <w:t>孔苏达米社区道路</w:t>
      </w:r>
      <w:r>
        <w:rPr>
          <w:rFonts w:hint="eastAsia"/>
          <w:lang w:val="en-US"/>
        </w:rPr>
        <w:t>修</w:t>
      </w:r>
      <w:r>
        <w:rPr>
          <w:rFonts w:hint="eastAsia"/>
        </w:rPr>
        <w:t>缮项目</w:t>
      </w:r>
    </w:p>
    <w:p w14:paraId="0EA0E505">
      <w:pPr>
        <w:tabs>
          <w:tab w:val="left" w:pos="482"/>
        </w:tabs>
        <w:spacing w:line="360" w:lineRule="auto"/>
        <w:ind w:firstLine="420" w:firstLineChars="200"/>
        <w:rPr>
          <w:kern w:val="13"/>
          <w:szCs w:val="21"/>
        </w:rPr>
      </w:pPr>
      <w:r>
        <w:rPr>
          <w:rFonts w:hint="eastAsia"/>
          <w:kern w:val="13"/>
          <w:szCs w:val="21"/>
        </w:rPr>
        <w:t>甲方：几内亚高丽亚矿山股份有限公司</w:t>
      </w:r>
    </w:p>
    <w:p w14:paraId="4D7EB4ED">
      <w:pPr>
        <w:tabs>
          <w:tab w:val="left" w:pos="482"/>
        </w:tabs>
        <w:spacing w:line="360" w:lineRule="auto"/>
        <w:ind w:firstLine="420" w:firstLineChars="200"/>
        <w:rPr>
          <w:kern w:val="13"/>
          <w:szCs w:val="21"/>
        </w:rPr>
      </w:pPr>
      <w:r>
        <w:rPr>
          <w:rFonts w:hint="eastAsia"/>
          <w:kern w:val="13"/>
          <w:szCs w:val="21"/>
        </w:rPr>
        <w:t>承包方：（以下简称乙方）</w:t>
      </w:r>
    </w:p>
    <w:p w14:paraId="10EFC636">
      <w:pPr>
        <w:tabs>
          <w:tab w:val="left" w:pos="482"/>
        </w:tabs>
        <w:spacing w:line="360" w:lineRule="auto"/>
        <w:ind w:firstLine="420" w:firstLineChars="200"/>
        <w:rPr>
          <w:kern w:val="13"/>
          <w:szCs w:val="21"/>
        </w:rPr>
      </w:pPr>
      <w:r>
        <w:rPr>
          <w:rFonts w:hint="eastAsia"/>
          <w:kern w:val="13"/>
          <w:szCs w:val="21"/>
        </w:rPr>
        <w:t>协议期限：自项目合同签订之日起至合同终结之日止</w:t>
      </w:r>
    </w:p>
    <w:p w14:paraId="5993BE7D">
      <w:pPr>
        <w:tabs>
          <w:tab w:val="left" w:pos="482"/>
        </w:tabs>
        <w:spacing w:line="360" w:lineRule="auto"/>
        <w:ind w:firstLine="420" w:firstLineChars="200"/>
        <w:rPr>
          <w:kern w:val="13"/>
          <w:szCs w:val="21"/>
        </w:rPr>
      </w:pPr>
      <w:r>
        <w:rPr>
          <w:rFonts w:hint="eastAsia"/>
          <w:kern w:val="13"/>
          <w:szCs w:val="21"/>
        </w:rPr>
        <w:t>为明确甲乙双方在项目实施过程中的安全责任、权利和义务，提高现场安全文明管理水平，保障人员的安全与健康，确保设备和环境安全，结合本项目特点，经甲乙双方充分协商达成一致，与合同一并签订。</w:t>
      </w:r>
    </w:p>
    <w:p w14:paraId="13FF9615">
      <w:pPr>
        <w:tabs>
          <w:tab w:val="left" w:pos="482"/>
        </w:tabs>
        <w:spacing w:line="360" w:lineRule="auto"/>
        <w:ind w:firstLine="420" w:firstLineChars="200"/>
        <w:rPr>
          <w:kern w:val="13"/>
          <w:szCs w:val="21"/>
        </w:rPr>
      </w:pPr>
      <w:r>
        <w:rPr>
          <w:rFonts w:hint="eastAsia"/>
          <w:kern w:val="13"/>
          <w:szCs w:val="21"/>
        </w:rPr>
        <w:t>一、安全环保目标</w:t>
      </w:r>
    </w:p>
    <w:p w14:paraId="4F2D60D8">
      <w:pPr>
        <w:tabs>
          <w:tab w:val="left" w:pos="482"/>
        </w:tabs>
        <w:spacing w:line="360" w:lineRule="auto"/>
        <w:ind w:firstLine="420" w:firstLineChars="200"/>
        <w:rPr>
          <w:kern w:val="13"/>
          <w:szCs w:val="21"/>
        </w:rPr>
      </w:pPr>
      <w:r>
        <w:rPr>
          <w:rFonts w:hint="eastAsia"/>
          <w:kern w:val="13"/>
          <w:szCs w:val="21"/>
        </w:rPr>
        <w:t>（一）安全工作目标</w:t>
      </w:r>
    </w:p>
    <w:p w14:paraId="1AE927AC">
      <w:pPr>
        <w:tabs>
          <w:tab w:val="left" w:pos="482"/>
        </w:tabs>
        <w:spacing w:line="360" w:lineRule="auto"/>
        <w:ind w:firstLine="420" w:firstLineChars="200"/>
        <w:rPr>
          <w:kern w:val="13"/>
          <w:szCs w:val="21"/>
        </w:rPr>
      </w:pPr>
      <w:r>
        <w:rPr>
          <w:rFonts w:hint="eastAsia"/>
          <w:kern w:val="13"/>
          <w:szCs w:val="21"/>
        </w:rPr>
        <w:t>1.不发生轻伤及以上人身伤害事件、二类障碍；（必选）</w:t>
      </w:r>
    </w:p>
    <w:p w14:paraId="7DA3A5DB">
      <w:pPr>
        <w:tabs>
          <w:tab w:val="left" w:pos="482"/>
        </w:tabs>
        <w:spacing w:line="360" w:lineRule="auto"/>
        <w:ind w:firstLine="420" w:firstLineChars="200"/>
        <w:rPr>
          <w:kern w:val="13"/>
          <w:szCs w:val="21"/>
        </w:rPr>
      </w:pPr>
      <w:r>
        <w:rPr>
          <w:rFonts w:hint="eastAsia"/>
          <w:kern w:val="13"/>
          <w:szCs w:val="21"/>
        </w:rPr>
        <w:t>2.设备二类故障为0；（必选）</w:t>
      </w:r>
    </w:p>
    <w:p w14:paraId="0A1EC17E">
      <w:pPr>
        <w:tabs>
          <w:tab w:val="left" w:pos="482"/>
        </w:tabs>
        <w:spacing w:line="360" w:lineRule="auto"/>
        <w:ind w:firstLine="420" w:firstLineChars="200"/>
        <w:rPr>
          <w:kern w:val="13"/>
          <w:szCs w:val="21"/>
        </w:rPr>
      </w:pPr>
      <w:r>
        <w:rPr>
          <w:rFonts w:hint="eastAsia"/>
          <w:kern w:val="13"/>
          <w:szCs w:val="21"/>
        </w:rPr>
        <w:t>3.一般及以上火情事件为0；（必选）</w:t>
      </w:r>
    </w:p>
    <w:p w14:paraId="58F1A6DC">
      <w:pPr>
        <w:tabs>
          <w:tab w:val="left" w:pos="482"/>
        </w:tabs>
        <w:spacing w:line="360" w:lineRule="auto"/>
        <w:ind w:firstLine="420" w:firstLineChars="200"/>
        <w:rPr>
          <w:kern w:val="13"/>
          <w:szCs w:val="21"/>
        </w:rPr>
      </w:pPr>
      <w:r>
        <w:rPr>
          <w:rFonts w:hint="eastAsia"/>
          <w:kern w:val="13"/>
          <w:szCs w:val="21"/>
        </w:rPr>
        <w:t>4.轻微及以上场内道路交通事故为0；（必选）</w:t>
      </w:r>
    </w:p>
    <w:p w14:paraId="499B2694">
      <w:pPr>
        <w:tabs>
          <w:tab w:val="left" w:pos="482"/>
        </w:tabs>
        <w:spacing w:line="360" w:lineRule="auto"/>
        <w:ind w:firstLine="420" w:firstLineChars="200"/>
        <w:rPr>
          <w:kern w:val="13"/>
          <w:szCs w:val="21"/>
        </w:rPr>
      </w:pPr>
      <w:r>
        <w:rPr>
          <w:rFonts w:hint="eastAsia"/>
          <w:kern w:val="13"/>
          <w:szCs w:val="21"/>
        </w:rPr>
        <w:t>5.重大事故隐患为0；（必选）</w:t>
      </w:r>
    </w:p>
    <w:p w14:paraId="6023E1BE">
      <w:pPr>
        <w:tabs>
          <w:tab w:val="left" w:pos="482"/>
        </w:tabs>
        <w:spacing w:line="360" w:lineRule="auto"/>
        <w:ind w:firstLine="420" w:firstLineChars="200"/>
        <w:rPr>
          <w:kern w:val="13"/>
          <w:szCs w:val="21"/>
        </w:rPr>
      </w:pPr>
      <w:r>
        <w:rPr>
          <w:rFonts w:hint="eastAsia"/>
          <w:kern w:val="13"/>
          <w:szCs w:val="21"/>
        </w:rPr>
        <w:t>6.消防设施、灭火器材完好率100%；（必选）</w:t>
      </w:r>
    </w:p>
    <w:p w14:paraId="5B981807">
      <w:pPr>
        <w:tabs>
          <w:tab w:val="left" w:pos="482"/>
        </w:tabs>
        <w:spacing w:line="360" w:lineRule="auto"/>
        <w:ind w:firstLine="420" w:firstLineChars="200"/>
        <w:rPr>
          <w:kern w:val="13"/>
          <w:szCs w:val="21"/>
        </w:rPr>
      </w:pPr>
      <w:r>
        <w:rPr>
          <w:rFonts w:hint="eastAsia"/>
          <w:kern w:val="13"/>
          <w:szCs w:val="21"/>
        </w:rPr>
        <w:t>7.安全教育覆盖率、合格率为100%；（必选）</w:t>
      </w:r>
    </w:p>
    <w:p w14:paraId="74DEB4DC">
      <w:pPr>
        <w:tabs>
          <w:tab w:val="left" w:pos="482"/>
        </w:tabs>
        <w:spacing w:line="360" w:lineRule="auto"/>
        <w:ind w:firstLine="420" w:firstLineChars="200"/>
        <w:rPr>
          <w:kern w:val="13"/>
          <w:szCs w:val="21"/>
        </w:rPr>
      </w:pPr>
      <w:r>
        <w:rPr>
          <w:rFonts w:hint="eastAsia"/>
          <w:kern w:val="13"/>
          <w:szCs w:val="21"/>
        </w:rPr>
        <w:t>8.不发生一般及以上责任性网络安全事件；（必选）</w:t>
      </w:r>
    </w:p>
    <w:p w14:paraId="1ECD407A">
      <w:pPr>
        <w:tabs>
          <w:tab w:val="left" w:pos="482"/>
        </w:tabs>
        <w:spacing w:line="360" w:lineRule="auto"/>
        <w:ind w:firstLine="420" w:firstLineChars="200"/>
        <w:rPr>
          <w:kern w:val="13"/>
          <w:szCs w:val="21"/>
        </w:rPr>
      </w:pPr>
      <w:r>
        <w:rPr>
          <w:rFonts w:hint="eastAsia"/>
          <w:kern w:val="13"/>
          <w:szCs w:val="21"/>
        </w:rPr>
        <w:t>9.不发生职责范围内被政府主管部门通报或甲方集团公司约谈、处罚、处分的安全事件。（必选）</w:t>
      </w:r>
    </w:p>
    <w:p w14:paraId="432F592B">
      <w:pPr>
        <w:tabs>
          <w:tab w:val="left" w:pos="482"/>
        </w:tabs>
        <w:spacing w:line="360" w:lineRule="auto"/>
        <w:ind w:firstLine="420" w:firstLineChars="200"/>
        <w:rPr>
          <w:kern w:val="13"/>
          <w:szCs w:val="21"/>
        </w:rPr>
      </w:pPr>
      <w:r>
        <w:rPr>
          <w:rFonts w:hint="eastAsia"/>
          <w:kern w:val="13"/>
          <w:szCs w:val="21"/>
        </w:rPr>
        <w:t>（二）环保工作目标</w:t>
      </w:r>
    </w:p>
    <w:p w14:paraId="0A7CA017">
      <w:pPr>
        <w:tabs>
          <w:tab w:val="left" w:pos="482"/>
        </w:tabs>
        <w:spacing w:line="360" w:lineRule="auto"/>
        <w:ind w:firstLine="420" w:firstLineChars="200"/>
        <w:rPr>
          <w:kern w:val="13"/>
          <w:szCs w:val="21"/>
        </w:rPr>
      </w:pPr>
      <w:r>
        <w:rPr>
          <w:rFonts w:hint="eastAsia"/>
          <w:kern w:val="13"/>
          <w:szCs w:val="21"/>
        </w:rPr>
        <w:t>1.突发环境事件为0；（必选）</w:t>
      </w:r>
    </w:p>
    <w:p w14:paraId="6A16412F">
      <w:pPr>
        <w:tabs>
          <w:tab w:val="left" w:pos="482"/>
        </w:tabs>
        <w:spacing w:line="360" w:lineRule="auto"/>
        <w:ind w:firstLine="420" w:firstLineChars="200"/>
        <w:rPr>
          <w:kern w:val="13"/>
          <w:szCs w:val="21"/>
        </w:rPr>
      </w:pPr>
      <w:r>
        <w:rPr>
          <w:rFonts w:hint="eastAsia"/>
          <w:kern w:val="13"/>
          <w:szCs w:val="21"/>
        </w:rPr>
        <w:t>2.固废（含危废）暂存、转运和处置合规率100%；（必选）</w:t>
      </w:r>
    </w:p>
    <w:p w14:paraId="72CF9611">
      <w:pPr>
        <w:tabs>
          <w:tab w:val="left" w:pos="482"/>
        </w:tabs>
        <w:spacing w:line="360" w:lineRule="auto"/>
        <w:ind w:firstLine="420" w:firstLineChars="200"/>
        <w:rPr>
          <w:kern w:val="13"/>
          <w:szCs w:val="21"/>
        </w:rPr>
      </w:pPr>
      <w:r>
        <w:rPr>
          <w:rFonts w:hint="eastAsia"/>
          <w:kern w:val="13"/>
          <w:szCs w:val="21"/>
        </w:rPr>
        <w:t>3.杜绝生态环保违法违规行为（必选）</w:t>
      </w:r>
    </w:p>
    <w:p w14:paraId="20BCFCE5">
      <w:pPr>
        <w:tabs>
          <w:tab w:val="left" w:pos="482"/>
        </w:tabs>
        <w:spacing w:line="360" w:lineRule="auto"/>
        <w:ind w:firstLine="420" w:firstLineChars="200"/>
        <w:rPr>
          <w:kern w:val="13"/>
          <w:szCs w:val="21"/>
        </w:rPr>
      </w:pPr>
      <w:r>
        <w:rPr>
          <w:rFonts w:hint="eastAsia"/>
          <w:kern w:val="13"/>
          <w:szCs w:val="21"/>
        </w:rPr>
        <w:t>4.不因本单位原因发生受环保相关部门处罚事件；（必选）</w:t>
      </w:r>
    </w:p>
    <w:p w14:paraId="0D3E9444">
      <w:pPr>
        <w:tabs>
          <w:tab w:val="left" w:pos="482"/>
        </w:tabs>
        <w:spacing w:line="360" w:lineRule="auto"/>
        <w:ind w:firstLine="420" w:firstLineChars="200"/>
        <w:rPr>
          <w:kern w:val="13"/>
          <w:szCs w:val="21"/>
        </w:rPr>
      </w:pPr>
      <w:r>
        <w:rPr>
          <w:rFonts w:hint="eastAsia"/>
          <w:kern w:val="13"/>
          <w:szCs w:val="21"/>
        </w:rPr>
        <w:t>5.不发生职责范围内被甲方集团公司约谈、处罚、处分的环保事件。（必选）</w:t>
      </w:r>
    </w:p>
    <w:p w14:paraId="34CABB96">
      <w:pPr>
        <w:tabs>
          <w:tab w:val="left" w:pos="482"/>
        </w:tabs>
        <w:spacing w:line="360" w:lineRule="auto"/>
        <w:ind w:firstLine="420" w:firstLineChars="200"/>
        <w:rPr>
          <w:kern w:val="13"/>
          <w:szCs w:val="21"/>
        </w:rPr>
      </w:pPr>
      <w:r>
        <w:rPr>
          <w:rFonts w:hint="eastAsia"/>
          <w:kern w:val="13"/>
          <w:szCs w:val="21"/>
        </w:rPr>
        <w:t>（三）职业健康工作目标</w:t>
      </w:r>
    </w:p>
    <w:p w14:paraId="608B3CE3">
      <w:pPr>
        <w:tabs>
          <w:tab w:val="left" w:pos="482"/>
        </w:tabs>
        <w:spacing w:line="360" w:lineRule="auto"/>
        <w:ind w:firstLine="420" w:firstLineChars="200"/>
        <w:rPr>
          <w:kern w:val="13"/>
          <w:szCs w:val="21"/>
        </w:rPr>
      </w:pPr>
      <w:r>
        <w:rPr>
          <w:rFonts w:hint="eastAsia"/>
          <w:kern w:val="13"/>
          <w:szCs w:val="21"/>
        </w:rPr>
        <w:t>1.新发职业病为0；（必选）</w:t>
      </w:r>
    </w:p>
    <w:p w14:paraId="58ABB0AC">
      <w:pPr>
        <w:tabs>
          <w:tab w:val="left" w:pos="482"/>
        </w:tabs>
        <w:spacing w:line="360" w:lineRule="auto"/>
        <w:ind w:firstLine="420" w:firstLineChars="200"/>
        <w:rPr>
          <w:kern w:val="13"/>
          <w:szCs w:val="21"/>
        </w:rPr>
      </w:pPr>
      <w:r>
        <w:rPr>
          <w:rFonts w:hint="eastAsia"/>
          <w:kern w:val="13"/>
          <w:szCs w:val="21"/>
        </w:rPr>
        <w:t>2.中几方员工职业体检率100%。（必选）</w:t>
      </w:r>
    </w:p>
    <w:p w14:paraId="4DA59904">
      <w:pPr>
        <w:tabs>
          <w:tab w:val="left" w:pos="482"/>
        </w:tabs>
        <w:spacing w:line="360" w:lineRule="auto"/>
        <w:ind w:firstLine="420" w:firstLineChars="200"/>
        <w:rPr>
          <w:kern w:val="13"/>
          <w:szCs w:val="21"/>
        </w:rPr>
      </w:pPr>
      <w:r>
        <w:rPr>
          <w:rFonts w:hint="eastAsia"/>
          <w:kern w:val="13"/>
          <w:szCs w:val="21"/>
        </w:rPr>
        <w:t>（四）公共安全目标</w:t>
      </w:r>
    </w:p>
    <w:p w14:paraId="64EC02D2">
      <w:pPr>
        <w:tabs>
          <w:tab w:val="left" w:pos="482"/>
        </w:tabs>
        <w:spacing w:line="360" w:lineRule="auto"/>
        <w:ind w:firstLine="420" w:firstLineChars="200"/>
        <w:rPr>
          <w:kern w:val="13"/>
          <w:szCs w:val="21"/>
        </w:rPr>
      </w:pPr>
      <w:r>
        <w:rPr>
          <w:rFonts w:hint="eastAsia"/>
          <w:kern w:val="13"/>
          <w:szCs w:val="21"/>
        </w:rPr>
        <w:t>不因本单位原因发生20人以上阻工阻路事件；（必选）</w:t>
      </w:r>
    </w:p>
    <w:p w14:paraId="4D35205C">
      <w:pPr>
        <w:tabs>
          <w:tab w:val="left" w:pos="482"/>
        </w:tabs>
        <w:spacing w:line="360" w:lineRule="auto"/>
        <w:ind w:firstLine="420" w:firstLineChars="200"/>
        <w:rPr>
          <w:kern w:val="13"/>
          <w:szCs w:val="21"/>
        </w:rPr>
      </w:pPr>
      <w:r>
        <w:rPr>
          <w:rFonts w:hint="eastAsia"/>
          <w:kern w:val="13"/>
          <w:szCs w:val="21"/>
        </w:rPr>
        <w:t>二、甲、乙双方的安全管理职责</w:t>
      </w:r>
    </w:p>
    <w:p w14:paraId="0A273CBF">
      <w:pPr>
        <w:tabs>
          <w:tab w:val="left" w:pos="482"/>
        </w:tabs>
        <w:spacing w:line="360" w:lineRule="auto"/>
        <w:ind w:firstLine="420" w:firstLineChars="200"/>
        <w:rPr>
          <w:kern w:val="13"/>
          <w:szCs w:val="21"/>
        </w:rPr>
      </w:pPr>
      <w:r>
        <w:rPr>
          <w:rFonts w:hint="eastAsia"/>
          <w:kern w:val="13"/>
          <w:szCs w:val="21"/>
        </w:rPr>
        <w:t xml:space="preserve">（一）甲方的管理职责 </w:t>
      </w:r>
    </w:p>
    <w:p w14:paraId="1E521E44">
      <w:pPr>
        <w:tabs>
          <w:tab w:val="left" w:pos="482"/>
        </w:tabs>
        <w:spacing w:line="360" w:lineRule="auto"/>
        <w:ind w:firstLine="420" w:firstLineChars="200"/>
        <w:rPr>
          <w:kern w:val="13"/>
          <w:szCs w:val="21"/>
        </w:rPr>
      </w:pPr>
      <w:r>
        <w:rPr>
          <w:rFonts w:hint="eastAsia"/>
          <w:kern w:val="13"/>
          <w:szCs w:val="21"/>
        </w:rPr>
        <w:t>1.对本项目负安全监督管理责任，遵照“一体化管理”原则，做到三个“统一”，即：统一纳入发包方安全管理体系，统一管理标准，统一实施监督检查与考核。按照“谁使用，谁负责，谁管理”原则，进行本项目安全生产工作的监督、协调与管理。</w:t>
      </w:r>
    </w:p>
    <w:p w14:paraId="4F5FD6FE">
      <w:pPr>
        <w:tabs>
          <w:tab w:val="left" w:pos="482"/>
        </w:tabs>
        <w:spacing w:line="360" w:lineRule="auto"/>
        <w:ind w:firstLine="420" w:firstLineChars="200"/>
        <w:rPr>
          <w:kern w:val="13"/>
          <w:szCs w:val="21"/>
        </w:rPr>
      </w:pPr>
      <w:r>
        <w:rPr>
          <w:rFonts w:hint="eastAsia"/>
          <w:kern w:val="13"/>
          <w:szCs w:val="21"/>
        </w:rPr>
        <w:t>2.按照国家有关安全生产的法律、法规以及甲方管理制度对乙方进行安全资质和条件审查。</w:t>
      </w:r>
    </w:p>
    <w:p w14:paraId="2AC7A245">
      <w:pPr>
        <w:tabs>
          <w:tab w:val="left" w:pos="482"/>
        </w:tabs>
        <w:spacing w:line="360" w:lineRule="auto"/>
        <w:ind w:firstLine="420" w:firstLineChars="200"/>
        <w:rPr>
          <w:kern w:val="13"/>
          <w:szCs w:val="21"/>
        </w:rPr>
      </w:pPr>
      <w:r>
        <w:rPr>
          <w:rFonts w:hint="eastAsia"/>
          <w:kern w:val="13"/>
          <w:szCs w:val="21"/>
        </w:rPr>
        <w:t>3.建立安全教育培训制度，监督检查乙方的安全技术交底和日常安全教育培训情况；按《承包商安全管理办法》规定组织乙方人员三级安全教育培训及考试。</w:t>
      </w:r>
    </w:p>
    <w:p w14:paraId="47A8FC4B">
      <w:pPr>
        <w:tabs>
          <w:tab w:val="left" w:pos="482"/>
        </w:tabs>
        <w:spacing w:line="360" w:lineRule="auto"/>
        <w:ind w:firstLine="420" w:firstLineChars="200"/>
        <w:rPr>
          <w:kern w:val="13"/>
          <w:szCs w:val="21"/>
        </w:rPr>
      </w:pPr>
      <w:r>
        <w:rPr>
          <w:rFonts w:hint="eastAsia"/>
          <w:kern w:val="13"/>
          <w:szCs w:val="21"/>
        </w:rPr>
        <w:t>4.组织对乙方制定的施工组织措施、安全措施、技术措施、环保措施、施工方案、应急预案（以下简称四措两案）进行审查和备案，对满足本项目安全施工的开工条件进行核查，协助乙方办理作业许可手续。</w:t>
      </w:r>
    </w:p>
    <w:p w14:paraId="38E3B12C">
      <w:pPr>
        <w:tabs>
          <w:tab w:val="left" w:pos="482"/>
        </w:tabs>
        <w:spacing w:line="360" w:lineRule="auto"/>
        <w:ind w:firstLine="420" w:firstLineChars="200"/>
        <w:rPr>
          <w:kern w:val="13"/>
          <w:szCs w:val="21"/>
        </w:rPr>
      </w:pPr>
      <w:r>
        <w:rPr>
          <w:rFonts w:hint="eastAsia"/>
          <w:kern w:val="13"/>
          <w:szCs w:val="21"/>
        </w:rPr>
        <w:t>5.监督乙方建立健全应急救援体系，制定各类安全应急预案，并按计划组织培训和演练。</w:t>
      </w:r>
    </w:p>
    <w:p w14:paraId="1210BC5B">
      <w:pPr>
        <w:tabs>
          <w:tab w:val="left" w:pos="482"/>
        </w:tabs>
        <w:spacing w:line="360" w:lineRule="auto"/>
        <w:ind w:firstLine="420" w:firstLineChars="200"/>
        <w:rPr>
          <w:kern w:val="13"/>
          <w:szCs w:val="21"/>
        </w:rPr>
      </w:pPr>
      <w:r>
        <w:rPr>
          <w:rFonts w:hint="eastAsia"/>
          <w:kern w:val="13"/>
          <w:szCs w:val="21"/>
        </w:rPr>
        <w:t>6.依据法律、法规的要求及合同条款，对乙方安全生产费用的使用情况进行监督检查。乙方未按合同规定投入安全费用，或将安全费用挪作他用的，甲方有权对乙方进行处罚。</w:t>
      </w:r>
    </w:p>
    <w:p w14:paraId="27169A98">
      <w:pPr>
        <w:tabs>
          <w:tab w:val="left" w:pos="482"/>
        </w:tabs>
        <w:spacing w:line="360" w:lineRule="auto"/>
        <w:ind w:firstLine="420" w:firstLineChars="200"/>
        <w:rPr>
          <w:kern w:val="13"/>
          <w:szCs w:val="21"/>
        </w:rPr>
      </w:pPr>
      <w:r>
        <w:rPr>
          <w:rFonts w:hint="eastAsia"/>
          <w:kern w:val="13"/>
          <w:szCs w:val="21"/>
        </w:rPr>
        <w:t>7.依据《承包商安全管理办法》，定期对乙方履行协议情况进行评价，并将评价结果录入承包商管理台账，将其作为今后承包商选用的重要参考依据。</w:t>
      </w:r>
    </w:p>
    <w:p w14:paraId="29358127">
      <w:pPr>
        <w:tabs>
          <w:tab w:val="left" w:pos="482"/>
        </w:tabs>
        <w:spacing w:line="360" w:lineRule="auto"/>
        <w:ind w:firstLine="420" w:firstLineChars="200"/>
        <w:rPr>
          <w:kern w:val="13"/>
          <w:szCs w:val="21"/>
        </w:rPr>
      </w:pPr>
      <w:r>
        <w:rPr>
          <w:rFonts w:hint="eastAsia"/>
          <w:kern w:val="13"/>
          <w:szCs w:val="21"/>
        </w:rPr>
        <w:t>8.甲方不得将产生职业病危害的作业转包给不具备职业病防护条件的单位和个人。甲方提出职业卫生管理要求，对乙方进行职业病危害告知，对乙方职业健康检查和个体防护用品等方面的合规性进行检查。</w:t>
      </w:r>
    </w:p>
    <w:p w14:paraId="04A87709">
      <w:pPr>
        <w:tabs>
          <w:tab w:val="left" w:pos="482"/>
        </w:tabs>
        <w:spacing w:line="360" w:lineRule="auto"/>
        <w:ind w:firstLine="420" w:firstLineChars="200"/>
        <w:rPr>
          <w:kern w:val="13"/>
          <w:szCs w:val="21"/>
        </w:rPr>
      </w:pPr>
      <w:r>
        <w:rPr>
          <w:rFonts w:hint="eastAsia"/>
          <w:kern w:val="13"/>
          <w:szCs w:val="21"/>
        </w:rPr>
        <w:t>9.甲方对乙方实际安全技术素质和能力不能满足本项目需要、不服从甲方现场安全管理的人员，有权作出清退要求，乙方必须按要求执行。对不服从安全管理或严重违章作业、管理混乱、发生一般及以上人身伤亡事故、设备损坏事故或生产工艺事故等生产安全事故的单位，甲方有权依据甲方安全管理相关制度规定落实事故处罚、终止合同并限期退出。</w:t>
      </w:r>
    </w:p>
    <w:p w14:paraId="4DEB3AC8">
      <w:pPr>
        <w:tabs>
          <w:tab w:val="left" w:pos="482"/>
        </w:tabs>
        <w:spacing w:line="360" w:lineRule="auto"/>
        <w:ind w:firstLine="420" w:firstLineChars="200"/>
        <w:rPr>
          <w:kern w:val="13"/>
          <w:szCs w:val="21"/>
        </w:rPr>
      </w:pPr>
      <w:r>
        <w:rPr>
          <w:rFonts w:hint="eastAsia"/>
          <w:kern w:val="13"/>
          <w:szCs w:val="21"/>
        </w:rPr>
        <w:t>10.甲方有权依据公司《承包商安全管理办法》规定对乙方收取安全生产目标专项激励金。</w:t>
      </w:r>
    </w:p>
    <w:p w14:paraId="543AF26E">
      <w:pPr>
        <w:tabs>
          <w:tab w:val="left" w:pos="482"/>
        </w:tabs>
        <w:spacing w:line="360" w:lineRule="auto"/>
        <w:ind w:firstLine="420" w:firstLineChars="200"/>
        <w:rPr>
          <w:kern w:val="13"/>
          <w:szCs w:val="21"/>
        </w:rPr>
      </w:pPr>
      <w:r>
        <w:rPr>
          <w:rFonts w:hint="eastAsia"/>
          <w:kern w:val="13"/>
          <w:szCs w:val="21"/>
        </w:rPr>
        <w:t>11.甲方有权按国家相关法律法规和甲方相关安全生产管理规定，对乙方违反甲方安全管理规章制度的各类行为进行经济考核，罚款从合同款中扣除。考核额度参照甲方《承包商安全管理办法》《反违章管理制度》规定执行。</w:t>
      </w:r>
    </w:p>
    <w:p w14:paraId="747355C0">
      <w:pPr>
        <w:tabs>
          <w:tab w:val="left" w:pos="482"/>
        </w:tabs>
        <w:spacing w:line="360" w:lineRule="auto"/>
        <w:ind w:firstLine="420" w:firstLineChars="200"/>
        <w:rPr>
          <w:kern w:val="13"/>
          <w:szCs w:val="21"/>
        </w:rPr>
      </w:pPr>
      <w:r>
        <w:rPr>
          <w:rFonts w:hint="eastAsia"/>
          <w:kern w:val="13"/>
          <w:szCs w:val="21"/>
        </w:rPr>
        <w:t>12.甲方有权对乙方的施工机械、车辆、设施装置、工器具、仪表等进行检查，对于不符合安全、健康、环保要求的有权要求做退场处理。</w:t>
      </w:r>
    </w:p>
    <w:p w14:paraId="07ADA741">
      <w:pPr>
        <w:tabs>
          <w:tab w:val="left" w:pos="482"/>
        </w:tabs>
        <w:spacing w:line="360" w:lineRule="auto"/>
        <w:ind w:firstLine="420" w:firstLineChars="200"/>
        <w:rPr>
          <w:kern w:val="13"/>
          <w:szCs w:val="21"/>
        </w:rPr>
      </w:pPr>
      <w:r>
        <w:rPr>
          <w:rFonts w:hint="eastAsia"/>
          <w:kern w:val="13"/>
          <w:szCs w:val="21"/>
        </w:rPr>
        <w:t>（二）乙方的管理职责</w:t>
      </w:r>
    </w:p>
    <w:p w14:paraId="2BF62FDF">
      <w:pPr>
        <w:tabs>
          <w:tab w:val="left" w:pos="482"/>
        </w:tabs>
        <w:spacing w:line="360" w:lineRule="auto"/>
        <w:ind w:firstLine="420" w:firstLineChars="200"/>
        <w:rPr>
          <w:kern w:val="13"/>
          <w:szCs w:val="21"/>
        </w:rPr>
      </w:pPr>
      <w:r>
        <w:rPr>
          <w:rFonts w:hint="eastAsia"/>
          <w:kern w:val="13"/>
          <w:szCs w:val="21"/>
        </w:rPr>
        <w:t>1.乙方是本项目的安全生产责任主体，必须严格执行有关安全生产的法律、法规和标准，以国家电投集团发布的《安全生产“禁令”》为底线，尊重并服从甲方的安全生产规章制度和管理方式，建立健全安全生产组织机构、规章制度和操作规程，建立并落实全员安全生产责任制，对参加所属项目从业人员的安全和行为负责。</w:t>
      </w:r>
    </w:p>
    <w:p w14:paraId="1E974DE3">
      <w:pPr>
        <w:tabs>
          <w:tab w:val="left" w:pos="482"/>
        </w:tabs>
        <w:spacing w:line="360" w:lineRule="auto"/>
        <w:ind w:firstLine="420" w:firstLineChars="200"/>
        <w:rPr>
          <w:kern w:val="13"/>
          <w:szCs w:val="21"/>
        </w:rPr>
      </w:pPr>
      <w:r>
        <w:rPr>
          <w:rFonts w:hint="eastAsia"/>
          <w:kern w:val="13"/>
          <w:szCs w:val="21"/>
        </w:rPr>
        <w:t>2.乙方按照项目要求提供相关材料，接受安全资质和条件审查，并对材料的真实性、合法性和有效性负责。</w:t>
      </w:r>
    </w:p>
    <w:p w14:paraId="2D93C912">
      <w:pPr>
        <w:tabs>
          <w:tab w:val="left" w:pos="482"/>
        </w:tabs>
        <w:spacing w:line="360" w:lineRule="auto"/>
        <w:ind w:firstLine="420" w:firstLineChars="200"/>
        <w:rPr>
          <w:kern w:val="13"/>
          <w:szCs w:val="21"/>
        </w:rPr>
      </w:pPr>
      <w:r>
        <w:rPr>
          <w:rFonts w:hint="eastAsia"/>
          <w:kern w:val="13"/>
          <w:szCs w:val="21"/>
        </w:rPr>
        <w:t>3.乙方必须为中、几方员工缴纳符合中国、几内亚法律法规要求的保险。</w:t>
      </w:r>
    </w:p>
    <w:p w14:paraId="19957595">
      <w:pPr>
        <w:tabs>
          <w:tab w:val="left" w:pos="482"/>
        </w:tabs>
        <w:spacing w:line="360" w:lineRule="auto"/>
        <w:ind w:firstLine="420" w:firstLineChars="200"/>
        <w:rPr>
          <w:kern w:val="13"/>
          <w:szCs w:val="21"/>
        </w:rPr>
      </w:pPr>
      <w:r>
        <w:rPr>
          <w:rFonts w:hint="eastAsia"/>
          <w:kern w:val="13"/>
          <w:szCs w:val="21"/>
        </w:rPr>
        <w:t>4.承包商在中标公司项目后不得以任何形式招录或使用18周岁以下人员，禁止55周岁及以上男性、45周岁及以上女性进入生产区域从事各项生产、辅助作业；后勤、绿化、餐饮、保洁人员男性不得超过60周岁，女性不得超过50周岁。</w:t>
      </w:r>
    </w:p>
    <w:p w14:paraId="15CC97E5">
      <w:pPr>
        <w:tabs>
          <w:tab w:val="left" w:pos="482"/>
        </w:tabs>
        <w:spacing w:line="360" w:lineRule="auto"/>
        <w:ind w:firstLine="420" w:firstLineChars="200"/>
        <w:rPr>
          <w:kern w:val="13"/>
          <w:szCs w:val="21"/>
        </w:rPr>
      </w:pPr>
      <w:r>
        <w:rPr>
          <w:rFonts w:hint="eastAsia"/>
          <w:kern w:val="13"/>
          <w:szCs w:val="21"/>
        </w:rPr>
        <w:t>5.乙方安全管理人员的配备，必须符合甲方《承包商安全管理办法》要求，设置安全生产管理机构并配备专职安全管理人员，且当甲方根据项目特点认为乙方有必要增加安全管理人员时，乙方应当按照执行。</w:t>
      </w:r>
    </w:p>
    <w:p w14:paraId="64EBD999">
      <w:pPr>
        <w:tabs>
          <w:tab w:val="left" w:pos="482"/>
        </w:tabs>
        <w:spacing w:line="360" w:lineRule="auto"/>
        <w:ind w:firstLine="420" w:firstLineChars="200"/>
        <w:rPr>
          <w:kern w:val="13"/>
          <w:szCs w:val="21"/>
        </w:rPr>
      </w:pPr>
      <w:r>
        <w:rPr>
          <w:rFonts w:hint="eastAsia"/>
          <w:kern w:val="13"/>
          <w:szCs w:val="21"/>
        </w:rPr>
        <w:t>6.乙方应在取得有关作业许可手续后，方可开始作业，并保证作业过程严格按照经批准的安全技术方案执行。</w:t>
      </w:r>
    </w:p>
    <w:p w14:paraId="47079F45">
      <w:pPr>
        <w:tabs>
          <w:tab w:val="left" w:pos="482"/>
        </w:tabs>
        <w:spacing w:line="360" w:lineRule="auto"/>
        <w:ind w:firstLine="420" w:firstLineChars="200"/>
        <w:rPr>
          <w:kern w:val="13"/>
          <w:szCs w:val="21"/>
        </w:rPr>
      </w:pPr>
      <w:r>
        <w:rPr>
          <w:rFonts w:hint="eastAsia"/>
          <w:kern w:val="13"/>
          <w:szCs w:val="21"/>
        </w:rPr>
        <w:t>7.乙方应按照法律法规、规定进行日常安全管理、教育培训和安全生产活动。</w:t>
      </w:r>
    </w:p>
    <w:p w14:paraId="0A75E7FF">
      <w:pPr>
        <w:tabs>
          <w:tab w:val="left" w:pos="482"/>
        </w:tabs>
        <w:spacing w:line="360" w:lineRule="auto"/>
        <w:ind w:firstLine="420" w:firstLineChars="200"/>
        <w:rPr>
          <w:kern w:val="13"/>
          <w:szCs w:val="21"/>
        </w:rPr>
      </w:pPr>
      <w:r>
        <w:rPr>
          <w:rFonts w:hint="eastAsia"/>
          <w:kern w:val="13"/>
          <w:szCs w:val="21"/>
        </w:rPr>
        <w:t>8.乙方应给本单位人员提供符合法律、法规、行业标准等要求的职业卫生防护条件，保证本单位人员的健康。乙方应足量配备合格的个体防护用品，并进行告知和培训，保证施工人员能正确使用。</w:t>
      </w:r>
    </w:p>
    <w:p w14:paraId="6851D184">
      <w:pPr>
        <w:tabs>
          <w:tab w:val="left" w:pos="482"/>
        </w:tabs>
        <w:spacing w:line="360" w:lineRule="auto"/>
        <w:ind w:firstLine="420" w:firstLineChars="200"/>
        <w:rPr>
          <w:kern w:val="13"/>
          <w:szCs w:val="21"/>
        </w:rPr>
      </w:pPr>
      <w:r>
        <w:rPr>
          <w:rFonts w:hint="eastAsia"/>
          <w:kern w:val="13"/>
          <w:szCs w:val="21"/>
        </w:rPr>
        <w:t>9.乙方应严格控制施工对环境造成的影响，废弃物按甲方相关制度进行处置。</w:t>
      </w:r>
    </w:p>
    <w:p w14:paraId="25DF916B">
      <w:pPr>
        <w:tabs>
          <w:tab w:val="left" w:pos="482"/>
        </w:tabs>
        <w:spacing w:line="360" w:lineRule="auto"/>
        <w:ind w:firstLine="420" w:firstLineChars="200"/>
        <w:rPr>
          <w:kern w:val="13"/>
          <w:szCs w:val="21"/>
        </w:rPr>
      </w:pPr>
      <w:r>
        <w:rPr>
          <w:rFonts w:hint="eastAsia"/>
          <w:kern w:val="13"/>
          <w:szCs w:val="21"/>
        </w:rPr>
        <w:t>10.乙方应采取一切合理的措施，防止本单位人员发生任何违法、妨碍治安和影响工程及周边社区和谐稳定的行为。</w:t>
      </w:r>
    </w:p>
    <w:p w14:paraId="0CDA6EE5">
      <w:pPr>
        <w:tabs>
          <w:tab w:val="left" w:pos="482"/>
        </w:tabs>
        <w:spacing w:line="360" w:lineRule="auto"/>
        <w:ind w:firstLine="420" w:firstLineChars="200"/>
        <w:rPr>
          <w:kern w:val="13"/>
          <w:szCs w:val="21"/>
        </w:rPr>
      </w:pPr>
      <w:r>
        <w:rPr>
          <w:rFonts w:hint="eastAsia"/>
          <w:kern w:val="13"/>
          <w:szCs w:val="21"/>
        </w:rPr>
        <w:t>11.乙方负责制定承接项目相关应急预案，建立应急救援组织、配备应急物资和器材，定期组织演练，接受甲方的协调管理。</w:t>
      </w:r>
    </w:p>
    <w:p w14:paraId="32DD036F">
      <w:pPr>
        <w:tabs>
          <w:tab w:val="left" w:pos="482"/>
        </w:tabs>
        <w:spacing w:line="360" w:lineRule="auto"/>
        <w:ind w:firstLine="420" w:firstLineChars="200"/>
        <w:rPr>
          <w:kern w:val="13"/>
          <w:szCs w:val="21"/>
        </w:rPr>
      </w:pPr>
      <w:r>
        <w:rPr>
          <w:rFonts w:hint="eastAsia"/>
          <w:kern w:val="13"/>
          <w:szCs w:val="21"/>
        </w:rPr>
        <w:t>12.乙方必须保证安全生产条件所需资金的投入，同时应当接受甲方的监督。乙方作业前应制定安全文明措施费的整体使用计划。</w:t>
      </w:r>
    </w:p>
    <w:p w14:paraId="63D994A9">
      <w:pPr>
        <w:tabs>
          <w:tab w:val="left" w:pos="482"/>
        </w:tabs>
        <w:spacing w:line="360" w:lineRule="auto"/>
        <w:ind w:firstLine="420" w:firstLineChars="200"/>
        <w:rPr>
          <w:kern w:val="13"/>
          <w:szCs w:val="21"/>
        </w:rPr>
      </w:pPr>
      <w:r>
        <w:rPr>
          <w:rFonts w:hint="eastAsia"/>
          <w:kern w:val="13"/>
          <w:szCs w:val="21"/>
        </w:rPr>
        <w:t>13.对甲方组织的安全大检查、安全工作会议等活动，乙方应及时派员参加并认真贯彻落实。</w:t>
      </w:r>
    </w:p>
    <w:p w14:paraId="2D290158">
      <w:pPr>
        <w:tabs>
          <w:tab w:val="left" w:pos="482"/>
        </w:tabs>
        <w:spacing w:line="360" w:lineRule="auto"/>
        <w:ind w:firstLine="420" w:firstLineChars="200"/>
        <w:rPr>
          <w:kern w:val="13"/>
          <w:szCs w:val="21"/>
        </w:rPr>
      </w:pPr>
      <w:r>
        <w:rPr>
          <w:rFonts w:hint="eastAsia"/>
          <w:kern w:val="13"/>
          <w:szCs w:val="21"/>
        </w:rPr>
        <w:t>14.乙方需按照甲方安全管理体系相关要求，进行作业安全风险、环境污染因素辨识及评价工作，确定重大安全风险、环境污染因素及其控制措施，确保作业安全。</w:t>
      </w:r>
    </w:p>
    <w:p w14:paraId="192560AB">
      <w:pPr>
        <w:tabs>
          <w:tab w:val="left" w:pos="482"/>
        </w:tabs>
        <w:spacing w:line="360" w:lineRule="auto"/>
        <w:ind w:firstLine="420" w:firstLineChars="200"/>
        <w:rPr>
          <w:kern w:val="13"/>
          <w:szCs w:val="21"/>
        </w:rPr>
      </w:pPr>
      <w:r>
        <w:rPr>
          <w:rFonts w:hint="eastAsia"/>
          <w:kern w:val="13"/>
          <w:szCs w:val="21"/>
        </w:rPr>
        <w:t>15.乙方在项目作业开始前要根据“四措两案”向所有参加作业人员进行安全技术交底。</w:t>
      </w:r>
    </w:p>
    <w:p w14:paraId="49FA2F7A">
      <w:pPr>
        <w:tabs>
          <w:tab w:val="left" w:pos="482"/>
        </w:tabs>
        <w:spacing w:line="360" w:lineRule="auto"/>
        <w:ind w:firstLine="420" w:firstLineChars="200"/>
        <w:rPr>
          <w:kern w:val="13"/>
          <w:szCs w:val="21"/>
        </w:rPr>
      </w:pPr>
      <w:r>
        <w:rPr>
          <w:rFonts w:hint="eastAsia"/>
          <w:kern w:val="13"/>
          <w:szCs w:val="21"/>
        </w:rPr>
        <w:t>16.乙方对有可能发生火灾、爆炸、触电、中毒、窒息、机械伤害、烧烫伤等危险或会引起严重设备事故的作业，制定专项施工安全技术措施，经甲方审查合格后实施。</w:t>
      </w:r>
    </w:p>
    <w:p w14:paraId="1DFC2D5F">
      <w:pPr>
        <w:tabs>
          <w:tab w:val="left" w:pos="482"/>
        </w:tabs>
        <w:spacing w:line="360" w:lineRule="auto"/>
        <w:ind w:firstLine="420" w:firstLineChars="200"/>
        <w:rPr>
          <w:kern w:val="13"/>
          <w:szCs w:val="21"/>
        </w:rPr>
      </w:pPr>
      <w:r>
        <w:rPr>
          <w:rFonts w:hint="eastAsia"/>
          <w:kern w:val="13"/>
          <w:szCs w:val="21"/>
        </w:rPr>
        <w:t>17.对甲方违反安全生产规定、制度的指令，乙方有权拒绝执行、有权要求甲方改进。</w:t>
      </w:r>
    </w:p>
    <w:p w14:paraId="6E654504">
      <w:pPr>
        <w:tabs>
          <w:tab w:val="left" w:pos="482"/>
        </w:tabs>
        <w:spacing w:line="360" w:lineRule="auto"/>
        <w:ind w:firstLine="420" w:firstLineChars="200"/>
        <w:rPr>
          <w:kern w:val="13"/>
          <w:szCs w:val="21"/>
        </w:rPr>
      </w:pPr>
      <w:r>
        <w:rPr>
          <w:rFonts w:hint="eastAsia"/>
          <w:kern w:val="13"/>
          <w:szCs w:val="21"/>
        </w:rPr>
        <w:t>18.中方特种作业人员须持中国特种作业安全技术合格证，并按规定定期审证。几方特种作业人员须经甲、乙双方共同考核认证，发放合格证。</w:t>
      </w:r>
    </w:p>
    <w:p w14:paraId="3E158A70">
      <w:pPr>
        <w:tabs>
          <w:tab w:val="left" w:pos="482"/>
        </w:tabs>
        <w:spacing w:line="360" w:lineRule="auto"/>
        <w:ind w:firstLine="420" w:firstLineChars="200"/>
        <w:rPr>
          <w:kern w:val="13"/>
          <w:szCs w:val="21"/>
        </w:rPr>
      </w:pPr>
      <w:r>
        <w:rPr>
          <w:rFonts w:hint="eastAsia"/>
          <w:kern w:val="13"/>
          <w:szCs w:val="21"/>
        </w:rPr>
        <w:t>19.乙方作业人员应对所在的作业区域、作业环境、操作设施设备、工器具、安全设施等进行每天开工前的检查，发现隐患立即处理，落实整改措施。</w:t>
      </w:r>
    </w:p>
    <w:p w14:paraId="5B6CB863">
      <w:pPr>
        <w:tabs>
          <w:tab w:val="left" w:pos="482"/>
        </w:tabs>
        <w:spacing w:line="360" w:lineRule="auto"/>
        <w:ind w:firstLine="420" w:firstLineChars="200"/>
        <w:rPr>
          <w:kern w:val="13"/>
          <w:szCs w:val="21"/>
        </w:rPr>
      </w:pPr>
      <w:r>
        <w:rPr>
          <w:rFonts w:hint="eastAsia"/>
          <w:kern w:val="13"/>
          <w:szCs w:val="21"/>
        </w:rPr>
        <w:t>20.乙方进场的大型机械必须接受甲方的审查，建立健全制度标准，确保人员持证上岗、按章操作，确保大型机械状态良好、安全运行。乙方在作业期间由于施工机械、工器具原因或使用操作不当而造成伤亡事故，由乙方负主要责任。</w:t>
      </w:r>
    </w:p>
    <w:p w14:paraId="74EA95AA">
      <w:pPr>
        <w:tabs>
          <w:tab w:val="left" w:pos="482"/>
        </w:tabs>
        <w:spacing w:line="360" w:lineRule="auto"/>
        <w:ind w:firstLine="420" w:firstLineChars="200"/>
        <w:rPr>
          <w:kern w:val="13"/>
          <w:szCs w:val="21"/>
        </w:rPr>
      </w:pPr>
      <w:r>
        <w:rPr>
          <w:rFonts w:hint="eastAsia"/>
          <w:kern w:val="13"/>
          <w:szCs w:val="21"/>
        </w:rPr>
        <w:t>21.各类安全防护设施、安全标志牌、警告牌和接地线等不得擅自拆除、更动。如确实需要拆除、更动的、必须经甲方同意，办理手续，并采取必要、可靠的安全措施后方能拆除、更动；乙方人员擅自拆除、更动安全防护设施、安全标志牌、警告牌和接地线等所造成的后果，均由乙方负责。</w:t>
      </w:r>
    </w:p>
    <w:p w14:paraId="667C8395">
      <w:pPr>
        <w:tabs>
          <w:tab w:val="left" w:pos="482"/>
        </w:tabs>
        <w:spacing w:line="360" w:lineRule="auto"/>
        <w:ind w:firstLine="420" w:firstLineChars="200"/>
        <w:rPr>
          <w:kern w:val="13"/>
          <w:szCs w:val="21"/>
        </w:rPr>
      </w:pPr>
      <w:r>
        <w:rPr>
          <w:rFonts w:hint="eastAsia"/>
          <w:kern w:val="13"/>
          <w:szCs w:val="21"/>
        </w:rPr>
        <w:t>22.施工用电系统必须按照标准执行，检修及维护必须由专业电工进行，严格执行检修监护人制。乙方现场用电管理要求保证电源不中断，施工过程中严格动土作业管理，不能破坏电缆，杜绝乱接电源现象。</w:t>
      </w:r>
    </w:p>
    <w:p w14:paraId="51D0C976">
      <w:pPr>
        <w:tabs>
          <w:tab w:val="left" w:pos="482"/>
        </w:tabs>
        <w:spacing w:line="360" w:lineRule="auto"/>
        <w:ind w:firstLine="420" w:firstLineChars="200"/>
        <w:rPr>
          <w:kern w:val="13"/>
          <w:szCs w:val="21"/>
        </w:rPr>
      </w:pPr>
      <w:r>
        <w:rPr>
          <w:rFonts w:hint="eastAsia"/>
          <w:kern w:val="13"/>
          <w:szCs w:val="21"/>
        </w:rPr>
        <w:t>23.乙方在施工作业中，应注意地下管线、光缆及高压架空线的保护。乙方应向甲方了解地下管线和障碍物详细情况，会同甲方明确施工方法。如遇有特殊情况，应及时向甲方和有关部门联系，采取保护措施后施工，严禁冒险作业、野蛮作业。</w:t>
      </w:r>
    </w:p>
    <w:p w14:paraId="51CDA801">
      <w:pPr>
        <w:tabs>
          <w:tab w:val="left" w:pos="482"/>
        </w:tabs>
        <w:spacing w:line="360" w:lineRule="auto"/>
        <w:ind w:firstLine="420" w:firstLineChars="200"/>
        <w:rPr>
          <w:kern w:val="13"/>
          <w:szCs w:val="21"/>
        </w:rPr>
      </w:pPr>
      <w:r>
        <w:rPr>
          <w:rFonts w:hint="eastAsia"/>
          <w:kern w:val="13"/>
          <w:szCs w:val="21"/>
        </w:rPr>
        <w:t>24.乙方必须按规定为作业人员配备应有的个人劳动保护用品、用具，乙方所属人员的身体健康状况必须能满足所从事工作的要求。</w:t>
      </w:r>
    </w:p>
    <w:p w14:paraId="59B31D08">
      <w:pPr>
        <w:tabs>
          <w:tab w:val="left" w:pos="482"/>
        </w:tabs>
        <w:spacing w:line="360" w:lineRule="auto"/>
        <w:ind w:firstLine="420" w:firstLineChars="200"/>
        <w:rPr>
          <w:kern w:val="13"/>
          <w:szCs w:val="21"/>
        </w:rPr>
      </w:pPr>
      <w:r>
        <w:rPr>
          <w:rFonts w:hint="eastAsia"/>
          <w:kern w:val="13"/>
          <w:szCs w:val="21"/>
        </w:rPr>
        <w:t>25.乙方应防止不符合安全要求的物资及设备流入现场，导致安全事故或更换而引发的工期延长等现象，由此引发的问题由乙方承担主要责任，如：不合格的脚手管、扣件、脚手板、电缆、工器具等。</w:t>
      </w:r>
    </w:p>
    <w:p w14:paraId="476DA09C">
      <w:pPr>
        <w:tabs>
          <w:tab w:val="left" w:pos="482"/>
        </w:tabs>
        <w:spacing w:line="360" w:lineRule="auto"/>
        <w:ind w:firstLine="420" w:firstLineChars="200"/>
        <w:rPr>
          <w:kern w:val="13"/>
          <w:szCs w:val="21"/>
        </w:rPr>
      </w:pPr>
      <w:r>
        <w:rPr>
          <w:rFonts w:hint="eastAsia"/>
          <w:kern w:val="13"/>
          <w:szCs w:val="21"/>
        </w:rPr>
        <w:t>26.乙方应采用符合安全要求的专业器材或设施施工，严禁使用自制起重挂具、夹具、吊篮等自制器材，特殊情况下确需自制的器材，需经本单位专业人员、质检人员联合检验鉴定合格，报甲方审查备案后方可使用，对于擅自使用自制器材的，由乙方承担主要责任。</w:t>
      </w:r>
    </w:p>
    <w:p w14:paraId="53B75F4E">
      <w:pPr>
        <w:tabs>
          <w:tab w:val="left" w:pos="482"/>
        </w:tabs>
        <w:spacing w:line="360" w:lineRule="auto"/>
        <w:ind w:firstLine="420" w:firstLineChars="200"/>
        <w:rPr>
          <w:kern w:val="13"/>
          <w:szCs w:val="21"/>
        </w:rPr>
      </w:pPr>
      <w:r>
        <w:rPr>
          <w:rFonts w:hint="eastAsia"/>
          <w:kern w:val="13"/>
          <w:szCs w:val="21"/>
        </w:rPr>
        <w:t>27.乙方必须坚持文明施工，严格按照施工总平面布置图进行施工平面管理，明确责任区负责人，责任区实施全封闭管理。材料设备堆放做到标准化、定置化、模块化管理，作业区域施工做到随干随清，现场各类垃圾应合规清理。如乙方不定期清理或违规清理的，甲方组织清理，费用在乙方工程款中按清理费的2倍扣除。</w:t>
      </w:r>
    </w:p>
    <w:p w14:paraId="3CD01CFC">
      <w:pPr>
        <w:tabs>
          <w:tab w:val="left" w:pos="482"/>
        </w:tabs>
        <w:spacing w:line="360" w:lineRule="auto"/>
        <w:ind w:firstLine="420" w:firstLineChars="200"/>
        <w:rPr>
          <w:kern w:val="13"/>
          <w:szCs w:val="21"/>
        </w:rPr>
      </w:pPr>
      <w:r>
        <w:rPr>
          <w:rFonts w:hint="eastAsia"/>
          <w:kern w:val="13"/>
          <w:szCs w:val="21"/>
        </w:rPr>
        <w:t>28.由于乙方施工破坏周围环境，造成恶劣影响引发纠纷和社会矛盾等由乙方承担全部责任。</w:t>
      </w:r>
    </w:p>
    <w:p w14:paraId="16F4CDBC">
      <w:pPr>
        <w:tabs>
          <w:tab w:val="left" w:pos="482"/>
        </w:tabs>
        <w:spacing w:line="360" w:lineRule="auto"/>
        <w:ind w:firstLine="420" w:firstLineChars="200"/>
        <w:rPr>
          <w:kern w:val="13"/>
          <w:szCs w:val="21"/>
        </w:rPr>
      </w:pPr>
      <w:r>
        <w:rPr>
          <w:rFonts w:hint="eastAsia"/>
          <w:kern w:val="13"/>
          <w:szCs w:val="21"/>
        </w:rPr>
        <w:t>29.乙方在合同签订之日起10日内向甲方提交项目负责人、安监人员、施工人员、特殊作业人员、安全考试和大型施工机械台帐等甲方制度规定资料，经甲方审核合格后，在甲方留存相关的复印件备案，并实行动态管理。</w:t>
      </w:r>
    </w:p>
    <w:p w14:paraId="48856523">
      <w:pPr>
        <w:tabs>
          <w:tab w:val="left" w:pos="482"/>
        </w:tabs>
        <w:spacing w:line="360" w:lineRule="auto"/>
        <w:ind w:firstLine="420" w:firstLineChars="200"/>
        <w:rPr>
          <w:kern w:val="13"/>
          <w:szCs w:val="21"/>
        </w:rPr>
      </w:pPr>
      <w:r>
        <w:rPr>
          <w:rFonts w:hint="eastAsia"/>
          <w:kern w:val="13"/>
          <w:szCs w:val="21"/>
        </w:rPr>
        <w:t>30.贯彻“谁施工谁负责”的管理原则，甲、乙方人员在施工期间造成伤亡、火灾、电气、机械等事故（包括甲、乙方责任造成对方人员、他方（行人等）人员伤亡），双方应协力进行紧急抢救伤员和保护现场，按国家法律法规、地方有关事故报告规定和甲方《事故管理办法》，在事故发生后应立即报告各自上级主管部门及有关部门，并在安全事件发生后及时填写上报《安全事件报告单》。乙方人员施工中发生的不安全情况应及时向甲方通报。事故的损失和善后的处理费用，由事故责任单位承担。</w:t>
      </w:r>
    </w:p>
    <w:p w14:paraId="4085C043">
      <w:pPr>
        <w:tabs>
          <w:tab w:val="left" w:pos="482"/>
        </w:tabs>
        <w:spacing w:line="360" w:lineRule="auto"/>
        <w:ind w:firstLine="420" w:firstLineChars="200"/>
        <w:rPr>
          <w:kern w:val="13"/>
          <w:szCs w:val="21"/>
        </w:rPr>
      </w:pPr>
      <w:r>
        <w:rPr>
          <w:rFonts w:hint="eastAsia"/>
          <w:kern w:val="13"/>
          <w:szCs w:val="21"/>
        </w:rPr>
        <w:t>31.乙方现场的道路要求路面经常保持整洁、无杂物、积水，施工现场应严格控制道路扬尘。</w:t>
      </w:r>
    </w:p>
    <w:p w14:paraId="662DAE4B">
      <w:pPr>
        <w:tabs>
          <w:tab w:val="left" w:pos="482"/>
        </w:tabs>
        <w:spacing w:line="360" w:lineRule="auto"/>
        <w:ind w:firstLine="420" w:firstLineChars="200"/>
        <w:rPr>
          <w:kern w:val="13"/>
          <w:szCs w:val="21"/>
        </w:rPr>
      </w:pPr>
      <w:r>
        <w:rPr>
          <w:rFonts w:hint="eastAsia"/>
          <w:kern w:val="13"/>
          <w:szCs w:val="21"/>
        </w:rPr>
        <w:t>32.乙方施工用水管理要求水源点配备合理，严禁现场乱接水源，杜绝现场长流水现象，要求每个用水点都要有排水渠道。</w:t>
      </w:r>
    </w:p>
    <w:p w14:paraId="018458EE">
      <w:pPr>
        <w:tabs>
          <w:tab w:val="left" w:pos="482"/>
        </w:tabs>
        <w:spacing w:line="360" w:lineRule="auto"/>
        <w:ind w:firstLine="420" w:firstLineChars="200"/>
        <w:rPr>
          <w:kern w:val="13"/>
          <w:szCs w:val="21"/>
        </w:rPr>
      </w:pPr>
      <w:r>
        <w:rPr>
          <w:rFonts w:hint="eastAsia"/>
          <w:kern w:val="13"/>
          <w:szCs w:val="21"/>
        </w:rPr>
        <w:t>33.乙方施工用电的管路敷设安全规范，杜绝乱拉乱接现象。</w:t>
      </w:r>
    </w:p>
    <w:p w14:paraId="4D54423B">
      <w:pPr>
        <w:tabs>
          <w:tab w:val="left" w:pos="482"/>
        </w:tabs>
        <w:spacing w:line="360" w:lineRule="auto"/>
        <w:ind w:firstLine="420" w:firstLineChars="200"/>
        <w:rPr>
          <w:kern w:val="13"/>
          <w:szCs w:val="21"/>
        </w:rPr>
      </w:pPr>
      <w:r>
        <w:rPr>
          <w:rFonts w:hint="eastAsia"/>
          <w:kern w:val="13"/>
          <w:szCs w:val="21"/>
        </w:rPr>
        <w:t>34.乙方必须做好与周边社区及属地各级管理机构的关系，解决好本单位人员的矛盾，不得出现影响甲方工作或形象声誉及阻工阻路的事件的发生。</w:t>
      </w:r>
    </w:p>
    <w:p w14:paraId="347DABE0">
      <w:pPr>
        <w:tabs>
          <w:tab w:val="left" w:pos="482"/>
        </w:tabs>
        <w:spacing w:line="360" w:lineRule="auto"/>
        <w:ind w:firstLine="420" w:firstLineChars="200"/>
        <w:rPr>
          <w:kern w:val="13"/>
          <w:szCs w:val="21"/>
        </w:rPr>
      </w:pPr>
      <w:r>
        <w:rPr>
          <w:rFonts w:hint="eastAsia"/>
          <w:kern w:val="13"/>
          <w:szCs w:val="21"/>
        </w:rPr>
        <w:t>三、现场作业安全管理要求</w:t>
      </w:r>
    </w:p>
    <w:p w14:paraId="54377888">
      <w:pPr>
        <w:tabs>
          <w:tab w:val="left" w:pos="482"/>
        </w:tabs>
        <w:spacing w:line="360" w:lineRule="auto"/>
        <w:ind w:firstLine="420" w:firstLineChars="200"/>
        <w:rPr>
          <w:kern w:val="13"/>
          <w:szCs w:val="21"/>
        </w:rPr>
      </w:pPr>
      <w:r>
        <w:rPr>
          <w:rFonts w:hint="eastAsia"/>
          <w:kern w:val="13"/>
          <w:szCs w:val="21"/>
        </w:rPr>
        <w:t xml:space="preserve">（一）现场管理 </w:t>
      </w:r>
    </w:p>
    <w:p w14:paraId="6F17D02C">
      <w:pPr>
        <w:tabs>
          <w:tab w:val="left" w:pos="482"/>
        </w:tabs>
        <w:spacing w:line="360" w:lineRule="auto"/>
        <w:ind w:firstLine="420" w:firstLineChars="200"/>
        <w:rPr>
          <w:kern w:val="13"/>
          <w:szCs w:val="21"/>
        </w:rPr>
      </w:pPr>
      <w:r>
        <w:rPr>
          <w:rFonts w:hint="eastAsia"/>
          <w:kern w:val="13"/>
          <w:szCs w:val="21"/>
        </w:rPr>
        <w:t>1.人员管理</w:t>
      </w:r>
    </w:p>
    <w:p w14:paraId="7F9A0EDB">
      <w:pPr>
        <w:tabs>
          <w:tab w:val="left" w:pos="482"/>
        </w:tabs>
        <w:spacing w:line="360" w:lineRule="auto"/>
        <w:ind w:firstLine="420" w:firstLineChars="200"/>
        <w:rPr>
          <w:kern w:val="13"/>
          <w:szCs w:val="21"/>
        </w:rPr>
      </w:pPr>
      <w:r>
        <w:rPr>
          <w:rFonts w:hint="eastAsia"/>
          <w:kern w:val="13"/>
          <w:szCs w:val="21"/>
        </w:rPr>
        <w:t>1）甲方对乙方人员进入厂区和作业区域实施授权管理，为资质审验合格人员办理出入证/门禁卡。</w:t>
      </w:r>
    </w:p>
    <w:p w14:paraId="5438F6E5">
      <w:pPr>
        <w:tabs>
          <w:tab w:val="left" w:pos="482"/>
        </w:tabs>
        <w:spacing w:line="360" w:lineRule="auto"/>
        <w:ind w:firstLine="420" w:firstLineChars="200"/>
        <w:rPr>
          <w:kern w:val="13"/>
          <w:szCs w:val="21"/>
        </w:rPr>
      </w:pPr>
      <w:r>
        <w:rPr>
          <w:rFonts w:hint="eastAsia"/>
          <w:kern w:val="13"/>
          <w:szCs w:val="21"/>
        </w:rPr>
        <w:t>2）乙方人员必须持有效出入证/门禁卡出入厂区和生产作业区域，严禁无证和冒用他人证件出入。严禁乙方人员进入非承包作业区域。甲方应对出入证件进行查验。</w:t>
      </w:r>
    </w:p>
    <w:p w14:paraId="28649B77">
      <w:pPr>
        <w:tabs>
          <w:tab w:val="left" w:pos="482"/>
        </w:tabs>
        <w:spacing w:line="360" w:lineRule="auto"/>
        <w:ind w:firstLine="420" w:firstLineChars="200"/>
        <w:rPr>
          <w:kern w:val="13"/>
          <w:szCs w:val="21"/>
        </w:rPr>
      </w:pPr>
      <w:r>
        <w:rPr>
          <w:rFonts w:hint="eastAsia"/>
          <w:kern w:val="13"/>
          <w:szCs w:val="21"/>
        </w:rPr>
        <w:t>3）甲方对乙方作业人员劳动防护用品的发放、使用情况进行检查、考核。未按规定佩戴劳动防护用品，严禁进入厂区和生产作业区域。</w:t>
      </w:r>
    </w:p>
    <w:p w14:paraId="36ACE9C4">
      <w:pPr>
        <w:tabs>
          <w:tab w:val="left" w:pos="482"/>
        </w:tabs>
        <w:spacing w:line="360" w:lineRule="auto"/>
        <w:ind w:firstLine="420" w:firstLineChars="200"/>
        <w:rPr>
          <w:kern w:val="13"/>
          <w:szCs w:val="21"/>
        </w:rPr>
      </w:pPr>
      <w:r>
        <w:rPr>
          <w:rFonts w:hint="eastAsia"/>
          <w:kern w:val="13"/>
          <w:szCs w:val="21"/>
        </w:rPr>
        <w:t>4）乙方按照合同约定，配备相应的作业人员。</w:t>
      </w:r>
    </w:p>
    <w:p w14:paraId="2290CD43">
      <w:pPr>
        <w:tabs>
          <w:tab w:val="left" w:pos="482"/>
        </w:tabs>
        <w:spacing w:line="360" w:lineRule="auto"/>
        <w:ind w:firstLine="420" w:firstLineChars="200"/>
        <w:rPr>
          <w:kern w:val="13"/>
          <w:szCs w:val="21"/>
        </w:rPr>
      </w:pPr>
      <w:r>
        <w:rPr>
          <w:rFonts w:hint="eastAsia"/>
          <w:kern w:val="13"/>
          <w:szCs w:val="21"/>
        </w:rPr>
        <w:t>2.安全目视化管理</w:t>
      </w:r>
    </w:p>
    <w:p w14:paraId="281F3AA4">
      <w:pPr>
        <w:tabs>
          <w:tab w:val="left" w:pos="482"/>
        </w:tabs>
        <w:spacing w:line="360" w:lineRule="auto"/>
        <w:ind w:firstLine="420" w:firstLineChars="200"/>
        <w:rPr>
          <w:kern w:val="13"/>
          <w:szCs w:val="21"/>
        </w:rPr>
      </w:pPr>
      <w:r>
        <w:rPr>
          <w:rFonts w:hint="eastAsia"/>
          <w:kern w:val="13"/>
          <w:szCs w:val="21"/>
        </w:rPr>
        <w:t>1）依据甲方要求，乙方应对作业现场各区域安全标志标识的布置进行策划并实施，安全标志标识应统一、规范、整齐、设置牢固、位置适宜。</w:t>
      </w:r>
    </w:p>
    <w:p w14:paraId="51195B00">
      <w:pPr>
        <w:tabs>
          <w:tab w:val="left" w:pos="482"/>
        </w:tabs>
        <w:spacing w:line="360" w:lineRule="auto"/>
        <w:ind w:firstLine="420" w:firstLineChars="200"/>
        <w:rPr>
          <w:kern w:val="13"/>
          <w:szCs w:val="21"/>
        </w:rPr>
      </w:pPr>
      <w:r>
        <w:rPr>
          <w:rFonts w:hint="eastAsia"/>
          <w:kern w:val="13"/>
          <w:szCs w:val="21"/>
        </w:rPr>
        <w:t>2）甲方对作业现场安全目视化管理进行监督检查考核。</w:t>
      </w:r>
    </w:p>
    <w:p w14:paraId="54C4FC65">
      <w:pPr>
        <w:tabs>
          <w:tab w:val="left" w:pos="482"/>
        </w:tabs>
        <w:spacing w:line="360" w:lineRule="auto"/>
        <w:ind w:firstLine="420" w:firstLineChars="200"/>
        <w:rPr>
          <w:kern w:val="13"/>
          <w:szCs w:val="21"/>
        </w:rPr>
      </w:pPr>
      <w:r>
        <w:rPr>
          <w:rFonts w:hint="eastAsia"/>
          <w:kern w:val="13"/>
          <w:szCs w:val="21"/>
        </w:rPr>
        <w:t>3.安全防护设施管理</w:t>
      </w:r>
    </w:p>
    <w:p w14:paraId="24139006">
      <w:pPr>
        <w:tabs>
          <w:tab w:val="left" w:pos="482"/>
        </w:tabs>
        <w:spacing w:line="360" w:lineRule="auto"/>
        <w:ind w:firstLine="420" w:firstLineChars="200"/>
        <w:rPr>
          <w:kern w:val="13"/>
          <w:szCs w:val="21"/>
        </w:rPr>
      </w:pPr>
      <w:r>
        <w:rPr>
          <w:rFonts w:hint="eastAsia"/>
          <w:kern w:val="13"/>
          <w:szCs w:val="21"/>
        </w:rPr>
        <w:t>1）作业现场安全防护设施应与工程进度同步，并经甲方验收合格后方可投入使用。</w:t>
      </w:r>
    </w:p>
    <w:p w14:paraId="1D890E26">
      <w:pPr>
        <w:tabs>
          <w:tab w:val="left" w:pos="482"/>
        </w:tabs>
        <w:spacing w:line="360" w:lineRule="auto"/>
        <w:ind w:firstLine="420" w:firstLineChars="200"/>
        <w:rPr>
          <w:kern w:val="13"/>
          <w:szCs w:val="21"/>
        </w:rPr>
      </w:pPr>
      <w:r>
        <w:rPr>
          <w:rFonts w:hint="eastAsia"/>
          <w:kern w:val="13"/>
          <w:szCs w:val="21"/>
        </w:rPr>
        <w:t xml:space="preserve">2）安全防护设施的色标应符合甲方相关规定，严禁随意更改。 </w:t>
      </w:r>
    </w:p>
    <w:p w14:paraId="2DF084B9">
      <w:pPr>
        <w:tabs>
          <w:tab w:val="left" w:pos="482"/>
        </w:tabs>
        <w:spacing w:line="360" w:lineRule="auto"/>
        <w:ind w:firstLine="420" w:firstLineChars="200"/>
        <w:rPr>
          <w:kern w:val="13"/>
          <w:szCs w:val="21"/>
        </w:rPr>
      </w:pPr>
      <w:r>
        <w:rPr>
          <w:rFonts w:hint="eastAsia"/>
          <w:kern w:val="13"/>
          <w:szCs w:val="21"/>
        </w:rPr>
        <w:t>3）安全防护设施不得随意挪动、拆改。确因施工作业必须挪动或拆改，必须经甲方同意并采取相应措施，作业结束后立即恢复。</w:t>
      </w:r>
    </w:p>
    <w:p w14:paraId="7F207A88">
      <w:pPr>
        <w:tabs>
          <w:tab w:val="left" w:pos="482"/>
        </w:tabs>
        <w:spacing w:line="360" w:lineRule="auto"/>
        <w:ind w:firstLine="420" w:firstLineChars="200"/>
        <w:rPr>
          <w:kern w:val="13"/>
          <w:szCs w:val="21"/>
        </w:rPr>
      </w:pPr>
      <w:r>
        <w:rPr>
          <w:rFonts w:hint="eastAsia"/>
          <w:kern w:val="13"/>
          <w:szCs w:val="21"/>
        </w:rPr>
        <w:t>4）施工现场和乙方的办公、维护与生活区域，应按照甲方消防管理相关规定，配备适当的消防器材和设施，严格规范管理。</w:t>
      </w:r>
    </w:p>
    <w:p w14:paraId="1C099EA2">
      <w:pPr>
        <w:tabs>
          <w:tab w:val="left" w:pos="482"/>
        </w:tabs>
        <w:spacing w:line="360" w:lineRule="auto"/>
        <w:ind w:firstLine="420" w:firstLineChars="200"/>
        <w:rPr>
          <w:kern w:val="13"/>
          <w:szCs w:val="21"/>
        </w:rPr>
      </w:pPr>
      <w:r>
        <w:rPr>
          <w:rFonts w:hint="eastAsia"/>
          <w:kern w:val="13"/>
          <w:szCs w:val="21"/>
        </w:rPr>
        <w:t>5）按照“谁检查、谁负责”原则，甲方和乙方对作业现场的安全防护设施的符合性、有效性进行过程监督检查。</w:t>
      </w:r>
    </w:p>
    <w:p w14:paraId="38175DA1">
      <w:pPr>
        <w:tabs>
          <w:tab w:val="left" w:pos="482"/>
        </w:tabs>
        <w:spacing w:line="360" w:lineRule="auto"/>
        <w:ind w:firstLine="420" w:firstLineChars="200"/>
        <w:rPr>
          <w:kern w:val="13"/>
          <w:szCs w:val="21"/>
        </w:rPr>
      </w:pPr>
      <w:r>
        <w:rPr>
          <w:rFonts w:hint="eastAsia"/>
          <w:kern w:val="13"/>
          <w:szCs w:val="21"/>
        </w:rPr>
        <w:t>4.安全文明施工管理</w:t>
      </w:r>
    </w:p>
    <w:p w14:paraId="736FCCD7">
      <w:pPr>
        <w:tabs>
          <w:tab w:val="left" w:pos="482"/>
        </w:tabs>
        <w:spacing w:line="360" w:lineRule="auto"/>
        <w:ind w:firstLine="420" w:firstLineChars="200"/>
        <w:rPr>
          <w:kern w:val="13"/>
          <w:szCs w:val="21"/>
        </w:rPr>
      </w:pPr>
      <w:r>
        <w:rPr>
          <w:rFonts w:hint="eastAsia"/>
          <w:kern w:val="13"/>
          <w:szCs w:val="21"/>
        </w:rPr>
        <w:t>1）施工作业现场主要出入口的醒目位置应按规定设置图牌标识，具体方案由甲方指导、审查和批准。</w:t>
      </w:r>
    </w:p>
    <w:p w14:paraId="23124EC4">
      <w:pPr>
        <w:tabs>
          <w:tab w:val="left" w:pos="482"/>
        </w:tabs>
        <w:spacing w:line="360" w:lineRule="auto"/>
        <w:ind w:firstLine="420" w:firstLineChars="200"/>
        <w:rPr>
          <w:kern w:val="13"/>
          <w:szCs w:val="21"/>
        </w:rPr>
      </w:pPr>
      <w:r>
        <w:rPr>
          <w:rFonts w:hint="eastAsia"/>
          <w:kern w:val="13"/>
          <w:szCs w:val="21"/>
        </w:rPr>
        <w:t>2）现场应做到作业区域、办公区域、生活区域三分离，人车分离，空重车辆分道，通勤车、生产车辆分道。</w:t>
      </w:r>
    </w:p>
    <w:p w14:paraId="10647605">
      <w:pPr>
        <w:tabs>
          <w:tab w:val="left" w:pos="482"/>
        </w:tabs>
        <w:spacing w:line="360" w:lineRule="auto"/>
        <w:ind w:firstLine="420" w:firstLineChars="200"/>
        <w:rPr>
          <w:kern w:val="13"/>
          <w:szCs w:val="21"/>
        </w:rPr>
      </w:pPr>
      <w:r>
        <w:rPr>
          <w:rFonts w:hint="eastAsia"/>
          <w:kern w:val="13"/>
          <w:szCs w:val="21"/>
        </w:rPr>
        <w:t>3）乙方应当为班组配备酒精测试仪、血压检测仪及平衡木，每班班前会前对班组全员进行血压、酒精检测及平衡木测试，并在班组安全记录本上如实记录。对患有高血压的员工建立清单台账，加强健康监测。从事爆破作业、高处作业、有限空间作业、临时用电、脚手架搭拆、起重吊装、动火作业、动土作业、防腐作业、盲板抽堵等高风险作业前必须对作业人员进行酒精测试及血压检测，检测记录和工作票统一留存。</w:t>
      </w:r>
    </w:p>
    <w:p w14:paraId="791055DC">
      <w:pPr>
        <w:tabs>
          <w:tab w:val="left" w:pos="482"/>
        </w:tabs>
        <w:spacing w:line="360" w:lineRule="auto"/>
        <w:ind w:firstLine="420" w:firstLineChars="200"/>
        <w:rPr>
          <w:kern w:val="13"/>
          <w:szCs w:val="21"/>
        </w:rPr>
      </w:pPr>
      <w:r>
        <w:rPr>
          <w:rFonts w:hint="eastAsia"/>
          <w:kern w:val="13"/>
          <w:szCs w:val="21"/>
        </w:rPr>
        <w:t>4）作业现场工程车辆应安装符合要求的声光报警装置，必要时配备定位装置，并实行准驾制。</w:t>
      </w:r>
    </w:p>
    <w:p w14:paraId="02BAD408">
      <w:pPr>
        <w:tabs>
          <w:tab w:val="left" w:pos="482"/>
        </w:tabs>
        <w:spacing w:line="360" w:lineRule="auto"/>
        <w:ind w:firstLine="420" w:firstLineChars="200"/>
        <w:rPr>
          <w:kern w:val="13"/>
          <w:szCs w:val="21"/>
        </w:rPr>
      </w:pPr>
      <w:r>
        <w:rPr>
          <w:rFonts w:hint="eastAsia"/>
          <w:kern w:val="13"/>
          <w:szCs w:val="21"/>
        </w:rPr>
        <w:t>5）作业现场应划定责任区域，定期清扫、清理，保持整洁和通道畅通。</w:t>
      </w:r>
    </w:p>
    <w:p w14:paraId="5464FB2A">
      <w:pPr>
        <w:tabs>
          <w:tab w:val="left" w:pos="482"/>
        </w:tabs>
        <w:spacing w:line="360" w:lineRule="auto"/>
        <w:ind w:firstLine="420" w:firstLineChars="200"/>
        <w:rPr>
          <w:kern w:val="13"/>
          <w:szCs w:val="21"/>
        </w:rPr>
      </w:pPr>
      <w:r>
        <w:rPr>
          <w:rFonts w:hint="eastAsia"/>
          <w:kern w:val="13"/>
          <w:szCs w:val="21"/>
        </w:rPr>
        <w:t>6）当班（天）作业结束后应清理作业场所，做到“工完料尽场地清”。</w:t>
      </w:r>
    </w:p>
    <w:p w14:paraId="4104664F">
      <w:pPr>
        <w:tabs>
          <w:tab w:val="left" w:pos="482"/>
        </w:tabs>
        <w:spacing w:line="360" w:lineRule="auto"/>
        <w:ind w:firstLine="420" w:firstLineChars="200"/>
        <w:rPr>
          <w:kern w:val="13"/>
          <w:szCs w:val="21"/>
        </w:rPr>
      </w:pPr>
      <w:r>
        <w:rPr>
          <w:rFonts w:hint="eastAsia"/>
          <w:kern w:val="13"/>
          <w:szCs w:val="21"/>
        </w:rPr>
        <w:t>7）按照施工总平面布置图规定的地点、要求，对材料、设备、附件等实行定置管理，做到堆放整齐、相对隔离、标识清晰，符合人员安全和消防要求，并落实责任部门和人员。</w:t>
      </w:r>
    </w:p>
    <w:p w14:paraId="60D5AC54">
      <w:pPr>
        <w:tabs>
          <w:tab w:val="left" w:pos="482"/>
        </w:tabs>
        <w:spacing w:line="360" w:lineRule="auto"/>
        <w:ind w:firstLine="420" w:firstLineChars="200"/>
        <w:rPr>
          <w:kern w:val="13"/>
          <w:szCs w:val="21"/>
        </w:rPr>
      </w:pPr>
      <w:r>
        <w:rPr>
          <w:rFonts w:hint="eastAsia"/>
          <w:kern w:val="13"/>
          <w:szCs w:val="21"/>
        </w:rPr>
        <w:t>8）作业过程中，应对作业范围内的设备设施进行保护，严禁踩踏设备保温、随意变更设备标志标识、误动误碰生产设备设施、擅自使用或移动消防设施等。</w:t>
      </w:r>
    </w:p>
    <w:p w14:paraId="0041053C">
      <w:pPr>
        <w:tabs>
          <w:tab w:val="left" w:pos="482"/>
        </w:tabs>
        <w:spacing w:line="360" w:lineRule="auto"/>
        <w:ind w:firstLine="420" w:firstLineChars="200"/>
        <w:rPr>
          <w:kern w:val="13"/>
          <w:szCs w:val="21"/>
        </w:rPr>
      </w:pPr>
      <w:r>
        <w:rPr>
          <w:rFonts w:hint="eastAsia"/>
          <w:kern w:val="13"/>
          <w:szCs w:val="21"/>
        </w:rPr>
        <w:t xml:space="preserve">9）甲方和乙方组织对作业现场安全文明施工情况进行监督检查。 </w:t>
      </w:r>
    </w:p>
    <w:p w14:paraId="597285CB">
      <w:pPr>
        <w:tabs>
          <w:tab w:val="left" w:pos="482"/>
        </w:tabs>
        <w:spacing w:line="360" w:lineRule="auto"/>
        <w:ind w:firstLine="420" w:firstLineChars="200"/>
        <w:rPr>
          <w:kern w:val="13"/>
          <w:szCs w:val="21"/>
        </w:rPr>
      </w:pPr>
      <w:r>
        <w:rPr>
          <w:rFonts w:hint="eastAsia"/>
          <w:kern w:val="13"/>
          <w:szCs w:val="21"/>
        </w:rPr>
        <w:t>（二）作业安全管理</w:t>
      </w:r>
    </w:p>
    <w:p w14:paraId="1983A307">
      <w:pPr>
        <w:tabs>
          <w:tab w:val="left" w:pos="482"/>
        </w:tabs>
        <w:spacing w:line="360" w:lineRule="auto"/>
        <w:ind w:firstLine="420" w:firstLineChars="200"/>
        <w:rPr>
          <w:kern w:val="13"/>
          <w:szCs w:val="21"/>
        </w:rPr>
      </w:pPr>
      <w:r>
        <w:rPr>
          <w:rFonts w:hint="eastAsia"/>
          <w:kern w:val="13"/>
          <w:szCs w:val="21"/>
        </w:rPr>
        <w:t>1.常规作业</w:t>
      </w:r>
    </w:p>
    <w:p w14:paraId="6A120314">
      <w:pPr>
        <w:tabs>
          <w:tab w:val="left" w:pos="482"/>
        </w:tabs>
        <w:spacing w:line="360" w:lineRule="auto"/>
        <w:ind w:firstLine="420" w:firstLineChars="200"/>
        <w:rPr>
          <w:kern w:val="13"/>
          <w:szCs w:val="21"/>
        </w:rPr>
      </w:pPr>
      <w:r>
        <w:rPr>
          <w:rFonts w:hint="eastAsia"/>
          <w:kern w:val="13"/>
          <w:szCs w:val="21"/>
        </w:rPr>
        <w:t>1）根据发包项目性质和特点，甲方建立健全作业许可管理制度和安全操作规程。</w:t>
      </w:r>
    </w:p>
    <w:p w14:paraId="500D17AB">
      <w:pPr>
        <w:tabs>
          <w:tab w:val="left" w:pos="482"/>
        </w:tabs>
        <w:spacing w:line="360" w:lineRule="auto"/>
        <w:ind w:firstLine="420" w:firstLineChars="200"/>
        <w:rPr>
          <w:kern w:val="13"/>
          <w:szCs w:val="21"/>
        </w:rPr>
      </w:pPr>
      <w:r>
        <w:rPr>
          <w:rFonts w:hint="eastAsia"/>
          <w:kern w:val="13"/>
          <w:szCs w:val="21"/>
        </w:rPr>
        <w:t>2）甲方根据公司安全管理相关要求，将乙方作业人员纳入安全管理体系，实施一体化管理。</w:t>
      </w:r>
    </w:p>
    <w:p w14:paraId="2151C933">
      <w:pPr>
        <w:tabs>
          <w:tab w:val="left" w:pos="482"/>
        </w:tabs>
        <w:spacing w:line="360" w:lineRule="auto"/>
        <w:ind w:firstLine="420" w:firstLineChars="200"/>
        <w:rPr>
          <w:kern w:val="13"/>
          <w:szCs w:val="21"/>
        </w:rPr>
      </w:pPr>
      <w:r>
        <w:rPr>
          <w:rFonts w:hint="eastAsia"/>
          <w:kern w:val="13"/>
          <w:szCs w:val="21"/>
        </w:rPr>
        <w:t>3）首次作业前，甲方发包部门明确责任人，负责对乙方作业班组（班组长、负责人和作业人员）进行安全技术交底，承包商应对分包商作业班组进行安全技术交底，甲方生计、安环部门负责抽查，做好记录。</w:t>
      </w:r>
    </w:p>
    <w:p w14:paraId="59A06758">
      <w:pPr>
        <w:tabs>
          <w:tab w:val="left" w:pos="482"/>
        </w:tabs>
        <w:spacing w:line="360" w:lineRule="auto"/>
        <w:ind w:firstLine="420" w:firstLineChars="200"/>
        <w:rPr>
          <w:kern w:val="13"/>
          <w:szCs w:val="21"/>
        </w:rPr>
      </w:pPr>
      <w:r>
        <w:rPr>
          <w:rFonts w:hint="eastAsia"/>
          <w:kern w:val="13"/>
          <w:szCs w:val="21"/>
        </w:rPr>
        <w:t>4）对于施工涉及临时用能（电、水、汽、气等）、高风险作业的项目，实行作业许可制。</w:t>
      </w:r>
    </w:p>
    <w:p w14:paraId="79A96F2F">
      <w:pPr>
        <w:tabs>
          <w:tab w:val="left" w:pos="482"/>
        </w:tabs>
        <w:spacing w:line="360" w:lineRule="auto"/>
        <w:ind w:firstLine="420" w:firstLineChars="200"/>
        <w:rPr>
          <w:kern w:val="13"/>
          <w:szCs w:val="21"/>
        </w:rPr>
      </w:pPr>
      <w:r>
        <w:rPr>
          <w:rFonts w:hint="eastAsia"/>
          <w:kern w:val="13"/>
          <w:szCs w:val="21"/>
        </w:rPr>
        <w:t>5）作业人员应严格执行甲方作业许可管理制度有关规定，办理作业许可文件，落实作业安全防护措施，确认作业条件安全。</w:t>
      </w:r>
    </w:p>
    <w:p w14:paraId="741B6491">
      <w:pPr>
        <w:tabs>
          <w:tab w:val="left" w:pos="482"/>
        </w:tabs>
        <w:spacing w:line="360" w:lineRule="auto"/>
        <w:ind w:firstLine="420" w:firstLineChars="200"/>
        <w:rPr>
          <w:kern w:val="13"/>
          <w:szCs w:val="21"/>
        </w:rPr>
      </w:pPr>
      <w:r>
        <w:rPr>
          <w:rFonts w:hint="eastAsia"/>
          <w:kern w:val="13"/>
          <w:szCs w:val="21"/>
        </w:rPr>
        <w:t>6）甲方对乙方人员的安全管理。包括但不限于：监督、检查项目安全第一责任人、安全管理人员履职到位等。</w:t>
      </w:r>
    </w:p>
    <w:p w14:paraId="59EE10AD">
      <w:pPr>
        <w:tabs>
          <w:tab w:val="left" w:pos="482"/>
        </w:tabs>
        <w:spacing w:line="360" w:lineRule="auto"/>
        <w:ind w:firstLine="420" w:firstLineChars="200"/>
        <w:rPr>
          <w:kern w:val="13"/>
          <w:szCs w:val="21"/>
        </w:rPr>
      </w:pPr>
      <w:r>
        <w:rPr>
          <w:rFonts w:hint="eastAsia"/>
          <w:kern w:val="13"/>
          <w:szCs w:val="21"/>
        </w:rPr>
        <w:t>7）甲方对现场作业人员资质有效性、作业许可文件执行情况、工作票执行情况、安全措施落实情况以及作业环境的安全性进行监督检查或抽查。</w:t>
      </w:r>
    </w:p>
    <w:p w14:paraId="1D029C62">
      <w:pPr>
        <w:tabs>
          <w:tab w:val="left" w:pos="482"/>
        </w:tabs>
        <w:spacing w:line="360" w:lineRule="auto"/>
        <w:ind w:firstLine="420" w:firstLineChars="200"/>
        <w:rPr>
          <w:kern w:val="13"/>
          <w:szCs w:val="21"/>
        </w:rPr>
      </w:pPr>
      <w:r>
        <w:rPr>
          <w:rFonts w:hint="eastAsia"/>
          <w:kern w:val="13"/>
          <w:szCs w:val="21"/>
        </w:rPr>
        <w:t xml:space="preserve">2.高风险作业 </w:t>
      </w:r>
    </w:p>
    <w:p w14:paraId="083625C9">
      <w:pPr>
        <w:tabs>
          <w:tab w:val="left" w:pos="482"/>
        </w:tabs>
        <w:spacing w:line="360" w:lineRule="auto"/>
        <w:ind w:firstLine="420" w:firstLineChars="200"/>
        <w:rPr>
          <w:kern w:val="13"/>
          <w:szCs w:val="21"/>
        </w:rPr>
      </w:pPr>
      <w:r>
        <w:rPr>
          <w:rFonts w:hint="eastAsia"/>
          <w:kern w:val="13"/>
          <w:szCs w:val="21"/>
        </w:rPr>
        <w:t>1）甲方组织制定高风险作业管理办法，建立高风险作业项目清单。</w:t>
      </w:r>
    </w:p>
    <w:p w14:paraId="20543CC1">
      <w:pPr>
        <w:tabs>
          <w:tab w:val="left" w:pos="482"/>
        </w:tabs>
        <w:spacing w:line="360" w:lineRule="auto"/>
        <w:ind w:firstLine="420" w:firstLineChars="200"/>
        <w:rPr>
          <w:kern w:val="13"/>
          <w:szCs w:val="21"/>
        </w:rPr>
      </w:pPr>
      <w:r>
        <w:rPr>
          <w:rFonts w:hint="eastAsia"/>
          <w:kern w:val="13"/>
          <w:szCs w:val="21"/>
        </w:rPr>
        <w:t>2）乙方应按照要求开展高风险作业前准备。完毕后向甲方申请先决条件检查，甲方组织专业技术和安全监督人员逐项检查确认。</w:t>
      </w:r>
    </w:p>
    <w:p w14:paraId="5AAB7C72">
      <w:pPr>
        <w:tabs>
          <w:tab w:val="left" w:pos="482"/>
        </w:tabs>
        <w:spacing w:line="360" w:lineRule="auto"/>
        <w:ind w:firstLine="420" w:firstLineChars="200"/>
        <w:rPr>
          <w:kern w:val="13"/>
          <w:szCs w:val="21"/>
        </w:rPr>
      </w:pPr>
      <w:r>
        <w:rPr>
          <w:rFonts w:hint="eastAsia"/>
          <w:kern w:val="13"/>
          <w:szCs w:val="21"/>
        </w:rPr>
        <w:t>3）双方应指定专人负责现场监督指导，对重点部位、关键环节进行巡视检查。</w:t>
      </w:r>
    </w:p>
    <w:p w14:paraId="7FD2146D">
      <w:pPr>
        <w:tabs>
          <w:tab w:val="left" w:pos="482"/>
        </w:tabs>
        <w:spacing w:line="360" w:lineRule="auto"/>
        <w:ind w:firstLine="420" w:firstLineChars="200"/>
        <w:rPr>
          <w:kern w:val="13"/>
          <w:szCs w:val="21"/>
        </w:rPr>
      </w:pPr>
      <w:r>
        <w:rPr>
          <w:rFonts w:hint="eastAsia"/>
          <w:kern w:val="13"/>
          <w:szCs w:val="21"/>
        </w:rPr>
        <w:t xml:space="preserve">3.临时作业 </w:t>
      </w:r>
    </w:p>
    <w:p w14:paraId="396692D5">
      <w:pPr>
        <w:tabs>
          <w:tab w:val="left" w:pos="482"/>
        </w:tabs>
        <w:spacing w:line="360" w:lineRule="auto"/>
        <w:ind w:firstLine="420" w:firstLineChars="200"/>
        <w:rPr>
          <w:kern w:val="13"/>
          <w:szCs w:val="21"/>
        </w:rPr>
      </w:pPr>
      <w:r>
        <w:rPr>
          <w:rFonts w:hint="eastAsia"/>
          <w:kern w:val="13"/>
          <w:szCs w:val="21"/>
        </w:rPr>
        <w:t>1）临时作业应与常规作业实施等同管理。包括办理工作票、作业联系单等许可手续，落实安全措施。</w:t>
      </w:r>
    </w:p>
    <w:p w14:paraId="2F1BCB53">
      <w:pPr>
        <w:tabs>
          <w:tab w:val="left" w:pos="482"/>
        </w:tabs>
        <w:spacing w:line="360" w:lineRule="auto"/>
        <w:ind w:firstLine="420" w:firstLineChars="200"/>
        <w:rPr>
          <w:kern w:val="13"/>
          <w:szCs w:val="21"/>
        </w:rPr>
      </w:pPr>
      <w:r>
        <w:rPr>
          <w:rFonts w:hint="eastAsia"/>
          <w:kern w:val="13"/>
          <w:szCs w:val="21"/>
        </w:rPr>
        <w:t>2）甲方应组织临时作业人员开展作业危害辨识与风险评估，进行有针对性的现场安全技术交底，做好记录和签字。</w:t>
      </w:r>
    </w:p>
    <w:p w14:paraId="5853EFBD">
      <w:pPr>
        <w:tabs>
          <w:tab w:val="left" w:pos="482"/>
        </w:tabs>
        <w:spacing w:line="360" w:lineRule="auto"/>
        <w:ind w:firstLine="420" w:firstLineChars="200"/>
        <w:rPr>
          <w:kern w:val="13"/>
          <w:szCs w:val="21"/>
        </w:rPr>
      </w:pPr>
      <w:r>
        <w:rPr>
          <w:rFonts w:hint="eastAsia"/>
          <w:kern w:val="13"/>
          <w:szCs w:val="21"/>
        </w:rPr>
        <w:t>3）危险性大的临时作业，甲方实行全程旁站式监督。</w:t>
      </w:r>
    </w:p>
    <w:p w14:paraId="27211588">
      <w:pPr>
        <w:tabs>
          <w:tab w:val="left" w:pos="482"/>
        </w:tabs>
        <w:spacing w:line="360" w:lineRule="auto"/>
        <w:ind w:firstLine="420" w:firstLineChars="200"/>
        <w:rPr>
          <w:kern w:val="13"/>
          <w:szCs w:val="21"/>
        </w:rPr>
      </w:pPr>
      <w:r>
        <w:rPr>
          <w:rFonts w:hint="eastAsia"/>
          <w:kern w:val="13"/>
          <w:szCs w:val="21"/>
        </w:rPr>
        <w:t xml:space="preserve">4.作业条件变更管理 </w:t>
      </w:r>
    </w:p>
    <w:p w14:paraId="3B43BD27">
      <w:pPr>
        <w:tabs>
          <w:tab w:val="left" w:pos="482"/>
        </w:tabs>
        <w:spacing w:line="360" w:lineRule="auto"/>
        <w:ind w:firstLine="420" w:firstLineChars="200"/>
        <w:rPr>
          <w:kern w:val="13"/>
          <w:szCs w:val="21"/>
        </w:rPr>
      </w:pPr>
      <w:r>
        <w:rPr>
          <w:rFonts w:hint="eastAsia"/>
          <w:kern w:val="13"/>
          <w:szCs w:val="21"/>
        </w:rPr>
        <w:t>1）当作业工序、工艺、特种设备、作业环境（包括天气状况）发生变化时立即停止作业并报告甲方。</w:t>
      </w:r>
    </w:p>
    <w:p w14:paraId="30BC443B">
      <w:pPr>
        <w:tabs>
          <w:tab w:val="left" w:pos="482"/>
        </w:tabs>
        <w:spacing w:line="360" w:lineRule="auto"/>
        <w:ind w:firstLine="420" w:firstLineChars="200"/>
        <w:rPr>
          <w:kern w:val="13"/>
          <w:szCs w:val="21"/>
        </w:rPr>
      </w:pPr>
      <w:r>
        <w:rPr>
          <w:rFonts w:hint="eastAsia"/>
          <w:kern w:val="13"/>
          <w:szCs w:val="21"/>
        </w:rPr>
        <w:t>2）甲方发包部门督促和组织乙方进行安全风险分析、评估论证；乙方应完善或重新编制作业方案，履行审批手续并组织安全技术交底。</w:t>
      </w:r>
    </w:p>
    <w:p w14:paraId="419254B7">
      <w:pPr>
        <w:tabs>
          <w:tab w:val="left" w:pos="482"/>
        </w:tabs>
        <w:spacing w:line="360" w:lineRule="auto"/>
        <w:ind w:firstLine="420" w:firstLineChars="200"/>
        <w:rPr>
          <w:kern w:val="13"/>
          <w:szCs w:val="21"/>
        </w:rPr>
      </w:pPr>
      <w:r>
        <w:rPr>
          <w:rFonts w:hint="eastAsia"/>
          <w:kern w:val="13"/>
          <w:szCs w:val="21"/>
        </w:rPr>
        <w:t>5.停工与复工安全管理</w:t>
      </w:r>
    </w:p>
    <w:p w14:paraId="25C8BCAF">
      <w:pPr>
        <w:tabs>
          <w:tab w:val="left" w:pos="482"/>
        </w:tabs>
        <w:spacing w:line="360" w:lineRule="auto"/>
        <w:ind w:firstLine="420" w:firstLineChars="200"/>
        <w:rPr>
          <w:kern w:val="13"/>
          <w:szCs w:val="21"/>
        </w:rPr>
      </w:pPr>
      <w:r>
        <w:rPr>
          <w:rFonts w:hint="eastAsia"/>
          <w:kern w:val="13"/>
          <w:szCs w:val="21"/>
        </w:rPr>
        <w:t>1）除正常双休日外，其他情况需要停工时，乙方应主动报告甲方发包部门、属地管理部门停工原因和安全措施，经甲方项目发包部门、属地管理部门对安全措施检查确认后方可停工。停工时间超过一周的，乙方应制定停工期间安全管理方案报甲发包部门、属地管理部门单位审批备案后进行停工。</w:t>
      </w:r>
    </w:p>
    <w:p w14:paraId="20FB5500">
      <w:pPr>
        <w:tabs>
          <w:tab w:val="left" w:pos="482"/>
        </w:tabs>
        <w:spacing w:line="360" w:lineRule="auto"/>
        <w:ind w:firstLine="420" w:firstLineChars="200"/>
        <w:rPr>
          <w:kern w:val="13"/>
          <w:szCs w:val="21"/>
        </w:rPr>
      </w:pPr>
      <w:r>
        <w:rPr>
          <w:rFonts w:hint="eastAsia"/>
          <w:kern w:val="13"/>
          <w:szCs w:val="21"/>
        </w:rPr>
        <w:t>2）如停工时间较长或必要，乙方于停工前应制定停工安全管理方案和工作清单（包括留守人员），并报甲方进行监督、确认。</w:t>
      </w:r>
    </w:p>
    <w:p w14:paraId="64F8A927">
      <w:pPr>
        <w:tabs>
          <w:tab w:val="left" w:pos="482"/>
        </w:tabs>
        <w:spacing w:line="360" w:lineRule="auto"/>
        <w:ind w:firstLine="420" w:firstLineChars="200"/>
        <w:rPr>
          <w:kern w:val="13"/>
          <w:szCs w:val="21"/>
        </w:rPr>
      </w:pPr>
      <w:r>
        <w:rPr>
          <w:rFonts w:hint="eastAsia"/>
          <w:kern w:val="13"/>
          <w:szCs w:val="21"/>
        </w:rPr>
        <w:t>3）乙方应重点做好各类外源（电、水、热、气等）安全管理。除看护人员的生活必需外，应申请甲方配合，从源头上切断各类外源（电、水、热、气等），各类机械设备切断所有电源，车辆停放在指定位置，闭锁驾驶室门窗，悬挂安全警示标志。</w:t>
      </w:r>
    </w:p>
    <w:p w14:paraId="327E3A4D">
      <w:pPr>
        <w:tabs>
          <w:tab w:val="left" w:pos="482"/>
        </w:tabs>
        <w:spacing w:line="360" w:lineRule="auto"/>
        <w:ind w:firstLine="420" w:firstLineChars="200"/>
        <w:rPr>
          <w:kern w:val="13"/>
          <w:szCs w:val="21"/>
        </w:rPr>
      </w:pPr>
      <w:r>
        <w:rPr>
          <w:rFonts w:hint="eastAsia"/>
          <w:kern w:val="13"/>
          <w:szCs w:val="21"/>
        </w:rPr>
        <w:t xml:space="preserve">4）停工三个月及六个月（不含）的项目，乙方人员必须重新进行甲 </w:t>
      </w:r>
    </w:p>
    <w:p w14:paraId="2F8F5C7D">
      <w:pPr>
        <w:tabs>
          <w:tab w:val="left" w:pos="482"/>
        </w:tabs>
        <w:spacing w:line="360" w:lineRule="auto"/>
        <w:ind w:firstLine="420" w:firstLineChars="200"/>
        <w:rPr>
          <w:kern w:val="13"/>
          <w:szCs w:val="21"/>
        </w:rPr>
      </w:pPr>
      <w:r>
        <w:rPr>
          <w:rFonts w:hint="eastAsia"/>
          <w:kern w:val="13"/>
          <w:szCs w:val="21"/>
        </w:rPr>
        <w:t>方车间级安全教育培训考试，停工六个月及以上的项目乙方人员必须重新进行甲方组织的三级安全教育培训考试。</w:t>
      </w:r>
    </w:p>
    <w:p w14:paraId="29DBE9F3">
      <w:pPr>
        <w:tabs>
          <w:tab w:val="left" w:pos="482"/>
        </w:tabs>
        <w:spacing w:line="360" w:lineRule="auto"/>
        <w:ind w:firstLine="420" w:firstLineChars="200"/>
        <w:rPr>
          <w:kern w:val="13"/>
          <w:szCs w:val="21"/>
        </w:rPr>
      </w:pPr>
      <w:r>
        <w:rPr>
          <w:rFonts w:hint="eastAsia"/>
          <w:kern w:val="13"/>
          <w:szCs w:val="21"/>
        </w:rPr>
        <w:t>5）停工期间甲方需对乙方办公和作业现场的安全巡视，督促生活场所的安全管理。</w:t>
      </w:r>
    </w:p>
    <w:p w14:paraId="74AACE24">
      <w:pPr>
        <w:tabs>
          <w:tab w:val="left" w:pos="482"/>
        </w:tabs>
        <w:spacing w:line="360" w:lineRule="auto"/>
        <w:ind w:firstLine="420" w:firstLineChars="200"/>
        <w:rPr>
          <w:kern w:val="13"/>
          <w:szCs w:val="21"/>
        </w:rPr>
      </w:pPr>
      <w:r>
        <w:rPr>
          <w:rFonts w:hint="eastAsia"/>
          <w:kern w:val="13"/>
          <w:szCs w:val="21"/>
        </w:rPr>
        <w:t>6）复工时根据乙方申请，甲方重点核实返厂（场）人员身份，组织复工复产收心会及复工前安全教育培训工作，逐项恢复施工用能，双方做好交接记录，甲方对现场安全措施进行检查确认，满足复工条件的由甲方属地管理单位对复工申请进行审核签字并重新进行安全技术交底，甲方项目管理部门审批后进行复工。</w:t>
      </w:r>
    </w:p>
    <w:p w14:paraId="57B32420">
      <w:pPr>
        <w:tabs>
          <w:tab w:val="left" w:pos="482"/>
        </w:tabs>
        <w:spacing w:line="360" w:lineRule="auto"/>
        <w:ind w:firstLine="420" w:firstLineChars="200"/>
        <w:rPr>
          <w:kern w:val="13"/>
          <w:szCs w:val="21"/>
        </w:rPr>
      </w:pPr>
      <w:r>
        <w:rPr>
          <w:rFonts w:hint="eastAsia"/>
          <w:kern w:val="13"/>
          <w:szCs w:val="21"/>
        </w:rPr>
        <w:t xml:space="preserve">（三）机械设备与工器具管理 </w:t>
      </w:r>
    </w:p>
    <w:p w14:paraId="0E7DD2F1">
      <w:pPr>
        <w:tabs>
          <w:tab w:val="left" w:pos="482"/>
        </w:tabs>
        <w:spacing w:line="360" w:lineRule="auto"/>
        <w:ind w:firstLine="420" w:firstLineChars="200"/>
        <w:rPr>
          <w:kern w:val="13"/>
          <w:szCs w:val="21"/>
        </w:rPr>
      </w:pPr>
      <w:r>
        <w:rPr>
          <w:rFonts w:hint="eastAsia"/>
          <w:kern w:val="13"/>
          <w:szCs w:val="21"/>
        </w:rPr>
        <w:t>1.通用规定</w:t>
      </w:r>
    </w:p>
    <w:p w14:paraId="0C122FEF">
      <w:pPr>
        <w:tabs>
          <w:tab w:val="left" w:pos="482"/>
        </w:tabs>
        <w:spacing w:line="360" w:lineRule="auto"/>
        <w:ind w:firstLine="420" w:firstLineChars="200"/>
        <w:rPr>
          <w:kern w:val="13"/>
          <w:szCs w:val="21"/>
        </w:rPr>
      </w:pPr>
      <w:r>
        <w:rPr>
          <w:rFonts w:hint="eastAsia"/>
          <w:kern w:val="13"/>
          <w:szCs w:val="21"/>
        </w:rPr>
        <w:t>1）机械设备应随机悬挂操作规程，由具有相应资质、熟悉操作技能的人员操作。</w:t>
      </w:r>
    </w:p>
    <w:p w14:paraId="30C5A922">
      <w:pPr>
        <w:tabs>
          <w:tab w:val="left" w:pos="482"/>
        </w:tabs>
        <w:spacing w:line="360" w:lineRule="auto"/>
        <w:ind w:firstLine="420" w:firstLineChars="200"/>
        <w:rPr>
          <w:kern w:val="13"/>
          <w:szCs w:val="21"/>
        </w:rPr>
      </w:pPr>
      <w:r>
        <w:rPr>
          <w:rFonts w:hint="eastAsia"/>
          <w:kern w:val="13"/>
          <w:szCs w:val="21"/>
        </w:rPr>
        <w:t>2）各类机械设备与工器具应由专人进行检查、维护、保养，依据有关规定进行检验、试验。对于中、长期承包商的机械设备、特种设备及工器具应执行“设备设施检查可视化”管理要求。</w:t>
      </w:r>
    </w:p>
    <w:p w14:paraId="29F657DE">
      <w:pPr>
        <w:tabs>
          <w:tab w:val="left" w:pos="482"/>
        </w:tabs>
        <w:spacing w:line="360" w:lineRule="auto"/>
        <w:ind w:firstLine="420" w:firstLineChars="200"/>
        <w:rPr>
          <w:kern w:val="13"/>
          <w:szCs w:val="21"/>
        </w:rPr>
      </w:pPr>
      <w:r>
        <w:rPr>
          <w:rFonts w:hint="eastAsia"/>
          <w:kern w:val="13"/>
          <w:szCs w:val="21"/>
        </w:rPr>
        <w:t>3）各类机械设备与工器具应悬挂或张贴检验、检定、检查合格标志标识，实施可视化管理。</w:t>
      </w:r>
    </w:p>
    <w:p w14:paraId="6A95A34E">
      <w:pPr>
        <w:tabs>
          <w:tab w:val="left" w:pos="482"/>
        </w:tabs>
        <w:spacing w:line="360" w:lineRule="auto"/>
        <w:ind w:firstLine="420" w:firstLineChars="200"/>
        <w:rPr>
          <w:kern w:val="13"/>
          <w:szCs w:val="21"/>
        </w:rPr>
      </w:pPr>
      <w:r>
        <w:rPr>
          <w:rFonts w:hint="eastAsia"/>
          <w:kern w:val="13"/>
          <w:szCs w:val="21"/>
        </w:rPr>
        <w:t>4）严禁擅自改变机械设备或工器具用途，严禁擅自改装、违章操作。</w:t>
      </w:r>
    </w:p>
    <w:p w14:paraId="09A6E85E">
      <w:pPr>
        <w:tabs>
          <w:tab w:val="left" w:pos="482"/>
        </w:tabs>
        <w:spacing w:line="360" w:lineRule="auto"/>
        <w:ind w:firstLine="420" w:firstLineChars="200"/>
        <w:rPr>
          <w:kern w:val="13"/>
          <w:szCs w:val="21"/>
        </w:rPr>
      </w:pPr>
      <w:r>
        <w:rPr>
          <w:rFonts w:hint="eastAsia"/>
          <w:kern w:val="13"/>
          <w:szCs w:val="21"/>
        </w:rPr>
        <w:t>5）甲方对现场机械设备与工器具的安全状况、检验状态、标志标识等进行监督检查或抽查。</w:t>
      </w:r>
    </w:p>
    <w:p w14:paraId="632D0961">
      <w:pPr>
        <w:tabs>
          <w:tab w:val="left" w:pos="482"/>
        </w:tabs>
        <w:spacing w:line="360" w:lineRule="auto"/>
        <w:ind w:firstLine="420" w:firstLineChars="200"/>
        <w:rPr>
          <w:kern w:val="13"/>
          <w:szCs w:val="21"/>
        </w:rPr>
      </w:pPr>
      <w:r>
        <w:rPr>
          <w:rFonts w:hint="eastAsia"/>
          <w:kern w:val="13"/>
          <w:szCs w:val="21"/>
        </w:rPr>
        <w:t xml:space="preserve">2.报验管理 </w:t>
      </w:r>
    </w:p>
    <w:p w14:paraId="51CDC706">
      <w:pPr>
        <w:tabs>
          <w:tab w:val="left" w:pos="482"/>
        </w:tabs>
        <w:spacing w:line="360" w:lineRule="auto"/>
        <w:ind w:firstLine="420" w:firstLineChars="200"/>
        <w:rPr>
          <w:kern w:val="13"/>
          <w:szCs w:val="21"/>
        </w:rPr>
      </w:pPr>
      <w:r>
        <w:rPr>
          <w:rFonts w:hint="eastAsia"/>
          <w:kern w:val="13"/>
          <w:szCs w:val="21"/>
        </w:rPr>
        <w:t>1）甲方制定机械设备入场报验管理办法，明确报验范围、流程和资料等。</w:t>
      </w:r>
    </w:p>
    <w:p w14:paraId="5E590386">
      <w:pPr>
        <w:tabs>
          <w:tab w:val="left" w:pos="482"/>
        </w:tabs>
        <w:spacing w:line="360" w:lineRule="auto"/>
        <w:ind w:firstLine="420" w:firstLineChars="200"/>
        <w:rPr>
          <w:kern w:val="13"/>
          <w:szCs w:val="21"/>
        </w:rPr>
      </w:pPr>
      <w:r>
        <w:rPr>
          <w:rFonts w:hint="eastAsia"/>
          <w:kern w:val="13"/>
          <w:szCs w:val="21"/>
        </w:rPr>
        <w:t>2）乙方机械设备入场必须履行报验手续、提交真实报验资料，核实无误后发放设备进场验收合格标识，实施可视化管理。</w:t>
      </w:r>
    </w:p>
    <w:p w14:paraId="17E91D6C">
      <w:pPr>
        <w:tabs>
          <w:tab w:val="left" w:pos="482"/>
        </w:tabs>
        <w:spacing w:line="360" w:lineRule="auto"/>
        <w:ind w:firstLine="420" w:firstLineChars="200"/>
        <w:rPr>
          <w:kern w:val="13"/>
          <w:szCs w:val="21"/>
        </w:rPr>
      </w:pPr>
      <w:r>
        <w:rPr>
          <w:rFonts w:hint="eastAsia"/>
          <w:kern w:val="13"/>
          <w:szCs w:val="21"/>
        </w:rPr>
        <w:t xml:space="preserve">（四）监督检查 </w:t>
      </w:r>
    </w:p>
    <w:p w14:paraId="651A87BB">
      <w:pPr>
        <w:tabs>
          <w:tab w:val="left" w:pos="482"/>
        </w:tabs>
        <w:spacing w:line="360" w:lineRule="auto"/>
        <w:ind w:firstLine="420" w:firstLineChars="200"/>
        <w:rPr>
          <w:kern w:val="13"/>
          <w:szCs w:val="21"/>
        </w:rPr>
      </w:pPr>
      <w:r>
        <w:rPr>
          <w:rFonts w:hint="eastAsia"/>
          <w:kern w:val="13"/>
          <w:szCs w:val="21"/>
        </w:rPr>
        <w:t xml:space="preserve">1.监督检查 </w:t>
      </w:r>
    </w:p>
    <w:p w14:paraId="45D6066C">
      <w:pPr>
        <w:tabs>
          <w:tab w:val="left" w:pos="482"/>
        </w:tabs>
        <w:spacing w:line="360" w:lineRule="auto"/>
        <w:ind w:firstLine="420" w:firstLineChars="200"/>
        <w:rPr>
          <w:kern w:val="13"/>
          <w:szCs w:val="21"/>
        </w:rPr>
      </w:pPr>
      <w:r>
        <w:rPr>
          <w:rFonts w:hint="eastAsia"/>
          <w:kern w:val="13"/>
          <w:szCs w:val="21"/>
        </w:rPr>
        <w:t xml:space="preserve">1）乙方应定期召开安全生产例会、参加甲方组织召开的各类安全会议、落实本单位及甲方安全教育培训制度、认真开展“三会一活动”（即班前会、工前会、班后会、班组安全日活动）、定期组织开展危害辨识与风险评估、定期组织安全检查与隐患排查治理。 </w:t>
      </w:r>
    </w:p>
    <w:p w14:paraId="3EC12FE1">
      <w:pPr>
        <w:tabs>
          <w:tab w:val="left" w:pos="482"/>
        </w:tabs>
        <w:spacing w:line="360" w:lineRule="auto"/>
        <w:ind w:firstLine="420" w:firstLineChars="200"/>
        <w:rPr>
          <w:kern w:val="13"/>
          <w:szCs w:val="21"/>
        </w:rPr>
      </w:pPr>
      <w:r>
        <w:rPr>
          <w:rFonts w:hint="eastAsia"/>
          <w:kern w:val="13"/>
          <w:szCs w:val="21"/>
        </w:rPr>
        <w:t>2）甲方定期对乙方安全管理体系实际运行效果进行监督审核、不定期监督检查，纳入月度或项目考核。</w:t>
      </w:r>
    </w:p>
    <w:p w14:paraId="1456B1FE">
      <w:pPr>
        <w:tabs>
          <w:tab w:val="left" w:pos="482"/>
        </w:tabs>
        <w:spacing w:line="360" w:lineRule="auto"/>
        <w:ind w:firstLine="420" w:firstLineChars="200"/>
        <w:rPr>
          <w:kern w:val="13"/>
          <w:szCs w:val="21"/>
        </w:rPr>
      </w:pPr>
      <w:r>
        <w:rPr>
          <w:rFonts w:hint="eastAsia"/>
          <w:kern w:val="13"/>
          <w:szCs w:val="21"/>
        </w:rPr>
        <w:t>3）甲方对乙方安全管理的例行工作进行监督检查、评价，做到有策划、有检查、有措施、有整改，实现闭环管理。</w:t>
      </w:r>
    </w:p>
    <w:p w14:paraId="5CF71C49">
      <w:pPr>
        <w:tabs>
          <w:tab w:val="left" w:pos="482"/>
        </w:tabs>
        <w:spacing w:line="360" w:lineRule="auto"/>
        <w:ind w:firstLine="420" w:firstLineChars="200"/>
        <w:rPr>
          <w:kern w:val="13"/>
          <w:szCs w:val="21"/>
        </w:rPr>
      </w:pPr>
      <w:r>
        <w:rPr>
          <w:rFonts w:hint="eastAsia"/>
          <w:kern w:val="13"/>
          <w:szCs w:val="21"/>
        </w:rPr>
        <w:t xml:space="preserve">（五）验收与退场管理 </w:t>
      </w:r>
    </w:p>
    <w:p w14:paraId="0F051382">
      <w:pPr>
        <w:tabs>
          <w:tab w:val="left" w:pos="482"/>
        </w:tabs>
        <w:spacing w:line="360" w:lineRule="auto"/>
        <w:ind w:firstLine="420" w:firstLineChars="200"/>
        <w:rPr>
          <w:kern w:val="13"/>
          <w:szCs w:val="21"/>
        </w:rPr>
      </w:pPr>
      <w:r>
        <w:rPr>
          <w:rFonts w:hint="eastAsia"/>
          <w:kern w:val="13"/>
          <w:szCs w:val="21"/>
        </w:rPr>
        <w:t>1.验收管理</w:t>
      </w:r>
    </w:p>
    <w:p w14:paraId="50CA26C9">
      <w:pPr>
        <w:tabs>
          <w:tab w:val="left" w:pos="482"/>
        </w:tabs>
        <w:spacing w:line="360" w:lineRule="auto"/>
        <w:ind w:firstLine="420" w:firstLineChars="200"/>
        <w:rPr>
          <w:kern w:val="13"/>
          <w:szCs w:val="21"/>
        </w:rPr>
      </w:pPr>
      <w:r>
        <w:rPr>
          <w:rFonts w:hint="eastAsia"/>
          <w:kern w:val="13"/>
          <w:szCs w:val="21"/>
        </w:rPr>
        <w:t>乙方完成阶段性和全部作业任务后，甲方组织相关部门进行验收。专业部门负责对作业现场安全文明施工、安全防护设施恢复等进行检查确认合格后方可办理作业终结、验收程序。</w:t>
      </w:r>
    </w:p>
    <w:p w14:paraId="763ECE93">
      <w:pPr>
        <w:tabs>
          <w:tab w:val="left" w:pos="482"/>
        </w:tabs>
        <w:spacing w:line="360" w:lineRule="auto"/>
        <w:ind w:firstLine="420" w:firstLineChars="200"/>
        <w:rPr>
          <w:kern w:val="13"/>
          <w:szCs w:val="21"/>
        </w:rPr>
      </w:pPr>
      <w:r>
        <w:rPr>
          <w:rFonts w:hint="eastAsia"/>
          <w:kern w:val="13"/>
          <w:szCs w:val="21"/>
        </w:rPr>
        <w:t xml:space="preserve">2.退场管理 </w:t>
      </w:r>
    </w:p>
    <w:p w14:paraId="6287CA45">
      <w:pPr>
        <w:tabs>
          <w:tab w:val="left" w:pos="482"/>
        </w:tabs>
        <w:spacing w:line="360" w:lineRule="auto"/>
        <w:ind w:firstLine="420" w:firstLineChars="200"/>
        <w:rPr>
          <w:kern w:val="13"/>
          <w:szCs w:val="21"/>
        </w:rPr>
      </w:pPr>
      <w:r>
        <w:rPr>
          <w:rFonts w:hint="eastAsia"/>
          <w:kern w:val="13"/>
          <w:szCs w:val="21"/>
        </w:rPr>
        <w:t>1）实施退场审批管理。乙方提出退场申请，甲方组织相关部门确认现场作业任务完成、相关资料完整并移交，现场清理、设施恢复完毕，承包项目验收合格后，甲方方可同意办理退场申请。</w:t>
      </w:r>
    </w:p>
    <w:p w14:paraId="0E67B66D">
      <w:pPr>
        <w:tabs>
          <w:tab w:val="left" w:pos="482"/>
        </w:tabs>
        <w:spacing w:line="360" w:lineRule="auto"/>
        <w:ind w:firstLine="420" w:firstLineChars="200"/>
        <w:rPr>
          <w:kern w:val="13"/>
          <w:szCs w:val="21"/>
        </w:rPr>
      </w:pPr>
      <w:r>
        <w:rPr>
          <w:rFonts w:hint="eastAsia"/>
          <w:kern w:val="13"/>
          <w:szCs w:val="21"/>
        </w:rPr>
        <w:t xml:space="preserve">2）甲方责任部门回收乙方全部人员出入证/门禁卡、注销出入权限；逐项查验乙方退场物资（机械设备、工器具、材料等）清单无误、确认权限清晰；安全考核执行完毕后，签发退场许可文件，组织退场。 </w:t>
      </w:r>
    </w:p>
    <w:p w14:paraId="3BCE22A7">
      <w:pPr>
        <w:tabs>
          <w:tab w:val="left" w:pos="482"/>
        </w:tabs>
        <w:spacing w:line="360" w:lineRule="auto"/>
        <w:ind w:firstLine="420" w:firstLineChars="200"/>
        <w:rPr>
          <w:kern w:val="13"/>
          <w:szCs w:val="21"/>
        </w:rPr>
      </w:pPr>
      <w:r>
        <w:rPr>
          <w:rFonts w:hint="eastAsia"/>
          <w:kern w:val="13"/>
          <w:szCs w:val="21"/>
        </w:rPr>
        <w:t xml:space="preserve">（六）应急与事故/事件管理 </w:t>
      </w:r>
    </w:p>
    <w:p w14:paraId="6E143D34">
      <w:pPr>
        <w:tabs>
          <w:tab w:val="left" w:pos="482"/>
        </w:tabs>
        <w:spacing w:line="360" w:lineRule="auto"/>
        <w:ind w:firstLine="420" w:firstLineChars="200"/>
        <w:rPr>
          <w:kern w:val="13"/>
          <w:szCs w:val="21"/>
        </w:rPr>
      </w:pPr>
      <w:r>
        <w:rPr>
          <w:rFonts w:hint="eastAsia"/>
          <w:kern w:val="13"/>
          <w:szCs w:val="21"/>
        </w:rPr>
        <w:t>1.应急管理</w:t>
      </w:r>
    </w:p>
    <w:p w14:paraId="197CDA3F">
      <w:pPr>
        <w:tabs>
          <w:tab w:val="left" w:pos="482"/>
        </w:tabs>
        <w:spacing w:line="360" w:lineRule="auto"/>
        <w:ind w:firstLine="420" w:firstLineChars="200"/>
        <w:rPr>
          <w:kern w:val="13"/>
          <w:szCs w:val="21"/>
        </w:rPr>
      </w:pPr>
      <w:r>
        <w:rPr>
          <w:rFonts w:hint="eastAsia"/>
          <w:kern w:val="13"/>
          <w:szCs w:val="21"/>
        </w:rPr>
        <w:t xml:space="preserve">1）乙方应根据作业特点、范围，制定应急预案并定期组织演练。 </w:t>
      </w:r>
    </w:p>
    <w:p w14:paraId="65CD5B28">
      <w:pPr>
        <w:tabs>
          <w:tab w:val="left" w:pos="482"/>
        </w:tabs>
        <w:spacing w:line="360" w:lineRule="auto"/>
        <w:ind w:firstLine="420" w:firstLineChars="200"/>
        <w:rPr>
          <w:kern w:val="13"/>
          <w:szCs w:val="21"/>
        </w:rPr>
      </w:pPr>
      <w:r>
        <w:rPr>
          <w:rFonts w:hint="eastAsia"/>
          <w:kern w:val="13"/>
          <w:szCs w:val="21"/>
        </w:rPr>
        <w:t xml:space="preserve">2）乙方应按要求配备合格的应急救援设备、设施、工具、器材，并定期检查维护；对现场易发生事故的部位、环节进行监控。 </w:t>
      </w:r>
    </w:p>
    <w:p w14:paraId="122EF72F">
      <w:pPr>
        <w:tabs>
          <w:tab w:val="left" w:pos="482"/>
        </w:tabs>
        <w:spacing w:line="360" w:lineRule="auto"/>
        <w:ind w:firstLine="420" w:firstLineChars="200"/>
        <w:rPr>
          <w:kern w:val="13"/>
          <w:szCs w:val="21"/>
        </w:rPr>
      </w:pPr>
      <w:r>
        <w:rPr>
          <w:rFonts w:hint="eastAsia"/>
          <w:kern w:val="13"/>
          <w:szCs w:val="21"/>
        </w:rPr>
        <w:t>3）甲方对乙方应急组织机构、应急预案、应急救援设备设施及器材进行监督检查。</w:t>
      </w:r>
    </w:p>
    <w:p w14:paraId="2ECD7DE6">
      <w:pPr>
        <w:tabs>
          <w:tab w:val="left" w:pos="482"/>
        </w:tabs>
        <w:spacing w:line="360" w:lineRule="auto"/>
        <w:ind w:firstLine="420" w:firstLineChars="200"/>
        <w:rPr>
          <w:kern w:val="13"/>
          <w:szCs w:val="21"/>
        </w:rPr>
      </w:pPr>
      <w:r>
        <w:rPr>
          <w:rFonts w:hint="eastAsia"/>
          <w:kern w:val="13"/>
          <w:szCs w:val="21"/>
        </w:rPr>
        <w:t>4）乙方发生突发事件后，甲方协助开展救援工作，必要情况下甲方应统一协调指挥。实行总承包的由总承包单位组织分包商开展应急管理工作。</w:t>
      </w:r>
    </w:p>
    <w:p w14:paraId="1C63A065">
      <w:pPr>
        <w:tabs>
          <w:tab w:val="left" w:pos="482"/>
        </w:tabs>
        <w:spacing w:line="360" w:lineRule="auto"/>
        <w:ind w:firstLine="420" w:firstLineChars="200"/>
        <w:rPr>
          <w:kern w:val="13"/>
          <w:szCs w:val="21"/>
        </w:rPr>
      </w:pPr>
      <w:r>
        <w:rPr>
          <w:rFonts w:hint="eastAsia"/>
          <w:kern w:val="13"/>
          <w:szCs w:val="21"/>
        </w:rPr>
        <w:t>2.事故/事件管理</w:t>
      </w:r>
    </w:p>
    <w:p w14:paraId="350D133E">
      <w:pPr>
        <w:tabs>
          <w:tab w:val="left" w:pos="482"/>
        </w:tabs>
        <w:spacing w:line="360" w:lineRule="auto"/>
        <w:ind w:firstLine="420" w:firstLineChars="200"/>
        <w:rPr>
          <w:kern w:val="13"/>
          <w:szCs w:val="21"/>
        </w:rPr>
      </w:pPr>
      <w:r>
        <w:rPr>
          <w:rFonts w:hint="eastAsia"/>
          <w:kern w:val="13"/>
          <w:szCs w:val="21"/>
        </w:rPr>
        <w:t>1）发生安全事故/事件，甲方根据有关规定进行报告并协助应急救援。同时，按照甲方有关规定及合同有关条款，开展事故/事件调查，并对事故责任单位和有关责任人进行责任追究。</w:t>
      </w:r>
    </w:p>
    <w:p w14:paraId="51A7EF1D">
      <w:pPr>
        <w:tabs>
          <w:tab w:val="left" w:pos="482"/>
        </w:tabs>
        <w:spacing w:line="360" w:lineRule="auto"/>
        <w:ind w:firstLine="420" w:firstLineChars="200"/>
        <w:rPr>
          <w:kern w:val="13"/>
          <w:szCs w:val="21"/>
        </w:rPr>
      </w:pPr>
      <w:r>
        <w:rPr>
          <w:rFonts w:hint="eastAsia"/>
          <w:kern w:val="13"/>
          <w:szCs w:val="21"/>
        </w:rPr>
        <w:t>2）因事故/事件停工整顿的，甲方组织或督促乙方制定并落实防范措施。复工前，甲方组织开展复工条件审查，确认合格后方可办理复工手续。对未经申请同意而擅自复工的，列入承包商“黑名单”管理。</w:t>
      </w:r>
    </w:p>
    <w:p w14:paraId="328D1137">
      <w:pPr>
        <w:tabs>
          <w:tab w:val="left" w:pos="482"/>
        </w:tabs>
        <w:spacing w:line="360" w:lineRule="auto"/>
        <w:ind w:firstLine="420" w:firstLineChars="200"/>
        <w:rPr>
          <w:kern w:val="13"/>
          <w:szCs w:val="21"/>
        </w:rPr>
      </w:pPr>
      <w:r>
        <w:rPr>
          <w:rFonts w:hint="eastAsia"/>
          <w:kern w:val="13"/>
          <w:szCs w:val="21"/>
        </w:rPr>
        <w:t>四、违约责任与考核</w:t>
      </w:r>
    </w:p>
    <w:p w14:paraId="68DA311C">
      <w:pPr>
        <w:tabs>
          <w:tab w:val="left" w:pos="482"/>
        </w:tabs>
        <w:spacing w:line="360" w:lineRule="auto"/>
        <w:ind w:firstLine="420" w:firstLineChars="200"/>
        <w:rPr>
          <w:kern w:val="13"/>
          <w:szCs w:val="21"/>
        </w:rPr>
      </w:pPr>
      <w:r>
        <w:rPr>
          <w:rFonts w:hint="eastAsia"/>
          <w:kern w:val="13"/>
          <w:szCs w:val="21"/>
        </w:rPr>
        <w:t>1.甲方有权按照《承包商安全管理办法》《反违章管理制度》等甲方安全生产管理规定，对乙方安全管理职责未落实的情况进行相应处罚。</w:t>
      </w:r>
    </w:p>
    <w:p w14:paraId="159AFFFA">
      <w:pPr>
        <w:tabs>
          <w:tab w:val="left" w:pos="482"/>
        </w:tabs>
        <w:spacing w:line="360" w:lineRule="auto"/>
        <w:ind w:firstLine="420" w:firstLineChars="200"/>
        <w:rPr>
          <w:kern w:val="13"/>
          <w:szCs w:val="21"/>
        </w:rPr>
      </w:pPr>
      <w:r>
        <w:rPr>
          <w:rFonts w:hint="eastAsia"/>
          <w:kern w:val="13"/>
          <w:szCs w:val="21"/>
        </w:rPr>
        <w:t>2.甲方在履行安全监督管理职责时，有权依据甲方安全生产奖惩相关规定，对乙方的安全生产工作进行奖惩。</w:t>
      </w:r>
    </w:p>
    <w:p w14:paraId="765AD682">
      <w:pPr>
        <w:tabs>
          <w:tab w:val="left" w:pos="482"/>
        </w:tabs>
        <w:spacing w:line="360" w:lineRule="auto"/>
        <w:ind w:firstLine="420" w:firstLineChars="200"/>
        <w:rPr>
          <w:kern w:val="13"/>
          <w:szCs w:val="21"/>
        </w:rPr>
      </w:pPr>
      <w:r>
        <w:rPr>
          <w:rFonts w:hint="eastAsia"/>
          <w:kern w:val="13"/>
          <w:szCs w:val="21"/>
        </w:rPr>
        <w:t>3.若乙方不能保证所提交资质材料的真实、合法和有效，甲方将有权要求乙方进行整改或终止合同，同时将其纳入不良行为记录“黑名单”管理。</w:t>
      </w:r>
    </w:p>
    <w:p w14:paraId="15E43E61">
      <w:pPr>
        <w:tabs>
          <w:tab w:val="left" w:pos="482"/>
        </w:tabs>
        <w:spacing w:line="360" w:lineRule="auto"/>
        <w:ind w:firstLine="420" w:firstLineChars="200"/>
        <w:rPr>
          <w:kern w:val="13"/>
          <w:szCs w:val="21"/>
        </w:rPr>
      </w:pPr>
      <w:r>
        <w:rPr>
          <w:rFonts w:hint="eastAsia"/>
          <w:kern w:val="13"/>
          <w:szCs w:val="21"/>
        </w:rPr>
        <w:t>4.当发现乙方自行携带和使用的设备、工器具、安全设施、安全装备等不符合安全标准时，甲方有权责令停工整改或强行使之达到安全标准，所需费用从工程款中加倍扣除。</w:t>
      </w:r>
    </w:p>
    <w:p w14:paraId="7039BA2B">
      <w:pPr>
        <w:tabs>
          <w:tab w:val="left" w:pos="482"/>
        </w:tabs>
        <w:spacing w:line="360" w:lineRule="auto"/>
        <w:ind w:firstLine="420" w:firstLineChars="200"/>
        <w:rPr>
          <w:kern w:val="13"/>
          <w:szCs w:val="21"/>
        </w:rPr>
      </w:pPr>
      <w:r>
        <w:rPr>
          <w:rFonts w:hint="eastAsia"/>
          <w:kern w:val="13"/>
          <w:szCs w:val="21"/>
        </w:rPr>
        <w:t>5.甲方实行从业人员“黑名单”管理，将违反甲方安全生产禁令或一年内累计三次一般违章、两次较严重违章或者一次严重违章的或同时在两家及以上承包商从业的人员立即清退、列入黑名单，终身不得进入甲方现场工作。</w:t>
      </w:r>
    </w:p>
    <w:p w14:paraId="71A806E5">
      <w:pPr>
        <w:tabs>
          <w:tab w:val="left" w:pos="482"/>
        </w:tabs>
        <w:spacing w:line="360" w:lineRule="auto"/>
        <w:ind w:firstLine="420" w:firstLineChars="200"/>
        <w:rPr>
          <w:kern w:val="13"/>
          <w:szCs w:val="21"/>
        </w:rPr>
      </w:pPr>
      <w:r>
        <w:rPr>
          <w:rFonts w:hint="eastAsia"/>
          <w:kern w:val="13"/>
          <w:szCs w:val="21"/>
        </w:rPr>
        <w:t>6.当乙方发生严重违章，或违章行为累计次数足以影响工程安全致使合同无法正常履行时，甲方有权终止合同。</w:t>
      </w:r>
    </w:p>
    <w:p w14:paraId="561D6205">
      <w:pPr>
        <w:tabs>
          <w:tab w:val="left" w:pos="482"/>
        </w:tabs>
        <w:spacing w:line="360" w:lineRule="auto"/>
        <w:ind w:firstLine="420" w:firstLineChars="200"/>
        <w:rPr>
          <w:kern w:val="13"/>
          <w:szCs w:val="21"/>
        </w:rPr>
      </w:pPr>
      <w:r>
        <w:rPr>
          <w:rFonts w:hint="eastAsia"/>
          <w:kern w:val="13"/>
          <w:szCs w:val="21"/>
        </w:rPr>
        <w:t>7.甲方实行承包单位“黑名单”管理，对承包商人员个人违章人数累计达到总人数一定比例的，发生合同或安全协议安全控制目标事件以及不服从安全监督管理等问题，将承包商单位列入“黑名单”。</w:t>
      </w:r>
    </w:p>
    <w:p w14:paraId="40464A22">
      <w:pPr>
        <w:tabs>
          <w:tab w:val="left" w:pos="482"/>
        </w:tabs>
        <w:spacing w:line="360" w:lineRule="auto"/>
        <w:ind w:firstLine="420" w:firstLineChars="200"/>
        <w:rPr>
          <w:kern w:val="13"/>
          <w:szCs w:val="21"/>
        </w:rPr>
      </w:pPr>
      <w:r>
        <w:rPr>
          <w:rFonts w:hint="eastAsia"/>
          <w:kern w:val="13"/>
          <w:szCs w:val="21"/>
        </w:rPr>
        <w:t>8.甲方履行安全监督职责，发现乙方存在对人身和设备安全有重大危险的行为时，有权发出停工整改的指令，并进行相应的考核。</w:t>
      </w:r>
    </w:p>
    <w:p w14:paraId="6396DEE7">
      <w:pPr>
        <w:tabs>
          <w:tab w:val="left" w:pos="482"/>
        </w:tabs>
        <w:spacing w:line="360" w:lineRule="auto"/>
        <w:ind w:firstLine="420" w:firstLineChars="200"/>
        <w:rPr>
          <w:kern w:val="13"/>
          <w:szCs w:val="21"/>
        </w:rPr>
      </w:pPr>
      <w:r>
        <w:rPr>
          <w:rFonts w:hint="eastAsia"/>
          <w:kern w:val="13"/>
          <w:szCs w:val="21"/>
        </w:rPr>
        <w:t>9.乙方若发生因不良行为或管理不善等原因被甲方评价为不合格、发生被终止合同等被列入“黑名单”，禁止在公司承揽业务。</w:t>
      </w:r>
    </w:p>
    <w:p w14:paraId="2DF23AFB">
      <w:pPr>
        <w:tabs>
          <w:tab w:val="left" w:pos="482"/>
        </w:tabs>
        <w:spacing w:line="360" w:lineRule="auto"/>
        <w:ind w:firstLine="420" w:firstLineChars="200"/>
        <w:rPr>
          <w:kern w:val="13"/>
          <w:szCs w:val="21"/>
        </w:rPr>
      </w:pPr>
      <w:r>
        <w:rPr>
          <w:rFonts w:hint="eastAsia"/>
          <w:kern w:val="13"/>
          <w:szCs w:val="21"/>
        </w:rPr>
        <w:t>10.当发生生产安全事故后，根据相关处理意见，按照甲方《承包商安全管理办法》，对事故的责任者进行相应的考核。同时甲方有权单方面解除合同，将承包商列入“黑名单”清退出场。</w:t>
      </w:r>
    </w:p>
    <w:p w14:paraId="40CD7AB6">
      <w:pPr>
        <w:tabs>
          <w:tab w:val="left" w:pos="482"/>
        </w:tabs>
        <w:spacing w:line="360" w:lineRule="auto"/>
        <w:ind w:firstLine="420" w:firstLineChars="200"/>
        <w:rPr>
          <w:kern w:val="13"/>
          <w:szCs w:val="21"/>
        </w:rPr>
      </w:pPr>
      <w:r>
        <w:rPr>
          <w:rFonts w:hint="eastAsia"/>
          <w:kern w:val="13"/>
          <w:szCs w:val="21"/>
        </w:rPr>
        <w:t>11.当乙方出现生产安全事故不能支付事故罚款或承担赔偿责任时，甲方有权从合同款中扣除。</w:t>
      </w:r>
    </w:p>
    <w:p w14:paraId="25E9758E">
      <w:pPr>
        <w:tabs>
          <w:tab w:val="left" w:pos="482"/>
        </w:tabs>
        <w:spacing w:line="360" w:lineRule="auto"/>
        <w:ind w:firstLine="420" w:firstLineChars="200"/>
        <w:rPr>
          <w:kern w:val="13"/>
          <w:szCs w:val="21"/>
        </w:rPr>
      </w:pPr>
      <w:r>
        <w:rPr>
          <w:rFonts w:hint="eastAsia"/>
          <w:kern w:val="13"/>
          <w:szCs w:val="21"/>
        </w:rPr>
        <w:t>12.乙方从业人员出现一般违章、较严重违章及严重违章时，甲方提出整改，乙方迟迟未按要求予以整改的，甲方有权提出对承包商责任人考核1000元，责令立即整改；可能导致事故的，对承包商责任人考核3000元。同时分别连带处罚承包商负责人3000元、5000元，处罚金在合同款内扣除。</w:t>
      </w:r>
    </w:p>
    <w:p w14:paraId="084F8F79">
      <w:pPr>
        <w:tabs>
          <w:tab w:val="left" w:pos="482"/>
        </w:tabs>
        <w:spacing w:line="360" w:lineRule="auto"/>
        <w:ind w:firstLine="420" w:firstLineChars="200"/>
        <w:rPr>
          <w:kern w:val="13"/>
          <w:szCs w:val="21"/>
        </w:rPr>
      </w:pPr>
      <w:r>
        <w:rPr>
          <w:rFonts w:hint="eastAsia"/>
          <w:kern w:val="13"/>
          <w:szCs w:val="21"/>
        </w:rPr>
        <w:t>13.乙方在甲方公司范围内出现责任性事故，导致人员轻伤、重伤情形的，处罚金在合同款内扣除，合同款总金额不足的，通过法律追偿。对乙方相关人员处罚按照甲方《承包商安全管理办法》执行。</w:t>
      </w:r>
    </w:p>
    <w:p w14:paraId="6F3FC1FD">
      <w:pPr>
        <w:tabs>
          <w:tab w:val="left" w:pos="482"/>
        </w:tabs>
        <w:spacing w:line="360" w:lineRule="auto"/>
        <w:ind w:firstLine="420" w:firstLineChars="200"/>
        <w:rPr>
          <w:kern w:val="13"/>
          <w:szCs w:val="21"/>
        </w:rPr>
      </w:pPr>
      <w:r>
        <w:rPr>
          <w:rFonts w:hint="eastAsia"/>
          <w:kern w:val="13"/>
          <w:szCs w:val="21"/>
        </w:rPr>
        <w:t>14.出现火灾、交通等事故事件按照甲方事故管理等级对照条款进行相应处理。</w:t>
      </w:r>
    </w:p>
    <w:p w14:paraId="7C01E71D">
      <w:pPr>
        <w:tabs>
          <w:tab w:val="left" w:pos="482"/>
        </w:tabs>
        <w:spacing w:line="360" w:lineRule="auto"/>
        <w:ind w:firstLine="420" w:firstLineChars="200"/>
        <w:rPr>
          <w:kern w:val="13"/>
          <w:szCs w:val="21"/>
        </w:rPr>
      </w:pPr>
      <w:r>
        <w:rPr>
          <w:rFonts w:hint="eastAsia"/>
          <w:kern w:val="13"/>
          <w:szCs w:val="21"/>
        </w:rPr>
        <w:t>15.承包项目合同条款中安全管理要求与本协议不一致的，以本协议为准。（以下无正文）</w:t>
      </w:r>
    </w:p>
    <w:p w14:paraId="700C4C6D">
      <w:pPr>
        <w:tabs>
          <w:tab w:val="left" w:pos="482"/>
        </w:tabs>
        <w:spacing w:line="360" w:lineRule="auto"/>
        <w:ind w:firstLine="420" w:firstLineChars="200"/>
        <w:rPr>
          <w:kern w:val="13"/>
          <w:szCs w:val="21"/>
        </w:rPr>
      </w:pPr>
    </w:p>
    <w:p w14:paraId="22DCEC68">
      <w:pPr>
        <w:tabs>
          <w:tab w:val="left" w:pos="482"/>
        </w:tabs>
        <w:spacing w:line="360" w:lineRule="auto"/>
        <w:jc w:val="center"/>
        <w:rPr>
          <w:b/>
          <w:bCs/>
          <w:kern w:val="13"/>
          <w:sz w:val="24"/>
          <w:szCs w:val="24"/>
        </w:rPr>
      </w:pPr>
      <w:r>
        <w:rPr>
          <w:b/>
          <w:bCs/>
          <w:sz w:val="24"/>
          <w:szCs w:val="24"/>
        </w:rPr>
        <w:t>Accord sur la gestion de la sécurité</w:t>
      </w:r>
    </w:p>
    <w:p w14:paraId="10662089">
      <w:pPr>
        <w:spacing w:line="360" w:lineRule="auto"/>
        <w:rPr>
          <w:kern w:val="13"/>
          <w:szCs w:val="21"/>
        </w:rPr>
      </w:pPr>
    </w:p>
    <w:p w14:paraId="38FAD793">
      <w:pPr>
        <w:widowControl/>
        <w:spacing w:line="360" w:lineRule="auto"/>
      </w:pPr>
      <w:r>
        <w:t>NOM DU PROJET</w:t>
      </w:r>
      <w:r>
        <w:rPr>
          <w:rFonts w:hint="eastAsia"/>
        </w:rPr>
        <w:t>：</w:t>
      </w:r>
      <w:r>
        <w:rPr>
          <w:rFonts w:hint="eastAsia"/>
          <w:lang w:val="en-US"/>
        </w:rPr>
        <w:t>L</w:t>
      </w:r>
      <w:r>
        <w:rPr>
          <w:rFonts w:hint="eastAsia"/>
        </w:rPr>
        <w:t>es Travaux de Réhabilitation des Routes Communautaires et du Terrain de Football</w:t>
      </w:r>
      <w:r>
        <w:br w:type="textWrapping"/>
      </w:r>
      <w:r>
        <w:t>Partie A :Guinea Colia Mining S.A..</w:t>
      </w:r>
      <w:r>
        <w:br w:type="textWrapping"/>
      </w:r>
      <w:r>
        <w:t>Partie Contractante :(ci-après dénommée "Partie B")</w:t>
      </w:r>
      <w:r>
        <w:br w:type="textWrapping"/>
      </w:r>
      <w:r>
        <w:t>Durée de l'accord : Du jour de la signature du contrat de projet jusqu'au jour de son achèvement.</w:t>
      </w:r>
    </w:p>
    <w:p w14:paraId="0A2CF7E6">
      <w:pPr>
        <w:widowControl/>
        <w:spacing w:line="360" w:lineRule="auto"/>
      </w:pPr>
      <w:r>
        <w:t>Afin de définir clairement les responsabilités, droits et obligations des Parties A et B en matière de sécurité pendant l'exécution du projet, d'améliorer le niveau de gestion de la sécurité et de la civilité sur site, de garantir la sécurité et la santé du personnel, et d'assurer la sécurité des équipements et de l'environnement, et compte tenu des caractéristiques du présent projet, les Parties A et B, après de pleines négociations et avoir atteint un consensus, conviennent de ce qui suit, à signer conjointement avec le contrat.</w:t>
      </w:r>
    </w:p>
    <w:p w14:paraId="7A2EEFB1">
      <w:pPr>
        <w:widowControl/>
        <w:spacing w:line="360" w:lineRule="auto"/>
        <w:rPr>
          <w:b/>
          <w:bCs/>
        </w:rPr>
      </w:pPr>
    </w:p>
    <w:p w14:paraId="75AE61E4">
      <w:pPr>
        <w:widowControl/>
        <w:spacing w:line="360" w:lineRule="auto"/>
        <w:rPr>
          <w:b/>
          <w:bCs/>
        </w:rPr>
      </w:pPr>
      <w:r>
        <w:rPr>
          <w:b/>
          <w:bCs/>
        </w:rPr>
        <w:t>I. OBJECTIFS EN MATIÈRE DE SÉCURITÉ ET D'ENVIRONNEMENT</w:t>
      </w:r>
    </w:p>
    <w:p w14:paraId="3DEE6D20">
      <w:pPr>
        <w:widowControl/>
        <w:spacing w:line="360" w:lineRule="auto"/>
      </w:pPr>
      <w:r>
        <w:t>(1) Objectifs de Sécurité</w:t>
      </w:r>
    </w:p>
    <w:p w14:paraId="7EDD43DB">
      <w:pPr>
        <w:widowControl/>
        <w:spacing w:line="360" w:lineRule="auto"/>
      </w:pPr>
      <w:r>
        <w:t>Aucun incident de blessure personnelle légère ou supérieure, ni incident de classe II. (Obligatoire)</w:t>
      </w:r>
    </w:p>
    <w:p w14:paraId="09812398">
      <w:pPr>
        <w:widowControl/>
        <w:spacing w:line="360" w:lineRule="auto"/>
      </w:pPr>
      <w:r>
        <w:t>Taux de défauts d'équipement de classe II à 0. (Obligatoire)</w:t>
      </w:r>
    </w:p>
    <w:p w14:paraId="3A3F3B96">
      <w:pPr>
        <w:widowControl/>
        <w:spacing w:line="360" w:lineRule="auto"/>
      </w:pPr>
      <w:r>
        <w:t>Aucun incident d'incendie général ou supérieur. (Obligatoire)</w:t>
      </w:r>
    </w:p>
    <w:p w14:paraId="26DDBA44">
      <w:pPr>
        <w:widowControl/>
        <w:spacing w:line="360" w:lineRule="auto"/>
      </w:pPr>
      <w:r>
        <w:t>Aucun accident de la circulation sur site, même mineur. (Obligatoire)</w:t>
      </w:r>
    </w:p>
    <w:p w14:paraId="233F9534">
      <w:pPr>
        <w:widowControl/>
        <w:spacing w:line="360" w:lineRule="auto"/>
      </w:pPr>
      <w:r>
        <w:t>Aucun risque majeur d'accident. (Obligatoire)</w:t>
      </w:r>
    </w:p>
    <w:p w14:paraId="594B9ED7">
      <w:pPr>
        <w:widowControl/>
        <w:spacing w:line="360" w:lineRule="auto"/>
      </w:pPr>
      <w:r>
        <w:t>Taux de bon fonctionnement des installations de lutte contre l'incendie et du matériel d'extinction : 100 %. (Obligatoire)</w:t>
      </w:r>
    </w:p>
    <w:p w14:paraId="45198BBA">
      <w:pPr>
        <w:widowControl/>
        <w:spacing w:line="360" w:lineRule="auto"/>
      </w:pPr>
      <w:r>
        <w:t>Couverture et taux de réussite de la formation à la sécurité : 100 %. (Obligatoire)</w:t>
      </w:r>
    </w:p>
    <w:p w14:paraId="00122E73">
      <w:pPr>
        <w:widowControl/>
        <w:spacing w:line="360" w:lineRule="auto"/>
      </w:pPr>
      <w:r>
        <w:t>Aucun incident de sécurité réseau imputable de niveau général ou supérieur. (Obligatoire)</w:t>
      </w:r>
    </w:p>
    <w:p w14:paraId="548C9704">
      <w:pPr>
        <w:widowControl/>
        <w:spacing w:line="360" w:lineRule="auto"/>
      </w:pPr>
      <w:r>
        <w:t>Aucun incident de sécurité relevant de ses attributions faisant l'objet d'une notification par les autorités gouvernementales compétentes ou d'une convocation, sanction ou mesure disciplinaire par le groupe de la Partie A. (Obligatoire)</w:t>
      </w:r>
    </w:p>
    <w:p w14:paraId="308A58DC">
      <w:pPr>
        <w:widowControl/>
        <w:spacing w:line="360" w:lineRule="auto"/>
      </w:pPr>
      <w:r>
        <w:t>(2) Objectifs Environnementaux</w:t>
      </w:r>
    </w:p>
    <w:p w14:paraId="467FC052">
      <w:pPr>
        <w:widowControl/>
        <w:spacing w:line="360" w:lineRule="auto"/>
      </w:pPr>
      <w:r>
        <w:t>Aucun incident environnemental soudain. (Obligatoire)</w:t>
      </w:r>
    </w:p>
    <w:p w14:paraId="2E01DFCF">
      <w:pPr>
        <w:widowControl/>
        <w:spacing w:line="360" w:lineRule="auto"/>
      </w:pPr>
      <w:r>
        <w:t>Taux de conformité du stockage temporaire, du transport et de l'élimination des déchets solides (y compris dangereux) : 100 %. (Obligatoire)</w:t>
      </w:r>
    </w:p>
    <w:p w14:paraId="18F3CFC2">
      <w:pPr>
        <w:widowControl/>
        <w:spacing w:line="360" w:lineRule="auto"/>
      </w:pPr>
      <w:r>
        <w:t>Éliminer tout comportement illégal en matière d'écologie et de protection de l'environnement. (Obligatoire)</w:t>
      </w:r>
    </w:p>
    <w:p w14:paraId="5C760ADC">
      <w:pPr>
        <w:widowControl/>
        <w:spacing w:line="360" w:lineRule="auto"/>
      </w:pPr>
      <w:r>
        <w:t>Ne pas subir d'événement entraînant des sanctions de la part des services concernés en raison de faits imputables à l'unité concernée. (Obligatoire)</w:t>
      </w:r>
    </w:p>
    <w:p w14:paraId="378B7B68">
      <w:pPr>
        <w:widowControl/>
        <w:spacing w:line="360" w:lineRule="auto"/>
      </w:pPr>
      <w:r>
        <w:t>Aucun événement environnemental relevant de ses attributions faisant l'objet d'une convocation, sanction ou mesure disciplinaire par le groupe de la Partie A. (Obligatoire)</w:t>
      </w:r>
    </w:p>
    <w:p w14:paraId="7D0A0451">
      <w:pPr>
        <w:widowControl/>
        <w:spacing w:line="360" w:lineRule="auto"/>
      </w:pPr>
      <w:r>
        <w:t>(3) Objectifs de Santé au Travail</w:t>
      </w:r>
    </w:p>
    <w:p w14:paraId="045498D5">
      <w:pPr>
        <w:widowControl/>
        <w:spacing w:line="360" w:lineRule="auto"/>
      </w:pPr>
      <w:r>
        <w:t>Aucun nouveau cas de maladie professionnelle. (Obligatoire)</w:t>
      </w:r>
    </w:p>
    <w:p w14:paraId="3C77CB2B">
      <w:pPr>
        <w:widowControl/>
        <w:spacing w:line="360" w:lineRule="auto"/>
      </w:pPr>
      <w:r>
        <w:t>Taux d'examens médicaux professionnels pour les employés chinois et guinéens : 100 %. (Obligatoire)</w:t>
      </w:r>
    </w:p>
    <w:p w14:paraId="5AB9F567">
      <w:pPr>
        <w:widowControl/>
        <w:spacing w:line="360" w:lineRule="auto"/>
      </w:pPr>
      <w:r>
        <w:t>(4) Objectifs de Sécurité Publique</w:t>
      </w:r>
      <w:r>
        <w:br w:type="textWrapping"/>
      </w:r>
      <w:r>
        <w:t>Ne pas provoquer d'incident de blocage des travaux ou de la circulation impliquant plus de 20 personnes en raison de faits imputables à l'unité concernée. (Obligatoire)</w:t>
      </w:r>
    </w:p>
    <w:p w14:paraId="2B0866E2">
      <w:pPr>
        <w:widowControl/>
        <w:spacing w:line="360" w:lineRule="auto"/>
      </w:pPr>
    </w:p>
    <w:p w14:paraId="7C5FA63E">
      <w:pPr>
        <w:widowControl/>
        <w:spacing w:line="360" w:lineRule="auto"/>
        <w:rPr>
          <w:b/>
          <w:bCs/>
        </w:rPr>
      </w:pPr>
      <w:r>
        <w:rPr>
          <w:b/>
          <w:bCs/>
        </w:rPr>
        <w:t>II. RESPONSABILITÉS DE GESTION DE LA SÉCURITÉ DES PARTIES A ET B</w:t>
      </w:r>
    </w:p>
    <w:p w14:paraId="7C7996ED">
      <w:pPr>
        <w:widowControl/>
        <w:spacing w:line="360" w:lineRule="auto"/>
        <w:rPr>
          <w:b/>
          <w:bCs/>
        </w:rPr>
      </w:pPr>
      <w:r>
        <w:rPr>
          <w:b/>
          <w:bCs/>
        </w:rPr>
        <w:t>(1) Responsabilités de Gestion de la Partie A</w:t>
      </w:r>
    </w:p>
    <w:p w14:paraId="5F9FEC6B">
      <w:pPr>
        <w:widowControl/>
        <w:spacing w:line="360" w:lineRule="auto"/>
      </w:pPr>
      <w:r>
        <w:rPr>
          <w:lang w:val="en-US"/>
        </w:rPr>
        <w:t>1.</w:t>
      </w:r>
      <w:r>
        <w:t>Assurer la responsabilité de supervision et de gestion de la sécurité pour ce projet, en suivant le principe de "gestion intégrée" et en appliquant les trois "unifications" : intégration unifiée au système de gestion de la sécurité du maître d'ouvrage, normes de gestion unifiées, mise en œuvre unifiée des inspections, contrôles et évaluations. Suivant le principe "celui qui utilise est responsable, celui qui gère", superviser, coordonner et gérer les travaux de sécurité de ce projet.</w:t>
      </w:r>
    </w:p>
    <w:p w14:paraId="153DBB7C">
      <w:pPr>
        <w:widowControl/>
        <w:spacing w:line="360" w:lineRule="auto"/>
      </w:pPr>
      <w:r>
        <w:rPr>
          <w:lang w:val="en-US"/>
        </w:rPr>
        <w:t>2.</w:t>
      </w:r>
      <w:r>
        <w:t>Examiner les qualifications et conditions de sécurité de la Partie B conformément aux lois et règlements nationaux sur la sécurité au travail et aux systèmes de gestion de la Partie A.</w:t>
      </w:r>
    </w:p>
    <w:p w14:paraId="7C4E4C20">
      <w:pPr>
        <w:widowControl/>
        <w:spacing w:line="360" w:lineRule="auto"/>
      </w:pPr>
      <w:r>
        <w:rPr>
          <w:lang w:val="en-US"/>
        </w:rPr>
        <w:t>3.</w:t>
      </w:r>
      <w:r>
        <w:t>Établir un système de formation à la sécurité, superviser et inspecter la transmission technique de sécurité et la formation quotidienne à la sécurité de la Partie B ; organiser la formation et l'examen de sécurité à trois niveaux pour le personnel de la Partie B selon les dispositions du "Règlement de Gestion de la Sécurité des Contractants".</w:t>
      </w:r>
    </w:p>
    <w:p w14:paraId="62CB5DC9">
      <w:pPr>
        <w:widowControl/>
        <w:spacing w:line="360" w:lineRule="auto"/>
      </w:pPr>
      <w:r>
        <w:rPr>
          <w:lang w:val="en-US"/>
        </w:rPr>
        <w:t>4.</w:t>
      </w:r>
      <w:r>
        <w:t>Organiser l'examen et l'enregistrement des mesures d'organisation de la construction, mesures de sécurité, mesures techniques, mesures environnementales, plans d'exécution des travaux, plans d'urgence (ci-après dénommés "quatre mesures, deux plans") établis par la Partie B, vérifier les conditions de démarrage sécurisé pour ce projet, et assister la Partie B dans l'obtention des autorisations de travaux.</w:t>
      </w:r>
    </w:p>
    <w:p w14:paraId="2ED9D318">
      <w:pPr>
        <w:widowControl/>
        <w:spacing w:line="360" w:lineRule="auto"/>
      </w:pPr>
      <w:r>
        <w:rPr>
          <w:lang w:val="en-US"/>
        </w:rPr>
        <w:t>5.</w:t>
      </w:r>
      <w:r>
        <w:t>Superviser la Partie B dans l'établissement et le renforcement d'un système de secours d'urgence, l'élaboration de divers plans d'urgence de sécurité, et organiser des formations et exercices selon le plan.</w:t>
      </w:r>
    </w:p>
    <w:p w14:paraId="758408D9">
      <w:pPr>
        <w:widowControl/>
        <w:spacing w:line="360" w:lineRule="auto"/>
      </w:pPr>
      <w:r>
        <w:rPr>
          <w:lang w:val="en-US"/>
        </w:rPr>
        <w:t>6.</w:t>
      </w:r>
      <w:r>
        <w:t>Superviser et inspecter l'utilisation des fonds de sécurité de la Partie B conformément aux exigences légales, réglementaires et contractuelles. Si la Partie B n'investit pas les fonds de sécurité conformément au contrat ou les détourne à d'autres fins, la Partie A a le droit de sanctionner la Partie B.</w:t>
      </w:r>
    </w:p>
    <w:p w14:paraId="65545175">
      <w:pPr>
        <w:widowControl/>
        <w:spacing w:line="360" w:lineRule="auto"/>
      </w:pPr>
      <w:r>
        <w:rPr>
          <w:lang w:val="en-US"/>
        </w:rPr>
        <w:t>7.</w:t>
      </w:r>
      <w:r>
        <w:t>Évaluer périodiquement la performance de la Partie B dans l'exécution de l'accord conformément au "Règlement de Gestion de la Sécurité des Contractants", enregistrer les résultats dans le registre de gestion des contractants, et les utiliser comme référence importante pour la sélection future des contractants.</w:t>
      </w:r>
    </w:p>
    <w:p w14:paraId="6EC5F39B">
      <w:pPr>
        <w:widowControl/>
        <w:spacing w:line="360" w:lineRule="auto"/>
      </w:pPr>
      <w:r>
        <w:rPr>
          <w:lang w:val="en-US"/>
        </w:rPr>
        <w:t>8.</w:t>
      </w:r>
      <w:r>
        <w:t>La Partie A ne doit pas sous-traiter des travaux présentant des risques de maladies professionnelles à des entités ou individus ne disposant pas des conditions de protection requises. La Partie A formule des exigences en matière d'hygiène au travail, informe la Partie B des risques de maladies professionnelles, et vérifie la conformité des examens de santé au travail et des équipements de protection individuelle de la Partie B.</w:t>
      </w:r>
    </w:p>
    <w:p w14:paraId="3B1F760C">
      <w:pPr>
        <w:widowControl/>
        <w:spacing w:line="360" w:lineRule="auto"/>
      </w:pPr>
      <w:r>
        <w:rPr>
          <w:lang w:val="en-US"/>
        </w:rPr>
        <w:t>9.</w:t>
      </w:r>
      <w:r>
        <w:t>La Partie A a le droit d'exiger le retrait du personnel de la Partie B dont les compétences techniques et capacités réelles en matière de sécurité ne répondent pas aux besoins du projet ou qui ne se conforme pas à la gestion de la sécurité sur site de la Partie A, et la Partie B doit s'exécuter. Pour les entités qui ne se conforment pas à la gestion de la sécurité, commettent des infractions graves, ont une gestion chaotique, ou subissent des accidents de production tels que des accidents avec décès ou blessures de niveau général ou supérieur, des dommages aux équipements ou des accidents de procédé, la Partie A a le droit, conformément aux règlements de gestion de la sécurité de la Partie A, d'appliquer des sanctions pour accident, de résilier le contrat et d'exiger un retrait dans un délai imparti.</w:t>
      </w:r>
    </w:p>
    <w:p w14:paraId="41008433">
      <w:pPr>
        <w:widowControl/>
        <w:spacing w:line="360" w:lineRule="auto"/>
      </w:pPr>
      <w:r>
        <w:rPr>
          <w:lang w:val="en-US"/>
        </w:rPr>
        <w:t>10.</w:t>
      </w:r>
      <w:r>
        <w:t>La Partie A a le droit de percevoir une prime d'incitation spéciale pour les objectifs de sécurité auprès de la Partie B conformément au "Règlement de Gestion de la Sécurité des Contractants" de l'entreprise.</w:t>
      </w:r>
    </w:p>
    <w:p w14:paraId="4BDC6A33">
      <w:pPr>
        <w:widowControl/>
        <w:spacing w:line="360" w:lineRule="auto"/>
      </w:pPr>
      <w:r>
        <w:rPr>
          <w:lang w:val="en-US"/>
        </w:rPr>
        <w:t>11.</w:t>
      </w:r>
      <w:r>
        <w:t>La Partie A a le droit, conformément aux lois et règlements nationaux applicables et aux règlements de gestion de la sécurité de la Partie A, d'infliger des sanctions financières à la Partie B pour toute violation des règlements de gestion de la sécurité de la Partie A, les amendes étant déduites du montant du contrat. Le montant des sanctions est déterminé conformément au "Règlement de Gestion de la Sécurité des Contractants" et au "Règlement de Lutte contre les Infractions" de la Partie A.</w:t>
      </w:r>
    </w:p>
    <w:p w14:paraId="61E2FFEA">
      <w:pPr>
        <w:widowControl/>
        <w:spacing w:line="360" w:lineRule="auto"/>
      </w:pPr>
      <w:r>
        <w:rPr>
          <w:lang w:val="en-US"/>
        </w:rPr>
        <w:t>12.</w:t>
      </w:r>
      <w:r>
        <w:t>La Partie A a le droit d'inspecter les engins de construction, véhicules, installations, outillages, instruments, etc., de la Partie B, et d'exiger leur retrait s'ils ne répondent pas aux exigences de sécurité, de santé et d'environnement.</w:t>
      </w:r>
    </w:p>
    <w:p w14:paraId="5C80A898">
      <w:pPr>
        <w:widowControl/>
        <w:spacing w:line="360" w:lineRule="auto"/>
        <w:rPr>
          <w:b/>
          <w:bCs/>
        </w:rPr>
      </w:pPr>
      <w:r>
        <w:rPr>
          <w:b/>
          <w:bCs/>
        </w:rPr>
        <w:t>(2) Responsabilités de Gestion de la Partie B</w:t>
      </w:r>
    </w:p>
    <w:p w14:paraId="4ED0C155">
      <w:pPr>
        <w:widowControl/>
        <w:spacing w:line="360" w:lineRule="auto"/>
      </w:pPr>
      <w:r>
        <w:rPr>
          <w:lang w:val="en-US"/>
        </w:rPr>
        <w:t>1.</w:t>
      </w:r>
      <w:r>
        <w:t>La Partie B est l'entité responsable de la sécurité de la production pour ce projet. Elle doit strictement appliquer les lois, règlements et normes relatifs à la sécurité de la production, respecter les "interdictions" de sécurité de la production publiées par le Groupe SPIC comme ligne de base, respecter et se conformer aux règlements et modes de gestion de la sécurité de la production de la Partie A, établir et renforcer les organes organisationnels, règlements et procédures opérationnelles de sécurité, établir et mettre en œuvre un système de responsabilité de sécurité de la production pour l'ensemble du personnel, et être responsable de la sécurité et du comportement des personnes participant au projet.</w:t>
      </w:r>
    </w:p>
    <w:p w14:paraId="3995CC38">
      <w:pPr>
        <w:widowControl/>
        <w:spacing w:line="360" w:lineRule="auto"/>
      </w:pPr>
      <w:r>
        <w:rPr>
          <w:lang w:val="en-US"/>
        </w:rPr>
        <w:t>2.</w:t>
      </w:r>
      <w:r>
        <w:t>Fournir les documents requis par le projet, accepter l'examen des qualifications et conditions de sécurité, et être responsable de l'authenticité, de la légalité et de la validité des documents fournis.</w:t>
      </w:r>
    </w:p>
    <w:p w14:paraId="42C8613A">
      <w:pPr>
        <w:widowControl/>
        <w:spacing w:line="360" w:lineRule="auto"/>
      </w:pPr>
      <w:r>
        <w:rPr>
          <w:lang w:val="en-US"/>
        </w:rPr>
        <w:t>3.</w:t>
      </w:r>
      <w:r>
        <w:t>Souscrire des assurances conformes aux exigences des lois et règlements chinois et guinéens pour les employés chinois et guinéens.</w:t>
      </w:r>
    </w:p>
    <w:p w14:paraId="1C46C298">
      <w:pPr>
        <w:widowControl/>
        <w:spacing w:line="360" w:lineRule="auto"/>
      </w:pPr>
      <w:r>
        <w:rPr>
          <w:lang w:val="en-US"/>
        </w:rPr>
        <w:t>4.</w:t>
      </w:r>
      <w:r>
        <w:t>Après l'attribution du projet, ne recruter ou utiliser en aucune forme des personnes de moins de 18 ans. Interdire l'accès aux zones de production pour les hommes de 55 ans et plus et les femmes de 45 ans et plus pour effectuer des travaux de production ou auxiliaires. Pour le personnel de soutien logistique, d'espaces verts, de restauration et de nettoyage, les hommes ne doivent pas dépasser 60 ans et les femmes 50 ans.</w:t>
      </w:r>
    </w:p>
    <w:p w14:paraId="61A3F07F">
      <w:pPr>
        <w:widowControl/>
        <w:spacing w:line="360" w:lineRule="auto"/>
      </w:pPr>
      <w:r>
        <w:rPr>
          <w:lang w:val="en-US"/>
        </w:rPr>
        <w:t>5.</w:t>
      </w:r>
      <w:r>
        <w:t>La dotation en personnel de sécurité doit répondre aux exigences du "Règlement de Gestion de la Sécurité des Contractants" de la Partie A, avec la mise en place d'un organe de gestion de la sécurité de la production et la désignation de gestionnaires de sécurité dédiés. Si la Partie A estime nécessaire d'augmenter le personnel de sécurité en fonction des caractéristiques du projet, la Partie B doit s'exécuter.</w:t>
      </w:r>
    </w:p>
    <w:p w14:paraId="694E2993">
      <w:pPr>
        <w:widowControl/>
        <w:spacing w:line="360" w:lineRule="auto"/>
      </w:pPr>
      <w:r>
        <w:rPr>
          <w:lang w:val="en-US"/>
        </w:rPr>
        <w:t>6.</w:t>
      </w:r>
      <w:r>
        <w:t>Ne commencer les travaux qu'après avoir obtenu les autorisations de travaux nécessaires, et garantir que l'exécution suit strictement le plan technique de sécurité approuvé.</w:t>
      </w:r>
    </w:p>
    <w:p w14:paraId="769DECC0">
      <w:pPr>
        <w:widowControl/>
        <w:spacing w:line="360" w:lineRule="auto"/>
      </w:pPr>
      <w:r>
        <w:rPr>
          <w:lang w:val="en-US"/>
        </w:rPr>
        <w:t>7.</w:t>
      </w:r>
      <w:r>
        <w:t>Effectuer la gestion quotidienne de la sécurité, la formation et les activités de sécurité conformément aux lois, règlements et dispositions.</w:t>
      </w:r>
    </w:p>
    <w:p w14:paraId="239087B9">
      <w:pPr>
        <w:widowControl/>
        <w:spacing w:line="360" w:lineRule="auto"/>
      </w:pPr>
      <w:r>
        <w:rPr>
          <w:lang w:val="en-US"/>
        </w:rPr>
        <w:t>8.</w:t>
      </w:r>
      <w:r>
        <w:t>Fournir au personnel des conditions de protection de l'hygiène au travail conformes aux lois, règlements et normes de l'industrie, garantissant sa santé. Fournir en quantité suffisante des équipements de protection individuelle qualifiés, informer et former le personnel pour garantir leur utilisation correcte.</w:t>
      </w:r>
    </w:p>
    <w:p w14:paraId="7AB3955A">
      <w:pPr>
        <w:widowControl/>
        <w:spacing w:line="360" w:lineRule="auto"/>
      </w:pPr>
      <w:r>
        <w:rPr>
          <w:lang w:val="en-US"/>
        </w:rPr>
        <w:t>9.</w:t>
      </w:r>
      <w:r>
        <w:t>Contrôler strictement l'impact environnemental de la construction. Les déchets doivent être traités selon les règlements pertinents de la Partie A.</w:t>
      </w:r>
    </w:p>
    <w:p w14:paraId="56759308">
      <w:pPr>
        <w:widowControl/>
        <w:spacing w:line="360" w:lineRule="auto"/>
      </w:pPr>
      <w:r>
        <w:rPr>
          <w:lang w:val="en-US"/>
        </w:rPr>
        <w:t>10.</w:t>
      </w:r>
      <w:r>
        <w:t>Prendre toutes les mesures raisonnables pour empêcher son personnel de se livrer à tout comportement illégal, troublant l'ordre public ou affectant l'harmonie et la stabilité du projet et des communautés environnantes.</w:t>
      </w:r>
    </w:p>
    <w:p w14:paraId="77968520">
      <w:pPr>
        <w:widowControl/>
        <w:spacing w:line="360" w:lineRule="auto"/>
      </w:pPr>
      <w:r>
        <w:rPr>
          <w:lang w:val="en-US"/>
        </w:rPr>
        <w:t>11.</w:t>
      </w:r>
      <w:r>
        <w:t>Élaborer les plans d'urgence liés au projet, établir une organisation de secours, équiper en matériel et équipements d'urgence, organiser régulièrement des exercices, et accepter la coordination et la gestion de la Partie A.</w:t>
      </w:r>
    </w:p>
    <w:p w14:paraId="647E1A0E">
      <w:pPr>
        <w:widowControl/>
        <w:spacing w:line="360" w:lineRule="auto"/>
      </w:pPr>
      <w:r>
        <w:rPr>
          <w:lang w:val="en-US"/>
        </w:rPr>
        <w:t>12.</w:t>
      </w:r>
      <w:r>
        <w:t>Garantir le financement nécessaire aux conditions de sécurité de la production et accepter la supervision de la Partie A. Établir un plan d'utilisation global des frais de mesures de sécurité et de civilité avant le début des travaux.</w:t>
      </w:r>
    </w:p>
    <w:p w14:paraId="54BA679F">
      <w:pPr>
        <w:widowControl/>
        <w:spacing w:line="360" w:lineRule="auto"/>
      </w:pPr>
      <w:r>
        <w:rPr>
          <w:lang w:val="en-US"/>
        </w:rPr>
        <w:t>13.</w:t>
      </w:r>
      <w:r>
        <w:t>Participer activement aux activités telles que les inspections générales de sécurité et les réunions de travail sur la sécurité organisées par la Partie A, et les mettre en œuvre sérieusement.</w:t>
      </w:r>
    </w:p>
    <w:p w14:paraId="0E26251E">
      <w:pPr>
        <w:widowControl/>
        <w:spacing w:line="360" w:lineRule="auto"/>
      </w:pPr>
      <w:r>
        <w:rPr>
          <w:lang w:val="en-US"/>
        </w:rPr>
        <w:t>14.</w:t>
      </w:r>
      <w:r>
        <w:t>Effectuer l'identification et l'évaluation des risques de sécurité des travaux et des facteurs de pollution environnementale conformément aux exigences du système de gestion de la sécurité de la Partie A, déterminer les risques majeurs de sécurité, les facteurs majeurs de pollution environnementale et leurs mesures de contrôle, garantissant la sécurité des travaux.</w:t>
      </w:r>
    </w:p>
    <w:p w14:paraId="686AA805">
      <w:pPr>
        <w:widowControl/>
        <w:spacing w:line="360" w:lineRule="auto"/>
      </w:pPr>
      <w:r>
        <w:rPr>
          <w:lang w:val="en-US"/>
        </w:rPr>
        <w:t>15.</w:t>
      </w:r>
      <w:r>
        <w:t>Avant le début des travaux du projet, effectuer une transmission technique de sécurité basée sur les "quatre mesures, deux plans" à l'ensemble du personnel participant aux travaux.</w:t>
      </w:r>
    </w:p>
    <w:p w14:paraId="5EBCA387">
      <w:pPr>
        <w:widowControl/>
        <w:spacing w:line="360" w:lineRule="auto"/>
      </w:pPr>
      <w:r>
        <w:rPr>
          <w:lang w:val="en-US"/>
        </w:rPr>
        <w:t>16.</w:t>
      </w:r>
      <w:r>
        <w:t>Pour les travaux présentant des risques d'incendie, d'explosion, d'électrocution, d'empoisonnement, d'asphyxie, de blessures mécaniques, de brûlures, etc., ou pouvant causer de graves accidents d'équipement, élaborer des mesures techniques de sécurité spécifiques pour la construction, à mettre en œuvre après examen et approbation par la Partie A.</w:t>
      </w:r>
    </w:p>
    <w:p w14:paraId="05DA5879">
      <w:pPr>
        <w:widowControl/>
        <w:spacing w:line="360" w:lineRule="auto"/>
      </w:pPr>
      <w:r>
        <w:rPr>
          <w:lang w:val="en-US"/>
        </w:rPr>
        <w:t>17.</w:t>
      </w:r>
      <w:r>
        <w:t>Avoir le droit de refuser d'exécuter les instructions de la Partie A violant les règlements et systèmes de sécurité de la production, et d'exiger des améliorations de la Partie A.</w:t>
      </w:r>
    </w:p>
    <w:p w14:paraId="2480D90C">
      <w:pPr>
        <w:widowControl/>
        <w:spacing w:line="360" w:lineRule="auto"/>
      </w:pPr>
      <w:r>
        <w:rPr>
          <w:lang w:val="en-US"/>
        </w:rPr>
        <w:t>18.</w:t>
      </w:r>
      <w:r>
        <w:t>Le personnel chinois effectuant des travaux spéciaux doit détenir un certificat de qualification technique de sécurité chinois pour les travaux spéciaux, et le faire renouveler périodiquement conformément aux règlements. Le personnel guinéen effectuant des travaux spéciaux doit être évalué et certifié conjointement par les Parties A et B, qui délivreront un certificat de qualification.</w:t>
      </w:r>
    </w:p>
    <w:p w14:paraId="7E1378F2">
      <w:pPr>
        <w:widowControl/>
        <w:spacing w:line="360" w:lineRule="auto"/>
      </w:pPr>
      <w:r>
        <w:rPr>
          <w:lang w:val="en-US"/>
        </w:rPr>
        <w:t>19.</w:t>
      </w:r>
      <w:r>
        <w:t>Le personnel d'exécution de la Partie B doit inspecter quotidiennement, avant le début des travaux, la zone de travail, l'environnement de travail, les équipements opérationnels, les outillages, les installations de sécurité, etc. Traiter immédiatement tout danger identifié et mettre en œuvre des mesures correctives.</w:t>
      </w:r>
    </w:p>
    <w:p w14:paraId="4C13E914">
      <w:pPr>
        <w:widowControl/>
        <w:spacing w:line="360" w:lineRule="auto"/>
      </w:pPr>
      <w:r>
        <w:rPr>
          <w:lang w:val="en-US"/>
        </w:rPr>
        <w:t>20.</w:t>
      </w:r>
      <w:r>
        <w:t>Les gros engins de la Partie B entrant sur le chantier doivent être soumis à l'examen de la Partie A, établir et renforcer des normes de système, garantir que le personnel est certifié et opère selon les règles, et assurer le bon état et le fonctionnement sécurisé des gros engins. La Partie B assume la responsabilité principale pour les accidents avec décès ou blessures survenus pendant les travaux en raison des engins de construction, des outillages ou d'une mauvaise utilisation/opération.</w:t>
      </w:r>
    </w:p>
    <w:p w14:paraId="32E18633">
      <w:pPr>
        <w:widowControl/>
        <w:spacing w:line="360" w:lineRule="auto"/>
      </w:pPr>
      <w:r>
        <w:rPr>
          <w:lang w:val="en-US"/>
        </w:rPr>
        <w:t>21.</w:t>
      </w:r>
      <w:r>
        <w:t>Ne pas démonter ou modifier arbitrairement les diverses installations de protection de sécurité, panneaux de signalisation de sécurité, panneaux d'avertissement, prises de terre, etc. Si un démontage ou une modification est réellement nécessaire pour les travaux, il doit être approuvé par la Partie A, faire l'objet d'une procédure, et des mesures de sécurité nécessaires et fiables doivent être prises avant le démontage ou la modification, avec un rétablissement immédiat après les travaux. La Partie B est entièrement responsable des conséquences résultant du démontage ou de la modification arbitraire par son personnel des installations de protection de sécurité, panneaux de signalisation de sécurité, panneaux d'avertissement, prises de terre, etc.</w:t>
      </w:r>
    </w:p>
    <w:p w14:paraId="10E61584">
      <w:pPr>
        <w:widowControl/>
        <w:spacing w:line="360" w:lineRule="auto"/>
      </w:pPr>
      <w:r>
        <w:rPr>
          <w:lang w:val="en-US"/>
        </w:rPr>
        <w:t>22.</w:t>
      </w:r>
      <w:r>
        <w:t>Le système d'alimentation électrique de construction doit être conforme aux normes. L'entretien et la maintenance doivent être effectués par des électriciens professionnels, en appliquant strictement le système de surveillance pendant l'entretien. La gestion de l'électricité sur site par la Partie B doit garantir l'approvisionnement ininterrompu en énergie. Pendant la construction, gérer strictement les travaux de terrassement, ne pas endommager les câbles, et éliminer tout branchement électrique désordonné.</w:t>
      </w:r>
    </w:p>
    <w:p w14:paraId="65D42B43">
      <w:pPr>
        <w:widowControl/>
        <w:spacing w:line="360" w:lineRule="auto"/>
      </w:pPr>
      <w:r>
        <w:rPr>
          <w:lang w:val="en-US"/>
        </w:rPr>
        <w:t>23.</w:t>
      </w:r>
      <w:r>
        <w:t>Pendant les travaux, la Partie B doit veiller à la protection des canalisations souterraines, des câbles à fibres optiques et des lignes aériennes à haute tension. La Partie B doit s'informer auprès de la Partie A des détails concernant les canalisations souterraines et les obstacles, et convenir avec la Partie A des méthodes de construction. En cas de circonstances particulières, contacter immédiatement la Partie A et les services concernés, prendre des mesures de protection avant de reprendre les travaux. Il est strictement interdit de travailler de manière hasardeuse ou brutale.</w:t>
      </w:r>
    </w:p>
    <w:p w14:paraId="178CA007">
      <w:pPr>
        <w:widowControl/>
        <w:spacing w:line="360" w:lineRule="auto"/>
      </w:pPr>
      <w:r>
        <w:rPr>
          <w:lang w:val="en-US"/>
        </w:rPr>
        <w:t>24.</w:t>
      </w:r>
      <w:r>
        <w:t>La Partie B doit fournir aux travailleurs les équipements et outils de protection individuelle requis par les règlements. L'état de santé du personnel de la Partie B doit répondre aux exigences des travaux effectués.</w:t>
      </w:r>
    </w:p>
    <w:p w14:paraId="08E3FB99">
      <w:pPr>
        <w:widowControl/>
        <w:spacing w:line="360" w:lineRule="auto"/>
      </w:pPr>
      <w:r>
        <w:rPr>
          <w:lang w:val="en-US"/>
        </w:rPr>
        <w:t>25.</w:t>
      </w:r>
      <w:r>
        <w:t>La Partie B doit empêcher l'introduction sur site de matériaux et équipements ne répondant pas aux exigences de sécurité, ce qui pourrait entraîner des accidents de sécurité ou des prolongations de délai dus à des remplacements. Les problèmes découlant de telles situations sont principalement imputables à la Partie B, par exemple : tubes d'échafaudage non conformes, attaches, planchers d'échafaudage, câbles, outillages, etc.</w:t>
      </w:r>
    </w:p>
    <w:p w14:paraId="2D37C1E6">
      <w:pPr>
        <w:widowControl/>
        <w:spacing w:line="360" w:lineRule="auto"/>
      </w:pPr>
      <w:r>
        <w:rPr>
          <w:lang w:val="en-US"/>
        </w:rPr>
        <w:t>26.</w:t>
      </w:r>
      <w:r>
        <w:t>La Partie B doit utiliser des équipements ou installations professionnels conformes aux exigences de sécurité. Il est strictement interdit d'utiliser des équipements autofabriqués tels que dispositifs de levage, pinces, paniers, etc. Dans des cas exceptionnels où des équipements autofabriqués sont réellement nécessaires, ils doivent être inspectés et certifiés conjointement par les professionnels et le personnel de contrôle qualité de l'unité concernée, puis soumis à l'examen et à l'enregistrement de la Partie A avant utilisation. La Partie B assume la responsabilité principale pour l'utilisation non autorisée d'équipements autofabriqués.</w:t>
      </w:r>
    </w:p>
    <w:p w14:paraId="4F165990">
      <w:pPr>
        <w:widowControl/>
        <w:spacing w:line="360" w:lineRule="auto"/>
      </w:pPr>
      <w:r>
        <w:rPr>
          <w:lang w:val="en-US"/>
        </w:rPr>
        <w:t>27.</w:t>
      </w:r>
      <w:r>
        <w:t>La Partie B doit persévérer dans une construction civilisée, gérer strictement le plan de construction selon le plan d'implantation général de la construction, désigner clairement un responsable pour la zone de responsabilité, et mettre en œuvre une gestion entièrement close de la zone de responsabilité. Le stockage des matériaux et équipements doit être standardisé, fixe et modulaire. Les travaux dans la zone d'exécution doivent être effectués de manière propre et ordonnée, les déchets sur site doivent être éliminés conformément aux règlements. Si la Partie B ne nettoie pas régulièrement ou élimine les déchets de manière non conforme, la Partie A organisera le nettoyage et les frais seront déduits du montant des travaux de la Partie B à hauteur du double du coût de nettoyage.</w:t>
      </w:r>
    </w:p>
    <w:p w14:paraId="2776CE51">
      <w:pPr>
        <w:widowControl/>
        <w:spacing w:line="360" w:lineRule="auto"/>
      </w:pPr>
      <w:r>
        <w:rPr>
          <w:lang w:val="en-US"/>
        </w:rPr>
        <w:t>28.</w:t>
      </w:r>
      <w:r>
        <w:t>La Partie B assume l'entière responsabilité des dommages à l'environnement environnant dus à sa construction, des impacts négatifs, des conflits et des tensions sociales qui en résultent.</w:t>
      </w:r>
    </w:p>
    <w:p w14:paraId="13D5CD93">
      <w:pPr>
        <w:widowControl/>
        <w:spacing w:line="360" w:lineRule="auto"/>
      </w:pPr>
      <w:r>
        <w:rPr>
          <w:lang w:val="en-US"/>
        </w:rPr>
        <w:t>29.</w:t>
      </w:r>
      <w:r>
        <w:t>La Partie B doit soumettre à la Partie A, dans les 10 jours suivant la signature du contrat, les documents requis par les règlements de la Partie A concernant le chef de projet, le personnel de supervision de la sécurité, le personnel d'exécution, le personnel des travaux spéciaux, les examens de sécurité, le registre des gros engins de construction, etc. Après examen et approbation par la Partie A, des copies pertinentes seront conservées par la Partie A à des fins d'enregistrement, sous gestion dynamique.</w:t>
      </w:r>
    </w:p>
    <w:p w14:paraId="0C3C3335">
      <w:pPr>
        <w:widowControl/>
        <w:spacing w:line="360" w:lineRule="auto"/>
      </w:pPr>
      <w:r>
        <w:rPr>
          <w:lang w:val="en-US"/>
        </w:rPr>
        <w:t>30.</w:t>
      </w:r>
      <w:r>
        <w:t>Appliquer le principe de gestion "celui qui exécute est responsable". En cas d'accident avec décès, blessures, incendie, électrique, mécanique, etc., impliquant le personnel des Parties A ou B pendant la construction (y compris les accidents causés par la responsabilité de l'une ou l'autre partie entraînant des décès ou blessures chez l'autre partie ou des tiers (piétons, etc.)), les deux parties doivent coopérer pour les secours d'urgence aux victimes et la protection du site. Conformément aux lois et règlements nationaux, aux règlements locaux sur la déclaration des accidents et au "Règlement de Gestion des Accidents" de la Partie A, chaque partie doit immédiatement signaler l'accident à ses autorités supérieures et aux services concernés après l'incident, et remplir et soumettre rapidement le "Formulaire de Déclaration d'Incident de Sécurité" après l'événement de sécurité. La Partie B doit informer rapidement la Partie A de toute situation dangereuse survenue pendant la construction. Les pertes dues à l'accident et les frais de règlement sont supportés par l'entité responsable de l'accident.</w:t>
      </w:r>
    </w:p>
    <w:p w14:paraId="7C853192">
      <w:pPr>
        <w:widowControl/>
        <w:spacing w:line="360" w:lineRule="auto"/>
      </w:pPr>
      <w:r>
        <w:rPr>
          <w:lang w:val="en-US"/>
        </w:rPr>
        <w:t>31.</w:t>
      </w:r>
      <w:r>
        <w:t>Les routes sur le chantier de la Partie B doivent être maintenues propres, sans débris ni eau stagnante. La poussière sur les routes du chantier doit être strictement contrôlée.</w:t>
      </w:r>
    </w:p>
    <w:p w14:paraId="1CCBAC85">
      <w:pPr>
        <w:widowControl/>
        <w:spacing w:line="360" w:lineRule="auto"/>
      </w:pPr>
      <w:r>
        <w:rPr>
          <w:lang w:val="en-US"/>
        </w:rPr>
        <w:t>32.</w:t>
      </w:r>
      <w:r>
        <w:t>La gestion de l'eau de construction par la Partie B exige une distribution raisonnable des points d'eau. Il est strictement interdit de raccorder arbitrairement des sources d'eau sur site et d'éliminer les fuites d'eau prolongées. Chaque point d'utilisation de l'eau doit avoir un canal de drainage.</w:t>
      </w:r>
    </w:p>
    <w:p w14:paraId="4CA6352B">
      <w:pPr>
        <w:widowControl/>
        <w:spacing w:line="360" w:lineRule="auto"/>
      </w:pPr>
      <w:r>
        <w:rPr>
          <w:lang w:val="en-US"/>
        </w:rPr>
        <w:t>33.</w:t>
      </w:r>
      <w:r>
        <w:t>La pose des conduites d'alimentation électrique pour la construction de la Partie B doit être sûre et conforme aux normes, éliminant tout branchement désordonné.</w:t>
      </w:r>
    </w:p>
    <w:p w14:paraId="1F529E12">
      <w:pPr>
        <w:widowControl/>
        <w:spacing w:line="360" w:lineRule="auto"/>
      </w:pPr>
      <w:r>
        <w:rPr>
          <w:lang w:val="en-US"/>
        </w:rPr>
        <w:t>34.</w:t>
      </w:r>
      <w:r>
        <w:t>La Partie B doit maintenir de bonnes relations avec les communautés environnantes et les autorités de gestion à tous les niveaux sur le territoire, résoudre les conflits internes de son personnel, et éviter tout événement affectant le travail, l'image ou la réputation de la Partie A, ou provoquant des blocages de travaux ou de circulation.</w:t>
      </w:r>
    </w:p>
    <w:p w14:paraId="3F86DE26">
      <w:pPr>
        <w:widowControl/>
        <w:spacing w:line="360" w:lineRule="auto"/>
      </w:pPr>
    </w:p>
    <w:p w14:paraId="340527D4">
      <w:pPr>
        <w:widowControl/>
        <w:spacing w:line="360" w:lineRule="auto"/>
        <w:rPr>
          <w:b/>
          <w:bCs/>
        </w:rPr>
      </w:pPr>
      <w:r>
        <w:rPr>
          <w:b/>
          <w:bCs/>
        </w:rPr>
        <w:t>III. EXIGENCES DE GESTION DE LA SÉCURITÉ DES TRAVAUX SUR SITE</w:t>
      </w:r>
    </w:p>
    <w:p w14:paraId="44D5C98E">
      <w:pPr>
        <w:widowControl/>
        <w:spacing w:line="360" w:lineRule="auto"/>
        <w:rPr>
          <w:b/>
          <w:bCs/>
        </w:rPr>
      </w:pPr>
      <w:r>
        <w:rPr>
          <w:rFonts w:hint="eastAsia"/>
          <w:b/>
          <w:bCs/>
        </w:rPr>
        <w:t>（</w:t>
      </w:r>
      <w:r>
        <w:rPr>
          <w:rFonts w:hint="eastAsia"/>
          <w:b/>
          <w:bCs/>
          <w:lang w:val="en-US"/>
        </w:rPr>
        <w:t>1</w:t>
      </w:r>
      <w:r>
        <w:rPr>
          <w:rFonts w:hint="eastAsia"/>
          <w:b/>
          <w:bCs/>
        </w:rPr>
        <w:t>）</w:t>
      </w:r>
      <w:r>
        <w:rPr>
          <w:b/>
          <w:bCs/>
        </w:rPr>
        <w:t>Gestion de Site</w:t>
      </w:r>
    </w:p>
    <w:p w14:paraId="58A228BF">
      <w:pPr>
        <w:widowControl/>
        <w:spacing w:line="360" w:lineRule="auto"/>
        <w:rPr>
          <w:b/>
          <w:bCs/>
        </w:rPr>
      </w:pPr>
      <w:r>
        <w:rPr>
          <w:b/>
          <w:bCs/>
        </w:rPr>
        <w:t>Gestion du Personnel</w:t>
      </w:r>
    </w:p>
    <w:p w14:paraId="60021142">
      <w:pPr>
        <w:widowControl/>
        <w:spacing w:line="360" w:lineRule="auto"/>
      </w:pPr>
      <w:r>
        <w:rPr>
          <w:lang w:val="en-US"/>
        </w:rPr>
        <w:t>1.</w:t>
      </w:r>
      <w:r>
        <w:t>La Partie A met en œuvre une gestion par autorisation pour l'accès du personnel de la Partie B à l'usine et aux zones de travail, délivrant des badges/cartes d'accès au personnel dont les qualifications ont été vérifiées.</w:t>
      </w:r>
    </w:p>
    <w:p w14:paraId="4A5D0411">
      <w:pPr>
        <w:widowControl/>
        <w:spacing w:line="360" w:lineRule="auto"/>
      </w:pPr>
      <w:r>
        <w:rPr>
          <w:lang w:val="en-US"/>
        </w:rPr>
        <w:t>2.</w:t>
      </w:r>
      <w:r>
        <w:t>Le personnel de la Partie B doit détenir des badges/cartes d'accès valides pour entrer et sortir de l'usine et des zones de production/de travail. L'entrée sans badge ou en utilisant celui d'autrui est strictement interdite. Il est strictement interdit au personnel de la Partie B d'entrer dans des zones non contractuelles. La Partie A doit vérifier les badges d'accès.</w:t>
      </w:r>
    </w:p>
    <w:p w14:paraId="6D71DA03">
      <w:pPr>
        <w:widowControl/>
        <w:spacing w:line="360" w:lineRule="auto"/>
      </w:pPr>
      <w:r>
        <w:rPr>
          <w:lang w:val="en-US"/>
        </w:rPr>
        <w:t>3.</w:t>
      </w:r>
      <w:r>
        <w:t>La Partie A inspecte et évalue la distribution et l'utilisation des équipements de protection individuelle par le personnel d'exécution de la Partie B. Le personnel ne portant pas les équipements de protection individuelle conformément aux règlements est interdit d'entrer dans l'usine et les zones de production/de travail.</w:t>
      </w:r>
    </w:p>
    <w:p w14:paraId="43C59D20">
      <w:pPr>
        <w:widowControl/>
        <w:spacing w:line="360" w:lineRule="auto"/>
      </w:pPr>
      <w:r>
        <w:rPr>
          <w:lang w:val="en-US"/>
        </w:rPr>
        <w:t>4.</w:t>
      </w:r>
      <w:r>
        <w:t>La Partie B fournit le personnel d'exécution correspondant conformément aux stipulations du contrat.</w:t>
      </w:r>
    </w:p>
    <w:p w14:paraId="0F29AE2B">
      <w:pPr>
        <w:widowControl/>
        <w:spacing w:line="360" w:lineRule="auto"/>
        <w:rPr>
          <w:b/>
          <w:bCs/>
        </w:rPr>
      </w:pPr>
      <w:r>
        <w:rPr>
          <w:b/>
          <w:bCs/>
        </w:rPr>
        <w:t>Gestion Visuelle de la Sécurité</w:t>
      </w:r>
    </w:p>
    <w:p w14:paraId="4D0B5D6B">
      <w:pPr>
        <w:widowControl/>
        <w:spacing w:line="360" w:lineRule="auto"/>
      </w:pPr>
      <w:r>
        <w:rPr>
          <w:lang w:val="en-US"/>
        </w:rPr>
        <w:t>1.</w:t>
      </w:r>
      <w:r>
        <w:t>Conformément aux exigences de la Partie A, la Partie B doit planifier et mettre en œuvre la disposition des panneaux de signalisation de sécurité dans les différentes zones du chantier. Les panneaux de signalisation de sécurité doivent être uniformes, standardisés, ordonnés, solidement installés et positionnés de manière appropriée.</w:t>
      </w:r>
    </w:p>
    <w:p w14:paraId="480BBBBF">
      <w:pPr>
        <w:widowControl/>
        <w:spacing w:line="360" w:lineRule="auto"/>
      </w:pPr>
      <w:r>
        <w:rPr>
          <w:lang w:val="en-US"/>
        </w:rPr>
        <w:t>2.</w:t>
      </w:r>
      <w:r>
        <w:t>La Partie A supervise, inspecte et évalue la gestion visuelle de la sécurité sur le chantier.</w:t>
      </w:r>
    </w:p>
    <w:p w14:paraId="052E5B1E">
      <w:pPr>
        <w:widowControl/>
        <w:spacing w:line="360" w:lineRule="auto"/>
        <w:rPr>
          <w:b/>
          <w:bCs/>
        </w:rPr>
      </w:pPr>
      <w:r>
        <w:rPr>
          <w:b/>
          <w:bCs/>
        </w:rPr>
        <w:t>Gestion des Installations de Protection de Sécurité</w:t>
      </w:r>
    </w:p>
    <w:p w14:paraId="5E6A415F">
      <w:pPr>
        <w:widowControl/>
        <w:spacing w:line="360" w:lineRule="auto"/>
      </w:pPr>
      <w:r>
        <w:rPr>
          <w:lang w:val="en-US"/>
        </w:rPr>
        <w:t>1.</w:t>
      </w:r>
      <w:r>
        <w:t>Les installations de protection de sécurité sur le chantier doivent être synchronisées avec l'avancement des travaux et ne peuvent être mises en service qu'après inspection et approbation par la Partie A.</w:t>
      </w:r>
    </w:p>
    <w:p w14:paraId="2D5AD18C">
      <w:pPr>
        <w:widowControl/>
        <w:spacing w:line="360" w:lineRule="auto"/>
      </w:pPr>
      <w:r>
        <w:rPr>
          <w:lang w:val="en-US"/>
        </w:rPr>
        <w:t>2.</w:t>
      </w:r>
      <w:r>
        <w:t>Le code couleur des installations de protection de sécurité doit être conforme aux règlements pertinents de la Partie A, toute modification arbitraire est strictement interdite.</w:t>
      </w:r>
    </w:p>
    <w:p w14:paraId="1025C141">
      <w:pPr>
        <w:widowControl/>
        <w:spacing w:line="360" w:lineRule="auto"/>
      </w:pPr>
      <w:r>
        <w:rPr>
          <w:lang w:val="en-US"/>
        </w:rPr>
        <w:t>3.</w:t>
      </w:r>
      <w:r>
        <w:t>Les installations de protection de sécurité ne doivent pas être déplacées, démontées ou modifiées arbitrairement. Si un déplacement ou un démontage est nécessaire pour les travaux de construction, il doit être approuvé par la Partie A, des mesures correspondantes doivent être prises, et un rétablissement immédiat doit être effectué après les travaux.</w:t>
      </w:r>
    </w:p>
    <w:p w14:paraId="1373827A">
      <w:pPr>
        <w:widowControl/>
        <w:spacing w:line="360" w:lineRule="auto"/>
      </w:pPr>
      <w:r>
        <w:rPr>
          <w:lang w:val="en-US"/>
        </w:rPr>
        <w:t>4.</w:t>
      </w:r>
      <w:r>
        <w:t>Les chantiers de construction ainsi que les zones de bureaux, d'entretien et de vie de la Partie B doivent être équipés d'extincteurs et d'installations de lutte contre l'incendie appropriés, conformément aux règlements de gestion de la lutte contre l'incendie de la Partie A, avec une gestion stricte et standardisée.</w:t>
      </w:r>
    </w:p>
    <w:p w14:paraId="51614E12">
      <w:pPr>
        <w:widowControl/>
        <w:spacing w:line="360" w:lineRule="auto"/>
      </w:pPr>
      <w:r>
        <w:rPr>
          <w:lang w:val="en-US"/>
        </w:rPr>
        <w:t>5.</w:t>
      </w:r>
      <w:r>
        <w:t>Suivant le principe "celui qui inspecte est responsable", les Parties A et B effectuent un contrôle et une inspection en cours de processus de la conformité et de l'efficacité des installations de protection de sécurité sur le chantier.</w:t>
      </w:r>
    </w:p>
    <w:p w14:paraId="1CFCFAE2">
      <w:pPr>
        <w:widowControl/>
        <w:spacing w:line="360" w:lineRule="auto"/>
        <w:rPr>
          <w:b/>
          <w:bCs/>
        </w:rPr>
      </w:pPr>
      <w:r>
        <w:rPr>
          <w:b/>
          <w:bCs/>
        </w:rPr>
        <w:t>Gestion de la Sécurité et de la Civilisation sur Chantier</w:t>
      </w:r>
    </w:p>
    <w:p w14:paraId="30316A9F">
      <w:pPr>
        <w:widowControl/>
        <w:spacing w:line="360" w:lineRule="auto"/>
      </w:pPr>
      <w:r>
        <w:rPr>
          <w:lang w:val="en-US"/>
        </w:rPr>
        <w:t>1.</w:t>
      </w:r>
      <w:r>
        <w:t>Des panneaux graphiques doivent être placés de manière visible aux entrées principales du chantier de construction, conformément aux règlements. Le plan spécifique est guidé, examiné et approuvé par la Partie A.</w:t>
      </w:r>
    </w:p>
    <w:p w14:paraId="72D42A47">
      <w:pPr>
        <w:widowControl/>
        <w:spacing w:line="360" w:lineRule="auto"/>
      </w:pPr>
      <w:r>
        <w:rPr>
          <w:lang w:val="en-US"/>
        </w:rPr>
        <w:t>2.</w:t>
      </w:r>
      <w:r>
        <w:t>Le site doit séparer les zones de travail, de bureaux et de vie, séparer les personnes et les véhicules, séparer les voies pour les véhicules à vide et chargés, et séparer les voies pour les navettes et les véhicules de production.</w:t>
      </w:r>
    </w:p>
    <w:p w14:paraId="5066E1CC">
      <w:pPr>
        <w:widowControl/>
        <w:spacing w:line="360" w:lineRule="auto"/>
      </w:pPr>
      <w:r>
        <w:rPr>
          <w:lang w:val="en-US"/>
        </w:rPr>
        <w:t>3.</w:t>
      </w:r>
      <w:r>
        <w:t>La Partie B doit équiper les équipes d'éthylomètres, de tensiomètres et de poutres d'équilibre. Avant chaque réunion de pré-shift, effectuer un test d'alcoolémie, une mesure de la tension artérielle et un test de la poutre d'équilibre pour tous les membres de l'équipe, et enregistrer fidèlement les résultats dans le registre de sécurité de l'équipe. Établir une liste des employés souffrant d'hypertension et renforcer la surveillance de leur santé. Avant les travaux à haut risque tels que le dynamitage, les travaux en hauteur, les travaux en espace confiné, l'électricité temporaire, le montage/démontage d'échafaudages, le levage, les travaux par point chaud, les travaux de terrassement, les travaux de protection contre la corrosion, le retrait de brides, etc., effectuer un test d'alcoolémie et une mesure de la tension artérielle pour le personnel concerné. Les enregistrements des tests et les bons de travail doivent être conservés ensemble.</w:t>
      </w:r>
    </w:p>
    <w:p w14:paraId="15F140A1">
      <w:pPr>
        <w:widowControl/>
        <w:spacing w:line="360" w:lineRule="auto"/>
      </w:pPr>
      <w:r>
        <w:rPr>
          <w:lang w:val="en-US"/>
        </w:rPr>
        <w:t>4.</w:t>
      </w:r>
      <w:r>
        <w:t>Les véhicules de génie civil sur le chantier doivent être équipés de dispositifs d'alarme sonore et lumineuse conformes aux exigences, d'un dispositif de localisation si nécessaire, et un système de permis de conduire doit être mis en œuvre.</w:t>
      </w:r>
    </w:p>
    <w:p w14:paraId="63491B15">
      <w:pPr>
        <w:widowControl/>
        <w:spacing w:line="360" w:lineRule="auto"/>
      </w:pPr>
      <w:r>
        <w:rPr>
          <w:lang w:val="en-US"/>
        </w:rPr>
        <w:t>5.</w:t>
      </w:r>
      <w:r>
        <w:t>Le chantier doit définir des zones de responsabilité, les balayer et nettoyer régulièrement, maintenir la propreté et la circulation des voies.</w:t>
      </w:r>
    </w:p>
    <w:p w14:paraId="06A0D01F">
      <w:pPr>
        <w:widowControl/>
        <w:spacing w:line="360" w:lineRule="auto"/>
      </w:pPr>
      <w:r>
        <w:rPr>
          <w:lang w:val="en-US"/>
        </w:rPr>
        <w:t>6.</w:t>
      </w:r>
      <w:r>
        <w:t>À la fin du quart/de la journée de travail, le lieu de travail doit être nettoyé pour atteindre l'objectif "travail terminé, matériaux épuisés, site nettoyé".</w:t>
      </w:r>
    </w:p>
    <w:p w14:paraId="625CE06B">
      <w:pPr>
        <w:widowControl/>
        <w:spacing w:line="360" w:lineRule="auto"/>
      </w:pPr>
      <w:r>
        <w:rPr>
          <w:lang w:val="en-US"/>
        </w:rPr>
        <w:t>7.</w:t>
      </w:r>
      <w:r>
        <w:t>Conformément aux emplacements et exigences du plan d'implantation général de la construction, gérer les matériaux, équipements, accessoires, etc., de manière fixe, pour un stockage ordonné, relativement isolé, avec une identification claire, répondant aux exigences de sécurité des personnes et de lutte contre l'incendie, et désigner des départements et personnes responsables.</w:t>
      </w:r>
    </w:p>
    <w:p w14:paraId="201A5AB0">
      <w:pPr>
        <w:widowControl/>
        <w:spacing w:line="360" w:lineRule="auto"/>
      </w:pPr>
      <w:r>
        <w:rPr>
          <w:lang w:val="en-US"/>
        </w:rPr>
        <w:t>8.</w:t>
      </w:r>
      <w:r>
        <w:t>Pendant l'exécution des travaux, protéger les équipements et installations dans le périmètre de travail. Il est strictement interdit de marcher sur l'isolation des équipements, de modifier arbitrairement les identifications des équipements, de manipuler par erreur les équipements et installations de production, d'utiliser ou déplacer sans autorisation les installations de lutte contre l'incendie, etc.</w:t>
      </w:r>
    </w:p>
    <w:p w14:paraId="2E15E868">
      <w:pPr>
        <w:widowControl/>
        <w:spacing w:line="360" w:lineRule="auto"/>
      </w:pPr>
      <w:r>
        <w:rPr>
          <w:lang w:val="en-US"/>
        </w:rPr>
        <w:t>9.</w:t>
      </w:r>
      <w:r>
        <w:t>Les Parties A et B organisent des inspections et contrôles de la sécurité et de la civilisation sur le chantier.</w:t>
      </w:r>
    </w:p>
    <w:p w14:paraId="1981A8CA">
      <w:pPr>
        <w:widowControl/>
        <w:spacing w:line="360" w:lineRule="auto"/>
        <w:rPr>
          <w:b/>
          <w:bCs/>
        </w:rPr>
      </w:pPr>
      <w:r>
        <w:rPr>
          <w:b/>
          <w:bCs/>
        </w:rPr>
        <w:t>(2) Gestion de la Sécurité des Travaux</w:t>
      </w:r>
    </w:p>
    <w:p w14:paraId="1E34FA0B">
      <w:pPr>
        <w:widowControl/>
        <w:spacing w:line="360" w:lineRule="auto"/>
      </w:pPr>
      <w:r>
        <w:rPr>
          <w:b/>
          <w:bCs/>
        </w:rPr>
        <w:t>Travaux Conventionnels</w:t>
      </w:r>
    </w:p>
    <w:p w14:paraId="7169355C">
      <w:pPr>
        <w:widowControl/>
        <w:spacing w:line="360" w:lineRule="auto"/>
      </w:pPr>
      <w:r>
        <w:rPr>
          <w:rFonts w:hint="eastAsia"/>
          <w:lang w:val="en-US"/>
        </w:rPr>
        <w:t>1.</w:t>
      </w:r>
      <w:r>
        <w:t>En fonction de la nature et des caractéristiques du projet attribué, la Partie A établit et renforce un système de gestion des autorisations de travaux et des procédures opérationnelles de sécurité.</w:t>
      </w:r>
    </w:p>
    <w:p w14:paraId="6C31018E">
      <w:pPr>
        <w:widowControl/>
        <w:spacing w:line="360" w:lineRule="auto"/>
      </w:pPr>
      <w:r>
        <w:rPr>
          <w:rFonts w:hint="eastAsia"/>
          <w:lang w:val="en-US"/>
        </w:rPr>
        <w:t>2.</w:t>
      </w:r>
      <w:r>
        <w:t>La Partie A intègre le personnel d'exécution de la Partie B dans son système de gestion de la sécurité conformément aux exigences de gestion de la sécurité de l'entreprise, pour une gestion intégrée.</w:t>
      </w:r>
    </w:p>
    <w:p w14:paraId="2F159D99">
      <w:pPr>
        <w:widowControl/>
        <w:spacing w:line="360" w:lineRule="auto"/>
      </w:pPr>
      <w:r>
        <w:rPr>
          <w:rFonts w:hint="eastAsia"/>
          <w:lang w:val="en-US"/>
        </w:rPr>
        <w:t>3.</w:t>
      </w:r>
      <w:r>
        <w:t xml:space="preserve">Avant les premiers travaux, le département attributaire de la Partie A désigne un responsable chargé d'effectuer une transmission technique de sécurité à l'équipe d'exécution de la Partie B (chef d'équipe, responsable et personnel d'exécution). Le contractant doit effectuer une transmission technique de sécurité à l'équipe d'exécution du sous-traitant. Les départements de production et de sécurité/environnement de la Partie </w:t>
      </w:r>
      <w:r>
        <w:rPr>
          <w:rFonts w:hint="eastAsia"/>
          <w:lang w:val="en-US"/>
        </w:rPr>
        <w:t>4.</w:t>
      </w:r>
      <w:r>
        <w:t>A sont responsables des contrôles aléatoires et de la tenue des registres.</w:t>
      </w:r>
    </w:p>
    <w:p w14:paraId="6B4BB78B">
      <w:pPr>
        <w:widowControl/>
        <w:spacing w:line="360" w:lineRule="auto"/>
      </w:pPr>
      <w:r>
        <w:t>Pour les projets impliquant une consommation d'énergie temporaire (électricité, eau, vapeur, gaz, etc.) ou des travaux à haut risque, un système d'autorisation de travaux est appliqué.</w:t>
      </w:r>
    </w:p>
    <w:p w14:paraId="52CD3BD7">
      <w:pPr>
        <w:widowControl/>
        <w:spacing w:line="360" w:lineRule="auto"/>
      </w:pPr>
      <w:r>
        <w:rPr>
          <w:rFonts w:hint="eastAsia"/>
          <w:lang w:val="en-US"/>
        </w:rPr>
        <w:t>5.</w:t>
      </w:r>
      <w:r>
        <w:t>Le personnel d'exécution doit strictement appliquer les dispositions du système de gestion des autorisations de travaux de la Partie A, obtenir les documents d'autorisation de travaux, mettre en œuvre les mesures de protection de sécurité des travaux et confirmer que les conditions de travail sont sûres.</w:t>
      </w:r>
    </w:p>
    <w:p w14:paraId="267D9A1F">
      <w:pPr>
        <w:widowControl/>
        <w:spacing w:line="360" w:lineRule="auto"/>
      </w:pPr>
      <w:r>
        <w:rPr>
          <w:rFonts w:hint="eastAsia"/>
          <w:lang w:val="en-US"/>
        </w:rPr>
        <w:t>6.</w:t>
      </w:r>
      <w:r>
        <w:t>Gestion par la Partie A de la sécurité du personnel de la Partie B. Cela inclut, sans s'y limiter : superviser et inspecter la performance des responsabilités du premier responsable de la sécurité du projet, du personnel de gestion de la sécurité, etc.</w:t>
      </w:r>
    </w:p>
    <w:p w14:paraId="3B8E6A22">
      <w:pPr>
        <w:widowControl/>
        <w:spacing w:line="360" w:lineRule="auto"/>
      </w:pPr>
      <w:r>
        <w:rPr>
          <w:rFonts w:hint="eastAsia"/>
          <w:lang w:val="en-US"/>
        </w:rPr>
        <w:t>7.</w:t>
      </w:r>
      <w:r>
        <w:t>La Partie A effectue des inspections et contrôles ou des contrôles aléatoires de la validité des qualifications du personnel d'exécution sur site, de l'exécution des documents d'autorisation de travaux, de l'exécution des bons de travail, de la mise en œuvre des mesures de sécurité et de la sécurité de l'environnement de travail.</w:t>
      </w:r>
    </w:p>
    <w:p w14:paraId="618A7025">
      <w:pPr>
        <w:widowControl/>
        <w:spacing w:line="360" w:lineRule="auto"/>
      </w:pPr>
      <w:r>
        <w:rPr>
          <w:b/>
          <w:bCs/>
        </w:rPr>
        <w:t>Travaux à Haut Risque</w:t>
      </w:r>
    </w:p>
    <w:p w14:paraId="16FD1476">
      <w:pPr>
        <w:widowControl/>
        <w:spacing w:line="360" w:lineRule="auto"/>
      </w:pPr>
      <w:r>
        <w:rPr>
          <w:rFonts w:hint="eastAsia"/>
          <w:lang w:val="en-US"/>
        </w:rPr>
        <w:t>1.</w:t>
      </w:r>
      <w:r>
        <w:t>La Partie A organise l'élaboration d'un règlement de gestion des travaux à haut risque et établit une liste des projets de travaux à haut risque.</w:t>
      </w:r>
    </w:p>
    <w:p w14:paraId="06069E41">
      <w:pPr>
        <w:widowControl/>
        <w:spacing w:line="360" w:lineRule="auto"/>
      </w:pPr>
      <w:r>
        <w:rPr>
          <w:rFonts w:hint="eastAsia"/>
          <w:lang w:val="en-US"/>
        </w:rPr>
        <w:t>2.</w:t>
      </w:r>
      <w:r>
        <w:t>La Partie B doit effectuer les préparatifs avant les travaux à haut risque conformément aux exigences. Une fois terminés, elle soumet une demande d'inspection des conditions préalables à la Partie A, qui organise une vérification point par point par du personnel technique spécialisé et de supervision de la sécurité.</w:t>
      </w:r>
    </w:p>
    <w:p w14:paraId="46F1DD9C">
      <w:pPr>
        <w:widowControl/>
        <w:spacing w:line="360" w:lineRule="auto"/>
      </w:pPr>
      <w:r>
        <w:rPr>
          <w:rFonts w:hint="eastAsia"/>
          <w:lang w:val="en-US"/>
        </w:rPr>
        <w:t>3.</w:t>
      </w:r>
      <w:r>
        <w:t>Les deux parties désignent une personne spécifiquement responsable de la supervision et du guidage sur site, effectuant des inspections itinérantes des parties critiques et des étapes clés.</w:t>
      </w:r>
    </w:p>
    <w:p w14:paraId="47CF73C7">
      <w:pPr>
        <w:widowControl/>
        <w:spacing w:line="360" w:lineRule="auto"/>
        <w:rPr>
          <w:b/>
          <w:bCs/>
        </w:rPr>
      </w:pPr>
      <w:r>
        <w:rPr>
          <w:b/>
          <w:bCs/>
        </w:rPr>
        <w:t>Travaux Temporaires</w:t>
      </w:r>
    </w:p>
    <w:p w14:paraId="7C99656B">
      <w:pPr>
        <w:widowControl/>
        <w:spacing w:line="360" w:lineRule="auto"/>
      </w:pPr>
      <w:r>
        <w:rPr>
          <w:rFonts w:hint="eastAsia"/>
          <w:lang w:val="en-US"/>
        </w:rPr>
        <w:t>1.</w:t>
      </w:r>
      <w:r>
        <w:t>Les travaux temporaires doivent être gérés de manière équivalente aux travaux conventionnels. Cela inclut l'obtention d'autorisations telles que bons de travail, fiches de liaison de travaux, etc., et la mise en œuvre des mesures de sécurité.</w:t>
      </w:r>
    </w:p>
    <w:p w14:paraId="23D4A8B1">
      <w:pPr>
        <w:widowControl/>
        <w:spacing w:line="360" w:lineRule="auto"/>
      </w:pPr>
      <w:r>
        <w:rPr>
          <w:rFonts w:hint="eastAsia"/>
          <w:lang w:val="en-US"/>
        </w:rPr>
        <w:t>2.</w:t>
      </w:r>
      <w:r>
        <w:t>La Partie A organise l'identification des dangers et l'évaluation des risques pour le personnel des travaux temporaires, effectue une transmission technique de sécurité sur site ciblée, et tient des registres avec signatures.</w:t>
      </w:r>
    </w:p>
    <w:p w14:paraId="30585AA7">
      <w:pPr>
        <w:widowControl/>
        <w:spacing w:line="360" w:lineRule="auto"/>
      </w:pPr>
      <w:r>
        <w:rPr>
          <w:rFonts w:hint="eastAsia"/>
          <w:lang w:val="en-US"/>
        </w:rPr>
        <w:t>3.</w:t>
      </w:r>
      <w:r>
        <w:t>Pour les travaux temporaires présentant un danger important, la Partie A met en œuvre une supervision continue sur place.</w:t>
      </w:r>
    </w:p>
    <w:p w14:paraId="489A9607">
      <w:pPr>
        <w:widowControl/>
        <w:spacing w:line="360" w:lineRule="auto"/>
        <w:rPr>
          <w:b/>
          <w:bCs/>
        </w:rPr>
      </w:pPr>
      <w:r>
        <w:rPr>
          <w:b/>
          <w:bCs/>
        </w:rPr>
        <w:t>Gestion des Changements de Conditions de Travail</w:t>
      </w:r>
    </w:p>
    <w:p w14:paraId="6D7A70D1">
      <w:pPr>
        <w:widowControl/>
        <w:spacing w:line="360" w:lineRule="auto"/>
      </w:pPr>
      <w:r>
        <w:rPr>
          <w:rFonts w:hint="eastAsia"/>
          <w:lang w:val="en-US"/>
        </w:rPr>
        <w:t>1.</w:t>
      </w:r>
      <w:r>
        <w:t>En cas de changement dans le processus de travail, la technologie, les équipements spéciaux ou l'environnement de travail (y compris les conditions météorologiques), arrêter immédiatement les travaux et en informer la Partie A.</w:t>
      </w:r>
    </w:p>
    <w:p w14:paraId="0D46FFCF">
      <w:pPr>
        <w:widowControl/>
        <w:spacing w:line="360" w:lineRule="auto"/>
      </w:pPr>
      <w:r>
        <w:rPr>
          <w:rFonts w:hint="eastAsia"/>
          <w:lang w:val="en-US"/>
        </w:rPr>
        <w:t>2.</w:t>
      </w:r>
      <w:r>
        <w:t>Le département attributaire de la Partie A supervise et organise la Partie B pour effectuer une analyse des risques de sécurité et une évaluation/argumentation. La Partie B doit améliorer ou réélaborer le plan d'exécution des travaux, remplir les procédures d'approbation et organiser une transmission technique de sécurité.</w:t>
      </w:r>
    </w:p>
    <w:p w14:paraId="77D061AB">
      <w:pPr>
        <w:widowControl/>
        <w:spacing w:line="360" w:lineRule="auto"/>
        <w:rPr>
          <w:b/>
          <w:bCs/>
        </w:rPr>
      </w:pPr>
      <w:r>
        <w:rPr>
          <w:b/>
          <w:bCs/>
        </w:rPr>
        <w:t>Gestion de la Sécurité pendant l'Arrêt et la Reprise des Travaux</w:t>
      </w:r>
    </w:p>
    <w:p w14:paraId="103FC32D">
      <w:pPr>
        <w:widowControl/>
        <w:spacing w:line="360" w:lineRule="auto"/>
      </w:pPr>
      <w:r>
        <w:rPr>
          <w:rFonts w:hint="eastAsia"/>
          <w:lang w:val="en-US"/>
        </w:rPr>
        <w:t>1.</w:t>
      </w:r>
      <w:r>
        <w:t xml:space="preserve">En dehors des week-ends normaux, si un arrêt est nécessaire pour d'autres raisons, la Partie B doit activement informer le département attributaire et les départements de gestion territoriale de la Partie A des raisons de l'arrêt et des mesures de sécurité. L'arrêt ne peut avoir lieu qu'après vérification et confirmation des mesures de sécurité par le département attributaire du projet et les départements de gestion territoriale de la </w:t>
      </w:r>
      <w:r>
        <w:rPr>
          <w:rFonts w:hint="eastAsia"/>
          <w:lang w:val="en-US"/>
        </w:rPr>
        <w:t>2.</w:t>
      </w:r>
      <w:r>
        <w:t>Partie A. Si l'arrêt dépasse une semaine, la Partie B doit élaborer un plan de gestion de la sécurité pendant l'arrêt et le soumettre pour approbation et enregistrement au département attributaire et aux départements de gestion territoriale de la Partie A avant l'arrêt.</w:t>
      </w:r>
    </w:p>
    <w:p w14:paraId="792F581B">
      <w:pPr>
        <w:widowControl/>
        <w:spacing w:line="360" w:lineRule="auto"/>
      </w:pPr>
      <w:r>
        <w:t>Si l'arrêt est prolongé ou nécessaire, la Partie B doit, avant l'arrêt, élaborer un plan de gestion de la sécurité pendant l'arrêt et une liste de travaux (incluant le personnel restant sur place), et le soumettre à la Partie A pour supervision et confirmation.</w:t>
      </w:r>
    </w:p>
    <w:p w14:paraId="2853FDF2">
      <w:pPr>
        <w:widowControl/>
        <w:spacing w:line="360" w:lineRule="auto"/>
      </w:pPr>
      <w:r>
        <w:rPr>
          <w:rFonts w:hint="eastAsia"/>
          <w:lang w:val="en-US"/>
        </w:rPr>
        <w:t>3.</w:t>
      </w:r>
      <w:r>
        <w:t>La Partie B doit accorder une attention particulière à la gestion de la sécurité des diverses sources externes (électricité, eau, chaleur, gaz, etc.). À l'exception des besoins essentiels du personnel de garde, demander la coopération de la Partie A pour couper à la source toutes les sources externes (électricité, eau, chaleur, gaz, etc.), couper l'alimentation électrique de toutes les machines et équipements, garer les véhicules aux emplacements désignés, verrouiller les portes et fenêtres des cabines, et accrocher des panneaux d'avertissement de sécurité.</w:t>
      </w:r>
    </w:p>
    <w:p w14:paraId="3941E363">
      <w:pPr>
        <w:widowControl/>
        <w:spacing w:line="360" w:lineRule="auto"/>
      </w:pPr>
      <w:r>
        <w:rPr>
          <w:rFonts w:hint="eastAsia"/>
          <w:lang w:val="en-US"/>
        </w:rPr>
        <w:t>4.</w:t>
      </w:r>
      <w:r>
        <w:t>Pour les projets arrêtés depuis trois mois jusqu'à moins de six mois, le personnel de la Partie B doit repasser la formation et l'examen de sécurité au niveau atelier de la Partie A. Pour les projets arrêtés depuis six mois ou plus, le personnel de la Partie B doit repasser la formation et l'examen de sécurité à trois niveaux organisés par la Partie A.</w:t>
      </w:r>
    </w:p>
    <w:p w14:paraId="2FBD28D4">
      <w:pPr>
        <w:widowControl/>
        <w:spacing w:line="360" w:lineRule="auto"/>
      </w:pPr>
      <w:r>
        <w:rPr>
          <w:rFonts w:hint="eastAsia"/>
          <w:lang w:val="en-US"/>
        </w:rPr>
        <w:t>5.</w:t>
      </w:r>
      <w:r>
        <w:t>Pendant l'arrêt, la Partie A doit effectuer des rondes de sécurité dans les bureaux et sur le chantier de la Partie B, et superviser la gestion de la sécurité des lieux de vie.</w:t>
      </w:r>
    </w:p>
    <w:p w14:paraId="06D41B05">
      <w:pPr>
        <w:widowControl/>
        <w:spacing w:line="360" w:lineRule="auto"/>
      </w:pPr>
      <w:r>
        <w:rPr>
          <w:rFonts w:hint="eastAsia"/>
          <w:lang w:val="en-US"/>
        </w:rPr>
        <w:t>6.</w:t>
      </w:r>
      <w:r>
        <w:t>Lors de la reprise, sur demande de la Partie B, la Partie A vérifie principalement l'identité du personnel retournant sur le site, organise une réunion de reprise du travail et une formation de sécurité avant la reprise, restaure progressivement l'approvisionnement en énergie pour la construction, les deux parties tiennent un registre de transfert, la Partie A vérifie et confirme les mesures de sécurité sur site, et si les conditions de reprise sont remplies, l'unité de gestion territoriale de la Partie A examine</w:t>
      </w:r>
    </w:p>
    <w:p w14:paraId="121D45AB">
      <w:pPr>
        <w:widowControl/>
        <w:spacing w:line="360" w:lineRule="auto"/>
        <w:rPr>
          <w:b/>
          <w:bCs/>
        </w:rPr>
      </w:pPr>
      <w:r>
        <w:rPr>
          <w:rFonts w:hint="eastAsia"/>
          <w:b/>
          <w:bCs/>
          <w:lang w:val="en-US"/>
        </w:rPr>
        <w:t>（3）</w:t>
      </w:r>
      <w:r>
        <w:rPr>
          <w:rFonts w:hint="eastAsia"/>
          <w:b/>
          <w:bCs/>
        </w:rPr>
        <w:t>Gestion des Engins Mécaniques et Outillages</w:t>
      </w:r>
    </w:p>
    <w:p w14:paraId="0806631A">
      <w:pPr>
        <w:spacing w:line="360" w:lineRule="auto"/>
        <w:rPr>
          <w:b/>
          <w:bCs/>
          <w:kern w:val="13"/>
          <w:szCs w:val="21"/>
        </w:rPr>
      </w:pPr>
      <w:r>
        <w:rPr>
          <w:rFonts w:hint="eastAsia"/>
          <w:b/>
          <w:bCs/>
          <w:kern w:val="13"/>
          <w:szCs w:val="21"/>
        </w:rPr>
        <w:t>Règles Générales</w:t>
      </w:r>
    </w:p>
    <w:p w14:paraId="781495D6">
      <w:pPr>
        <w:spacing w:line="360" w:lineRule="auto"/>
        <w:rPr>
          <w:kern w:val="13"/>
          <w:szCs w:val="21"/>
        </w:rPr>
      </w:pPr>
      <w:r>
        <w:rPr>
          <w:rFonts w:hint="eastAsia"/>
          <w:kern w:val="13"/>
          <w:szCs w:val="21"/>
          <w:lang w:val="en-US"/>
        </w:rPr>
        <w:t>1.</w:t>
      </w:r>
      <w:r>
        <w:rPr>
          <w:rFonts w:hint="eastAsia"/>
          <w:kern w:val="13"/>
          <w:szCs w:val="21"/>
        </w:rPr>
        <w:t>Les procédures opérationnelles doivent être affichées à proximité des engins mécaniques, qui ne doivent être manipulés que par du personnel possédant les qualifications appropriées et maîtrisant les compétences d'utilisation.</w:t>
      </w:r>
    </w:p>
    <w:p w14:paraId="48C53830">
      <w:pPr>
        <w:spacing w:line="360" w:lineRule="auto"/>
        <w:rPr>
          <w:kern w:val="13"/>
          <w:szCs w:val="21"/>
        </w:rPr>
      </w:pPr>
      <w:r>
        <w:rPr>
          <w:rFonts w:hint="eastAsia"/>
          <w:kern w:val="13"/>
          <w:szCs w:val="21"/>
          <w:lang w:val="en-US"/>
        </w:rPr>
        <w:t>2.</w:t>
      </w:r>
      <w:r>
        <w:rPr>
          <w:rFonts w:hint="eastAsia"/>
          <w:kern w:val="13"/>
          <w:szCs w:val="21"/>
        </w:rPr>
        <w:t>Tous les engins mécaniques et outillages doivent être inspectés, entretenus et maintenus par du personnel désigné, et être soumis aux examens et essais requis par la réglementation. Pour les engins mécaniques, équipements spéciaux et outillages des entrepreneurs à moyen et long terme, l'exigence de gestion "visualisation des inspections des équipements et installations" doit être appliquée.</w:t>
      </w:r>
    </w:p>
    <w:p w14:paraId="5109769B">
      <w:pPr>
        <w:spacing w:line="360" w:lineRule="auto"/>
        <w:rPr>
          <w:kern w:val="13"/>
          <w:szCs w:val="21"/>
        </w:rPr>
      </w:pPr>
      <w:r>
        <w:rPr>
          <w:rFonts w:hint="eastAsia"/>
          <w:kern w:val="13"/>
          <w:szCs w:val="21"/>
          <w:lang w:val="en-US"/>
        </w:rPr>
        <w:t>3.</w:t>
      </w:r>
      <w:r>
        <w:rPr>
          <w:rFonts w:hint="eastAsia"/>
          <w:kern w:val="13"/>
          <w:szCs w:val="21"/>
        </w:rPr>
        <w:t>Tous les engins mécaniques et outillages doivent porter des étiquettes ou marquages visibles indiquant leur statut d'inspection, de vérification ou de contrôle satisfaisant, afin de mettre en œuvre une gestion visuelle.</w:t>
      </w:r>
    </w:p>
    <w:p w14:paraId="73180B19">
      <w:pPr>
        <w:spacing w:line="360" w:lineRule="auto"/>
        <w:rPr>
          <w:kern w:val="13"/>
          <w:szCs w:val="21"/>
        </w:rPr>
      </w:pPr>
      <w:r>
        <w:rPr>
          <w:rFonts w:hint="eastAsia"/>
          <w:kern w:val="13"/>
          <w:szCs w:val="21"/>
          <w:lang w:val="en-US"/>
        </w:rPr>
        <w:t>4.</w:t>
      </w:r>
      <w:r>
        <w:rPr>
          <w:rFonts w:hint="eastAsia"/>
          <w:kern w:val="13"/>
          <w:szCs w:val="21"/>
        </w:rPr>
        <w:t>Il est strictement interdit de modifier l'usage prévu des engins mécaniques ou outillages, de les transformer sans autorisation, ou de les utiliser en violation des règles.</w:t>
      </w:r>
    </w:p>
    <w:p w14:paraId="7C6EA268">
      <w:pPr>
        <w:spacing w:line="360" w:lineRule="auto"/>
        <w:rPr>
          <w:kern w:val="13"/>
          <w:szCs w:val="21"/>
        </w:rPr>
      </w:pPr>
      <w:r>
        <w:rPr>
          <w:rFonts w:hint="eastAsia"/>
          <w:kern w:val="13"/>
          <w:szCs w:val="21"/>
          <w:lang w:val="en-US"/>
        </w:rPr>
        <w:t>5.</w:t>
      </w:r>
      <w:r>
        <w:rPr>
          <w:rFonts w:hint="eastAsia"/>
          <w:kern w:val="13"/>
          <w:szCs w:val="21"/>
        </w:rPr>
        <w:t>La Partie A supervise, contrôle ou effectue des vérifications ponctuelles sur l'état de sécurité, le statut d'inspection et le marquage des engins mécaniques et outillages présents sur le chantier.</w:t>
      </w:r>
    </w:p>
    <w:p w14:paraId="3B597860">
      <w:pPr>
        <w:spacing w:line="360" w:lineRule="auto"/>
        <w:rPr>
          <w:b/>
          <w:bCs/>
          <w:kern w:val="13"/>
          <w:szCs w:val="21"/>
        </w:rPr>
      </w:pPr>
      <w:r>
        <w:rPr>
          <w:rFonts w:hint="eastAsia"/>
          <w:b/>
          <w:bCs/>
          <w:kern w:val="13"/>
          <w:szCs w:val="21"/>
        </w:rPr>
        <w:t>Gestion de la Réception/Validation</w:t>
      </w:r>
    </w:p>
    <w:p w14:paraId="726BD9CE">
      <w:pPr>
        <w:spacing w:line="360" w:lineRule="auto"/>
        <w:rPr>
          <w:kern w:val="13"/>
          <w:szCs w:val="21"/>
        </w:rPr>
      </w:pPr>
      <w:r>
        <w:rPr>
          <w:rFonts w:hint="eastAsia"/>
          <w:kern w:val="13"/>
          <w:szCs w:val="21"/>
          <w:lang w:val="en-US"/>
        </w:rPr>
        <w:t>1.</w:t>
      </w:r>
      <w:r>
        <w:rPr>
          <w:rFonts w:hint="eastAsia"/>
          <w:kern w:val="13"/>
          <w:szCs w:val="21"/>
        </w:rPr>
        <w:t>La Partie A établit des procédures pour la réception/validation des engins mécaniques à leur arrivée sur site, précisant le champ d'application, le processus et la documentation requis.</w:t>
      </w:r>
    </w:p>
    <w:p w14:paraId="2E8FB95C">
      <w:pPr>
        <w:spacing w:line="360" w:lineRule="auto"/>
        <w:rPr>
          <w:kern w:val="13"/>
          <w:szCs w:val="21"/>
        </w:rPr>
      </w:pPr>
      <w:r>
        <w:rPr>
          <w:rFonts w:hint="eastAsia"/>
          <w:kern w:val="13"/>
          <w:szCs w:val="21"/>
          <w:lang w:val="en-US"/>
        </w:rPr>
        <w:t>2.</w:t>
      </w:r>
      <w:r>
        <w:rPr>
          <w:rFonts w:hint="eastAsia"/>
          <w:kern w:val="13"/>
          <w:szCs w:val="21"/>
        </w:rPr>
        <w:t>Les engins mécaniques de la Partie B doivent obligatoirement suivre la procédure de réception/validation à leur entrée sur site et fournir des documents de réception authentiques. Après vérification et validation, un identifiant d'acceptation à l'entrée sera délivré pour mise en œuvre d'une gestion visuelle.</w:t>
      </w:r>
    </w:p>
    <w:p w14:paraId="5AC6CC45">
      <w:pPr>
        <w:spacing w:line="360" w:lineRule="auto"/>
        <w:rPr>
          <w:b/>
          <w:bCs/>
          <w:kern w:val="13"/>
          <w:szCs w:val="21"/>
        </w:rPr>
      </w:pPr>
      <w:r>
        <w:rPr>
          <w:rFonts w:hint="eastAsia"/>
          <w:b/>
          <w:bCs/>
          <w:kern w:val="13"/>
          <w:szCs w:val="21"/>
        </w:rPr>
        <w:t>（</w:t>
      </w:r>
      <w:r>
        <w:rPr>
          <w:rFonts w:hint="eastAsia"/>
          <w:b/>
          <w:bCs/>
          <w:kern w:val="13"/>
          <w:szCs w:val="21"/>
          <w:lang w:val="en-US"/>
        </w:rPr>
        <w:t>4</w:t>
      </w:r>
      <w:r>
        <w:rPr>
          <w:rFonts w:hint="eastAsia"/>
          <w:b/>
          <w:bCs/>
          <w:kern w:val="13"/>
          <w:szCs w:val="21"/>
        </w:rPr>
        <w:t>）Supervision et Contrôle</w:t>
      </w:r>
    </w:p>
    <w:p w14:paraId="179768B5">
      <w:pPr>
        <w:spacing w:line="360" w:lineRule="auto"/>
        <w:rPr>
          <w:b/>
          <w:bCs/>
          <w:kern w:val="13"/>
          <w:szCs w:val="21"/>
        </w:rPr>
      </w:pPr>
      <w:r>
        <w:rPr>
          <w:rFonts w:hint="eastAsia"/>
          <w:b/>
          <w:bCs/>
          <w:kern w:val="13"/>
          <w:szCs w:val="21"/>
        </w:rPr>
        <w:t>Supervision et Contrôle</w:t>
      </w:r>
    </w:p>
    <w:p w14:paraId="2698A1FA">
      <w:pPr>
        <w:spacing w:line="360" w:lineRule="auto"/>
        <w:rPr>
          <w:kern w:val="13"/>
          <w:szCs w:val="21"/>
        </w:rPr>
      </w:pPr>
      <w:r>
        <w:rPr>
          <w:rFonts w:hint="eastAsia"/>
          <w:kern w:val="13"/>
          <w:szCs w:val="21"/>
          <w:lang w:val="en-US"/>
        </w:rPr>
        <w:t>1.</w:t>
      </w:r>
      <w:r>
        <w:rPr>
          <w:rFonts w:hint="eastAsia"/>
          <w:kern w:val="13"/>
          <w:szCs w:val="21"/>
        </w:rPr>
        <w:t>La Partie B doit organiser régulièrement des réunions sur la sécurité de la production, participer aux diverses réunions de sécurité organisées par la Partie A, appliquer les systèmes de formation à la sécurité de sa propre entité et de la Partie A, mener sérieusement les "trois réunions et une activité" (à savoir la réunion de pré-poste, la réunion pré-travail, la réunion de post-poste et la journée d'activité sécurité de l'équipe), organiser périodiquement l'identification des dangers et l'évaluation des risques, ainsi que des inspections de sécurité et le traitement des risques identifiés.</w:t>
      </w:r>
    </w:p>
    <w:p w14:paraId="488AAC77">
      <w:pPr>
        <w:spacing w:line="360" w:lineRule="auto"/>
        <w:rPr>
          <w:kern w:val="13"/>
          <w:szCs w:val="21"/>
        </w:rPr>
      </w:pPr>
      <w:r>
        <w:rPr>
          <w:rFonts w:hint="eastAsia"/>
          <w:kern w:val="13"/>
          <w:szCs w:val="21"/>
          <w:lang w:val="en-US"/>
        </w:rPr>
        <w:t>2.</w:t>
      </w:r>
      <w:r>
        <w:rPr>
          <w:rFonts w:hint="eastAsia"/>
          <w:kern w:val="13"/>
          <w:szCs w:val="21"/>
        </w:rPr>
        <w:t>La Partie A effectue régulièrement des audits de surveillance sur l'efficacité réelle du système de gestion de la sécurité de la Partie B, ainsi que des inspections et contrôles non programmés, intégrés dans l'évaluation mensuelle ou du projet.</w:t>
      </w:r>
    </w:p>
    <w:p w14:paraId="0B07375C">
      <w:pPr>
        <w:spacing w:line="360" w:lineRule="auto"/>
        <w:rPr>
          <w:kern w:val="13"/>
          <w:szCs w:val="21"/>
        </w:rPr>
      </w:pPr>
      <w:r>
        <w:rPr>
          <w:rFonts w:hint="eastAsia"/>
          <w:kern w:val="13"/>
          <w:szCs w:val="21"/>
          <w:lang w:val="en-US"/>
        </w:rPr>
        <w:t>3.</w:t>
      </w:r>
      <w:r>
        <w:rPr>
          <w:rFonts w:hint="eastAsia"/>
          <w:kern w:val="13"/>
          <w:szCs w:val="21"/>
        </w:rPr>
        <w:t>La Partie A supervise, contrôle et évalue le travail de routine de gestion de la sécurité de la Partie B, en s'assurant qu'il y a une planification, des inspections, des mesures et des corrections, pour réaliser une gestion en boucle fermée.</w:t>
      </w:r>
    </w:p>
    <w:p w14:paraId="2EE38E01">
      <w:pPr>
        <w:spacing w:line="360" w:lineRule="auto"/>
        <w:rPr>
          <w:b/>
          <w:bCs/>
          <w:kern w:val="13"/>
          <w:szCs w:val="21"/>
        </w:rPr>
      </w:pPr>
      <w:r>
        <w:rPr>
          <w:rFonts w:hint="eastAsia"/>
          <w:b/>
          <w:bCs/>
          <w:kern w:val="13"/>
          <w:szCs w:val="21"/>
        </w:rPr>
        <w:t>（</w:t>
      </w:r>
      <w:r>
        <w:rPr>
          <w:rFonts w:hint="eastAsia"/>
          <w:b/>
          <w:bCs/>
          <w:kern w:val="13"/>
          <w:szCs w:val="21"/>
          <w:lang w:val="en-US"/>
        </w:rPr>
        <w:t>5</w:t>
      </w:r>
      <w:r>
        <w:rPr>
          <w:rFonts w:hint="eastAsia"/>
          <w:b/>
          <w:bCs/>
          <w:kern w:val="13"/>
          <w:szCs w:val="21"/>
        </w:rPr>
        <w:t>） Gestion de la Réception des Travaux et du Retrait du Chantier</w:t>
      </w:r>
    </w:p>
    <w:p w14:paraId="6ACB7E13">
      <w:pPr>
        <w:spacing w:line="360" w:lineRule="auto"/>
        <w:rPr>
          <w:b/>
          <w:bCs/>
          <w:kern w:val="13"/>
          <w:szCs w:val="21"/>
        </w:rPr>
      </w:pPr>
      <w:r>
        <w:rPr>
          <w:rFonts w:hint="eastAsia"/>
          <w:b/>
          <w:bCs/>
          <w:kern w:val="13"/>
          <w:szCs w:val="21"/>
        </w:rPr>
        <w:t xml:space="preserve"> Gestion de la Réception</w:t>
      </w:r>
    </w:p>
    <w:p w14:paraId="1BB08435">
      <w:pPr>
        <w:spacing w:line="360" w:lineRule="auto"/>
        <w:rPr>
          <w:kern w:val="13"/>
          <w:szCs w:val="21"/>
        </w:rPr>
      </w:pPr>
      <w:r>
        <w:rPr>
          <w:rFonts w:hint="eastAsia"/>
          <w:kern w:val="13"/>
          <w:szCs w:val="21"/>
        </w:rPr>
        <w:t>Une fois les tâches de travail terminées, que ce soit par phase ou dans leur totalité, la Partie A organise la réception des travaux avec les départements concernés. Les départements spécialisés sont responsables de la vérification et de la confirmation que la sécurité et la propreté du chantier, ainsi que la remise en état des installations de protection de sécurité, sont conformes, avant que les procédures de clôture des travaux et de réception ne puissent être engagées.</w:t>
      </w:r>
    </w:p>
    <w:p w14:paraId="5DCCAEE8">
      <w:pPr>
        <w:spacing w:line="360" w:lineRule="auto"/>
        <w:rPr>
          <w:b/>
          <w:bCs/>
          <w:kern w:val="13"/>
          <w:szCs w:val="21"/>
        </w:rPr>
      </w:pPr>
      <w:r>
        <w:rPr>
          <w:rFonts w:hint="eastAsia"/>
          <w:b/>
          <w:bCs/>
          <w:kern w:val="13"/>
          <w:szCs w:val="21"/>
        </w:rPr>
        <w:t xml:space="preserve"> Gestion du Retrait du Chantier</w:t>
      </w:r>
    </w:p>
    <w:p w14:paraId="105EE954">
      <w:pPr>
        <w:spacing w:line="360" w:lineRule="auto"/>
        <w:rPr>
          <w:kern w:val="13"/>
          <w:szCs w:val="21"/>
        </w:rPr>
      </w:pPr>
      <w:r>
        <w:rPr>
          <w:rFonts w:hint="eastAsia"/>
          <w:kern w:val="13"/>
          <w:szCs w:val="21"/>
        </w:rPr>
        <w:t>Une gestion par approbation du retrait est mise en œuvre. Sur demande de retrait de la Partie B, la Partie A organise la confirmation par les départements concernés que les tâches sur site sont achevées, que la documentation pertinente est complète et transférée, que le nettoyage du site et la remise en état des installations sont terminés, et que le projet contractuel a été réceptionné. Ce n'est qu'après cela que la Partie A peut approuver la demande de retrait.</w:t>
      </w:r>
    </w:p>
    <w:p w14:paraId="2429F656">
      <w:pPr>
        <w:spacing w:line="360" w:lineRule="auto"/>
        <w:rPr>
          <w:kern w:val="13"/>
          <w:szCs w:val="21"/>
        </w:rPr>
      </w:pPr>
      <w:r>
        <w:rPr>
          <w:rFonts w:hint="eastAsia"/>
          <w:kern w:val="13"/>
          <w:szCs w:val="21"/>
        </w:rPr>
        <w:t>Le département responsable de la Partie A récupère tous les badges d'accès/cartes de la Partie B et désactive les droits d'accès ; il vérifie point par point l'exactitude de la liste des matériaux à retirer (engins mécaniques, outillages, matériaux, etc.) de la Partie B et confirme la clarté des droits ; une fois les évaluations de sécurité terminées, il délivre le document d'autorisation de retrait et organise le retrait.</w:t>
      </w:r>
    </w:p>
    <w:p w14:paraId="78DC0B45">
      <w:pPr>
        <w:spacing w:line="360" w:lineRule="auto"/>
        <w:rPr>
          <w:b/>
          <w:bCs/>
          <w:kern w:val="13"/>
          <w:szCs w:val="21"/>
        </w:rPr>
      </w:pPr>
      <w:r>
        <w:rPr>
          <w:rFonts w:hint="eastAsia"/>
          <w:b/>
          <w:bCs/>
          <w:kern w:val="13"/>
          <w:szCs w:val="21"/>
        </w:rPr>
        <w:t>（</w:t>
      </w:r>
      <w:r>
        <w:rPr>
          <w:rFonts w:hint="eastAsia"/>
          <w:b/>
          <w:bCs/>
          <w:kern w:val="13"/>
          <w:szCs w:val="21"/>
          <w:lang w:val="en-US"/>
        </w:rPr>
        <w:t>6</w:t>
      </w:r>
      <w:r>
        <w:rPr>
          <w:rFonts w:hint="eastAsia"/>
          <w:b/>
          <w:bCs/>
          <w:kern w:val="13"/>
          <w:szCs w:val="21"/>
        </w:rPr>
        <w:t>）Gestion des Situations d'Urgence et des Accidents/Incidents</w:t>
      </w:r>
    </w:p>
    <w:p w14:paraId="2CA94197">
      <w:pPr>
        <w:spacing w:line="360" w:lineRule="auto"/>
        <w:rPr>
          <w:kern w:val="13"/>
          <w:szCs w:val="21"/>
        </w:rPr>
      </w:pPr>
      <w:r>
        <w:rPr>
          <w:rFonts w:hint="eastAsia"/>
          <w:b/>
          <w:bCs/>
          <w:kern w:val="13"/>
          <w:szCs w:val="21"/>
        </w:rPr>
        <w:t>Gestion des Urgences</w:t>
      </w:r>
    </w:p>
    <w:p w14:paraId="74460A81">
      <w:pPr>
        <w:spacing w:line="360" w:lineRule="auto"/>
        <w:rPr>
          <w:kern w:val="13"/>
          <w:szCs w:val="21"/>
        </w:rPr>
      </w:pPr>
      <w:r>
        <w:rPr>
          <w:rFonts w:hint="eastAsia"/>
          <w:kern w:val="13"/>
          <w:szCs w:val="21"/>
          <w:lang w:val="en-US"/>
        </w:rPr>
        <w:t>1.</w:t>
      </w:r>
      <w:r>
        <w:rPr>
          <w:rFonts w:hint="eastAsia"/>
          <w:kern w:val="13"/>
          <w:szCs w:val="21"/>
        </w:rPr>
        <w:t>La Partie B doit élaborer des plans d'urgence adaptés aux caractéristiques et au périmètre des travaux, et organiser régulièrement des exercices.</w:t>
      </w:r>
    </w:p>
    <w:p w14:paraId="3E0DF019">
      <w:pPr>
        <w:spacing w:line="360" w:lineRule="auto"/>
        <w:rPr>
          <w:kern w:val="13"/>
          <w:szCs w:val="21"/>
        </w:rPr>
      </w:pPr>
      <w:r>
        <w:rPr>
          <w:rFonts w:hint="eastAsia"/>
          <w:kern w:val="13"/>
          <w:szCs w:val="21"/>
          <w:lang w:val="en-US"/>
        </w:rPr>
        <w:t>2.</w:t>
      </w:r>
      <w:r>
        <w:rPr>
          <w:rFonts w:hint="eastAsia"/>
          <w:kern w:val="13"/>
          <w:szCs w:val="21"/>
        </w:rPr>
        <w:t>La Partie B doit être équipée, conformément aux exigences, d'équipements, installations, outils et matériels de secours d'urgence qualifiés, et effectuer leur inspection et maintenance périodique ; elle doit surveiller les zones et étapes du chantier susceptibles d'être le lieu d'accidents.</w:t>
      </w:r>
    </w:p>
    <w:p w14:paraId="37C0C507">
      <w:pPr>
        <w:spacing w:line="360" w:lineRule="auto"/>
        <w:rPr>
          <w:kern w:val="13"/>
          <w:szCs w:val="21"/>
        </w:rPr>
      </w:pPr>
      <w:r>
        <w:rPr>
          <w:rFonts w:hint="eastAsia"/>
          <w:kern w:val="13"/>
          <w:szCs w:val="21"/>
          <w:lang w:val="en-US"/>
        </w:rPr>
        <w:t>3.</w:t>
      </w:r>
      <w:r>
        <w:rPr>
          <w:rFonts w:hint="eastAsia"/>
          <w:kern w:val="13"/>
          <w:szCs w:val="21"/>
        </w:rPr>
        <w:t>La Partie A supervise et contrôle l'organisation des secours d'urgence de la Partie B, ses plans d'urgence, ainsi que ses équipements, installations et matériels de secours d'urgence.</w:t>
      </w:r>
    </w:p>
    <w:p w14:paraId="79535E21">
      <w:pPr>
        <w:spacing w:line="360" w:lineRule="auto"/>
        <w:rPr>
          <w:kern w:val="13"/>
          <w:szCs w:val="21"/>
        </w:rPr>
      </w:pPr>
      <w:r>
        <w:rPr>
          <w:rFonts w:hint="eastAsia"/>
          <w:kern w:val="13"/>
          <w:szCs w:val="21"/>
          <w:lang w:val="en-US"/>
        </w:rPr>
        <w:t>4.</w:t>
      </w:r>
      <w:r>
        <w:rPr>
          <w:rFonts w:hint="eastAsia"/>
          <w:kern w:val="13"/>
          <w:szCs w:val="21"/>
        </w:rPr>
        <w:t>En cas d'événement soudain impliquant la Partie B, la Partie A apporte son assistance aux opérations de secours. Si nécessaire, la Partie A assure la coordination et le commandement unifiés. En cas de contrat global, l'entrepreneur principal organise la gestion des urgences avec les sous-traitants.</w:t>
      </w:r>
    </w:p>
    <w:p w14:paraId="0E4F07DC">
      <w:pPr>
        <w:spacing w:line="360" w:lineRule="auto"/>
        <w:rPr>
          <w:b/>
          <w:bCs/>
          <w:kern w:val="13"/>
          <w:szCs w:val="21"/>
        </w:rPr>
      </w:pPr>
      <w:r>
        <w:rPr>
          <w:rFonts w:hint="eastAsia"/>
          <w:b/>
          <w:bCs/>
          <w:kern w:val="13"/>
          <w:szCs w:val="21"/>
        </w:rPr>
        <w:t>2. Gestion des Accidents/Incidents</w:t>
      </w:r>
    </w:p>
    <w:p w14:paraId="08ED3DBF">
      <w:pPr>
        <w:spacing w:line="360" w:lineRule="auto"/>
        <w:rPr>
          <w:kern w:val="13"/>
          <w:szCs w:val="21"/>
        </w:rPr>
      </w:pPr>
      <w:r>
        <w:rPr>
          <w:rFonts w:hint="eastAsia"/>
          <w:kern w:val="13"/>
          <w:szCs w:val="21"/>
          <w:lang w:val="en-US"/>
        </w:rPr>
        <w:t>1.</w:t>
      </w:r>
      <w:r>
        <w:rPr>
          <w:rFonts w:hint="eastAsia"/>
          <w:kern w:val="13"/>
          <w:szCs w:val="21"/>
        </w:rPr>
        <w:t>En cas d'accident/incident de sécurité, la Partie A effectue les déclarations requises et assiste aux secours d'urgence conformément à la réglementation. Parallèlement, conformément aux règlements de la Partie A et aux clauses contractuelles pertinentes, une enquête sur l'accident/l'incident est menée pour déterminer les responsabilités de l'unité concernée et des personnes impliquées.</w:t>
      </w:r>
    </w:p>
    <w:p w14:paraId="10666C0E">
      <w:pPr>
        <w:spacing w:line="360" w:lineRule="auto"/>
        <w:rPr>
          <w:kern w:val="13"/>
          <w:szCs w:val="21"/>
        </w:rPr>
      </w:pPr>
      <w:r>
        <w:rPr>
          <w:rFonts w:hint="eastAsia"/>
          <w:kern w:val="13"/>
          <w:szCs w:val="21"/>
          <w:lang w:val="en-US"/>
        </w:rPr>
        <w:t>2.</w:t>
      </w:r>
      <w:r>
        <w:rPr>
          <w:rFonts w:hint="eastAsia"/>
          <w:kern w:val="13"/>
          <w:szCs w:val="21"/>
        </w:rPr>
        <w:t>En cas d'arrêt des travaux pour remise en ordre suite à un accident/incident, la Partie A organise ou incite la Partie B à élaborer et mettre en œuvre des mesures de prévention. Avant la reprise des travaux, la Partie A organise l'examen des conditions de reprise et n'autorise celle-ci qu'après confirmation de leur conformité. Toute reprise de travaux sans demande préalable ni approbation entraînera l'inscription du contractant sur une "liste noire".</w:t>
      </w:r>
    </w:p>
    <w:p w14:paraId="444C1A3F">
      <w:pPr>
        <w:spacing w:line="360" w:lineRule="auto"/>
        <w:rPr>
          <w:b/>
          <w:bCs/>
          <w:kern w:val="13"/>
          <w:szCs w:val="21"/>
        </w:rPr>
      </w:pPr>
    </w:p>
    <w:p w14:paraId="3697AF77">
      <w:pPr>
        <w:spacing w:line="360" w:lineRule="auto"/>
        <w:rPr>
          <w:b/>
          <w:bCs/>
          <w:kern w:val="13"/>
          <w:szCs w:val="21"/>
        </w:rPr>
      </w:pPr>
      <w:r>
        <w:rPr>
          <w:rFonts w:hint="eastAsia"/>
          <w:b/>
          <w:bCs/>
          <w:kern w:val="13"/>
          <w:szCs w:val="21"/>
        </w:rPr>
        <w:t>IV. Responsabilités en cas de manquement et évaluation</w:t>
      </w:r>
    </w:p>
    <w:p w14:paraId="74333421">
      <w:pPr>
        <w:spacing w:line="360" w:lineRule="auto"/>
        <w:rPr>
          <w:kern w:val="13"/>
          <w:szCs w:val="21"/>
        </w:rPr>
      </w:pPr>
      <w:r>
        <w:rPr>
          <w:rFonts w:hint="eastAsia"/>
          <w:kern w:val="13"/>
          <w:szCs w:val="21"/>
          <w:lang w:val="en-US"/>
        </w:rPr>
        <w:t>1.</w:t>
      </w:r>
      <w:r>
        <w:rPr>
          <w:rFonts w:hint="eastAsia"/>
          <w:kern w:val="13"/>
          <w:szCs w:val="21"/>
        </w:rPr>
        <w:t>La Partie A a le droit d'imposer des sanctions appropriées à la Partie B en cas de manquement dans l'exécution de ses responsabilités en matière de gestion de la sécurité, conformément aux dispositions du « Règlement sur la gestion de la sécurité des entrepreneurs », du « Système de gestion de la lutte contre les infractions » et autres réglementations internes de la Partie A en matière de sécurité de la production.</w:t>
      </w:r>
    </w:p>
    <w:p w14:paraId="6B63D643">
      <w:pPr>
        <w:spacing w:line="360" w:lineRule="auto"/>
        <w:rPr>
          <w:kern w:val="13"/>
          <w:szCs w:val="21"/>
        </w:rPr>
      </w:pPr>
      <w:r>
        <w:rPr>
          <w:rFonts w:hint="eastAsia"/>
          <w:kern w:val="13"/>
          <w:szCs w:val="21"/>
          <w:lang w:val="en-US"/>
        </w:rPr>
        <w:t>2.</w:t>
      </w:r>
      <w:r>
        <w:rPr>
          <w:rFonts w:hint="eastAsia"/>
          <w:kern w:val="13"/>
          <w:szCs w:val="21"/>
        </w:rPr>
        <w:t>Dans l'exercice de ses fonctions de supervision et de contrôle de la sécurité, la Partie A a le droit de récompenser ou de sanctionner les performances de la Partie B en matière de sécurité de la production, conformément aux règlements de récompenses et sanctions de la Partie A liés à la sécurité de la production.</w:t>
      </w:r>
    </w:p>
    <w:p w14:paraId="701FC757">
      <w:pPr>
        <w:spacing w:line="360" w:lineRule="auto"/>
        <w:rPr>
          <w:kern w:val="13"/>
          <w:szCs w:val="21"/>
        </w:rPr>
      </w:pPr>
      <w:r>
        <w:rPr>
          <w:rFonts w:hint="eastAsia"/>
          <w:kern w:val="13"/>
          <w:szCs w:val="21"/>
          <w:lang w:val="en-US"/>
        </w:rPr>
        <w:t>3.</w:t>
      </w:r>
      <w:r>
        <w:rPr>
          <w:rFonts w:hint="eastAsia"/>
          <w:kern w:val="13"/>
          <w:szCs w:val="21"/>
        </w:rPr>
        <w:t>Si la Partie B ne peut garantir l'authenticité, la légalité et la validité des documents de qualification soumis, la Partie A aura le droit d'exiger que la Partie B prenne des mesures correctives ou de mettre fin au contrat, tout en l'inscrivant sur la « liste noire » de gestion des comportements inappropriés.</w:t>
      </w:r>
    </w:p>
    <w:p w14:paraId="0E2F5051">
      <w:pPr>
        <w:spacing w:line="360" w:lineRule="auto"/>
        <w:rPr>
          <w:kern w:val="13"/>
          <w:szCs w:val="21"/>
        </w:rPr>
      </w:pPr>
      <w:r>
        <w:rPr>
          <w:rFonts w:hint="eastAsia"/>
          <w:kern w:val="13"/>
          <w:szCs w:val="21"/>
          <w:lang w:val="en-US"/>
        </w:rPr>
        <w:t>4.</w:t>
      </w:r>
      <w:r>
        <w:rPr>
          <w:rFonts w:hint="eastAsia"/>
          <w:kern w:val="13"/>
          <w:szCs w:val="21"/>
        </w:rPr>
        <w:t>Lorsqu'il est constaté que les équipements, outils, installations de sécurité, équipements de protection, etc., apportés et utilisés par la Partie B ne sont pas conformes aux normes de sécurité, la Partie A a le droit d'ordonner l'arrêt des travaux pour correction ou d'imposer leur mise en conformité avec les normes de sécurité, les frais nécessaires étant déduits du montant du contrat au double de leur valeur.</w:t>
      </w:r>
    </w:p>
    <w:p w14:paraId="4828E2B5">
      <w:pPr>
        <w:spacing w:line="360" w:lineRule="auto"/>
        <w:rPr>
          <w:kern w:val="13"/>
          <w:szCs w:val="21"/>
        </w:rPr>
      </w:pPr>
      <w:r>
        <w:rPr>
          <w:rFonts w:hint="eastAsia"/>
          <w:kern w:val="13"/>
          <w:szCs w:val="21"/>
          <w:lang w:val="en-US"/>
        </w:rPr>
        <w:t>5.</w:t>
      </w:r>
      <w:r>
        <w:rPr>
          <w:rFonts w:hint="eastAsia"/>
          <w:kern w:val="13"/>
          <w:szCs w:val="21"/>
        </w:rPr>
        <w:t>La Partie A met en œuvre une « liste noire » pour le personnel. Tout individu enfreignant les interdictions en matière de sécurité de la production de la Partie A, ou cumulant trois infractions mineures, deux infractions relativement graves ou une infraction grave en un an, ou travaillant simultanément pour deux entrepreneurs ou plus, sera immédiatement exclu et inscrit sur cette liste noire, lui interdisant définitivement l'accès aux sites de la Partie A.</w:t>
      </w:r>
    </w:p>
    <w:p w14:paraId="638E04D5">
      <w:pPr>
        <w:spacing w:line="360" w:lineRule="auto"/>
        <w:rPr>
          <w:kern w:val="13"/>
          <w:szCs w:val="21"/>
        </w:rPr>
      </w:pPr>
      <w:r>
        <w:rPr>
          <w:rFonts w:hint="eastAsia"/>
          <w:kern w:val="13"/>
          <w:szCs w:val="21"/>
          <w:lang w:val="en-US"/>
        </w:rPr>
        <w:t>6.</w:t>
      </w:r>
      <w:r>
        <w:rPr>
          <w:rFonts w:hint="eastAsia"/>
          <w:kern w:val="13"/>
          <w:szCs w:val="21"/>
        </w:rPr>
        <w:t>En cas d'infraction grave commise par la Partie B, ou si le nombre cumulé d'infractions est tel qu'il met en péril la sécurité du projet et empêche l'exécution normale du contrat, la Partie A a le droit de résilier le contrat.</w:t>
      </w:r>
    </w:p>
    <w:p w14:paraId="5A5C395E">
      <w:pPr>
        <w:spacing w:line="360" w:lineRule="auto"/>
        <w:rPr>
          <w:kern w:val="13"/>
          <w:szCs w:val="21"/>
        </w:rPr>
      </w:pPr>
      <w:r>
        <w:rPr>
          <w:rFonts w:hint="eastAsia"/>
          <w:kern w:val="13"/>
          <w:szCs w:val="21"/>
          <w:lang w:val="en-US"/>
        </w:rPr>
        <w:t>7.</w:t>
      </w:r>
      <w:r>
        <w:rPr>
          <w:rFonts w:hint="eastAsia"/>
          <w:kern w:val="13"/>
          <w:szCs w:val="21"/>
        </w:rPr>
        <w:t>La Partie A met en œuvre une « liste noire » pour les entreprises contractantes. Si le nombre cumulé d'infractions individuelles commises par le personnel d'un entrepreneur atteint un certain pourcentage de son effectif total, ou si des événements relevant des objectifs de contrôle de sécurité du contrat ou du protocole de sécurité surviennent, ou en cas de refus de se conformer à la supervision et au contrôle de la sécurité, l'entreprise contractante sera inscrite sur cette « liste noire ».</w:t>
      </w:r>
    </w:p>
    <w:p w14:paraId="1F11AAC2">
      <w:pPr>
        <w:spacing w:line="360" w:lineRule="auto"/>
        <w:rPr>
          <w:kern w:val="13"/>
          <w:szCs w:val="21"/>
        </w:rPr>
      </w:pPr>
      <w:r>
        <w:rPr>
          <w:rFonts w:hint="eastAsia"/>
          <w:kern w:val="13"/>
          <w:szCs w:val="21"/>
          <w:lang w:val="en-US"/>
        </w:rPr>
        <w:t>8.</w:t>
      </w:r>
      <w:r>
        <w:rPr>
          <w:rFonts w:hint="eastAsia"/>
          <w:kern w:val="13"/>
          <w:szCs w:val="21"/>
        </w:rPr>
        <w:t>Dans l'exercice de ses responsabilités de supervision de la sécurité, si la Partie A constate que la Partie B adopte un comportement présentant un risque majeur pour la sécurité des personnes ou des équipements, elle a le droit d'émettre un ordre d'arrêt des travaux pour correction et d'effectuer l'évaluation correspondante.</w:t>
      </w:r>
    </w:p>
    <w:p w14:paraId="03D0A5A1">
      <w:pPr>
        <w:spacing w:line="360" w:lineRule="auto"/>
        <w:rPr>
          <w:kern w:val="13"/>
          <w:szCs w:val="21"/>
        </w:rPr>
      </w:pPr>
      <w:r>
        <w:rPr>
          <w:rFonts w:hint="eastAsia"/>
          <w:kern w:val="13"/>
          <w:szCs w:val="21"/>
          <w:lang w:val="en-US"/>
        </w:rPr>
        <w:t>9.</w:t>
      </w:r>
      <w:r>
        <w:rPr>
          <w:rFonts w:hint="eastAsia"/>
          <w:kern w:val="13"/>
          <w:szCs w:val="21"/>
        </w:rPr>
        <w:t>Si la Partie B est évaluée comme non qualifiée par la Partie A en raison de comportements inappropriés ou d'une mauvaise gestion, ou si son contrat est résilié, entraînant son inscription sur la « liste noire », il lui sera interdit de soumissionner pour des travaux au sein de l'entreprise.</w:t>
      </w:r>
    </w:p>
    <w:p w14:paraId="766EBA19">
      <w:pPr>
        <w:spacing w:line="360" w:lineRule="auto"/>
        <w:rPr>
          <w:kern w:val="13"/>
          <w:szCs w:val="21"/>
        </w:rPr>
      </w:pPr>
      <w:r>
        <w:rPr>
          <w:rFonts w:hint="eastAsia"/>
          <w:kern w:val="13"/>
          <w:szCs w:val="21"/>
          <w:lang w:val="en-US"/>
        </w:rPr>
        <w:t>10.</w:t>
      </w:r>
      <w:r>
        <w:rPr>
          <w:rFonts w:hint="eastAsia"/>
          <w:kern w:val="13"/>
          <w:szCs w:val="21"/>
        </w:rPr>
        <w:t>En cas d'accident de production, conformément aux décisions de traitement pertinentes et au « Règlement sur la gestion de la sécurité des entrepreneurs » de la Partie A, les responsables de l'accident feront l'objet d'une évaluation appropriée. Parallèlement, la Partie A a le droit de résilier le contrat unilatéralement, d'inscrire l'entrepreneur sur la « liste noire » et d'exiger son expulsion du site.</w:t>
      </w:r>
    </w:p>
    <w:p w14:paraId="10E63C28">
      <w:pPr>
        <w:spacing w:line="360" w:lineRule="auto"/>
        <w:rPr>
          <w:kern w:val="13"/>
          <w:szCs w:val="21"/>
        </w:rPr>
      </w:pPr>
      <w:r>
        <w:rPr>
          <w:rFonts w:hint="eastAsia"/>
          <w:kern w:val="13"/>
          <w:szCs w:val="21"/>
          <w:lang w:val="en-US"/>
        </w:rPr>
        <w:t>11.</w:t>
      </w:r>
      <w:r>
        <w:rPr>
          <w:rFonts w:hint="eastAsia"/>
          <w:kern w:val="13"/>
          <w:szCs w:val="21"/>
        </w:rPr>
        <w:t>Si la Partie B est dans l'incapacité de payer les amendes pour accident ou d'assumer sa responsabilité indemnitaire suite à un accident de production, la Partie A a le droit de déduire les montants correspondants du montant du contrat.</w:t>
      </w:r>
    </w:p>
    <w:p w14:paraId="6B9E93BC">
      <w:pPr>
        <w:spacing w:line="360" w:lineRule="auto"/>
        <w:rPr>
          <w:kern w:val="13"/>
          <w:szCs w:val="21"/>
        </w:rPr>
      </w:pPr>
      <w:r>
        <w:rPr>
          <w:rFonts w:hint="eastAsia"/>
          <w:kern w:val="13"/>
          <w:szCs w:val="21"/>
          <w:lang w:val="en-US"/>
        </w:rPr>
        <w:t>12.</w:t>
      </w:r>
      <w:r>
        <w:rPr>
          <w:rFonts w:hint="eastAsia"/>
          <w:kern w:val="13"/>
          <w:szCs w:val="21"/>
        </w:rPr>
        <w:t>En cas d'infraction mineure, relativement grave ou grave commise par le personnel de la Partie B, si la Partie A demande des corrections et que la Partie B tarde à les mettre en œuvre conformément aux exigences, la Partie A a le droit d'imposer une sanction de 1 000 RMB au responsable concerné de l'entrepreneur et d'ordonner une correction immédiate ; si l'infraction est susceptible de provoquer un accident, la sanction sera de 3 000 RMB pour le responsable concerné. Parallèlement, une sanction solidaire de 3 000 RMB ou 5 000 RMB sera infligée au responsable de l'entrepreneur. Les amendes seront déduites du montant du contrat.</w:t>
      </w:r>
    </w:p>
    <w:p w14:paraId="3D967EE5">
      <w:pPr>
        <w:spacing w:line="360" w:lineRule="auto"/>
        <w:rPr>
          <w:kern w:val="13"/>
          <w:szCs w:val="21"/>
        </w:rPr>
      </w:pPr>
      <w:r>
        <w:rPr>
          <w:rFonts w:hint="eastAsia"/>
          <w:kern w:val="13"/>
          <w:szCs w:val="21"/>
          <w:lang w:val="en-US"/>
        </w:rPr>
        <w:t>13.</w:t>
      </w:r>
      <w:r>
        <w:rPr>
          <w:rFonts w:hint="eastAsia"/>
          <w:kern w:val="13"/>
          <w:szCs w:val="21"/>
        </w:rPr>
        <w:t>En cas d'accident imputable à la Partie B sur les sites de la Partie A entraînant des blessures légères ou graves, les amendes seront déduites du montant du contrat. Si le montant total du contrat est insuffisant, un recours légal sera engagé. Les sanctions applicables au personnel concerné de la Partie B seront appliquées conformément au « Règlement sur la gestion de la sécurité des entrepreneurs » de la Partie A.</w:t>
      </w:r>
    </w:p>
    <w:p w14:paraId="518EEABC">
      <w:pPr>
        <w:spacing w:line="360" w:lineRule="auto"/>
        <w:rPr>
          <w:kern w:val="13"/>
          <w:szCs w:val="21"/>
        </w:rPr>
      </w:pPr>
      <w:r>
        <w:rPr>
          <w:rFonts w:hint="eastAsia"/>
          <w:kern w:val="13"/>
          <w:szCs w:val="21"/>
          <w:lang w:val="en-US"/>
        </w:rPr>
        <w:t>14.</w:t>
      </w:r>
      <w:r>
        <w:rPr>
          <w:rFonts w:hint="eastAsia"/>
          <w:kern w:val="13"/>
          <w:szCs w:val="21"/>
        </w:rPr>
        <w:t>Les accidents tels que les incendies, accidents de la circulation, etc., seront traités conformément aux dispositions correspondantes du système de classification des accidents de la Partie A.</w:t>
      </w:r>
    </w:p>
    <w:p w14:paraId="72D01C70">
      <w:pPr>
        <w:spacing w:line="360" w:lineRule="auto"/>
        <w:rPr>
          <w:kern w:val="13"/>
          <w:szCs w:val="21"/>
        </w:rPr>
      </w:pPr>
      <w:r>
        <w:rPr>
          <w:rFonts w:hint="eastAsia"/>
          <w:kern w:val="13"/>
          <w:szCs w:val="21"/>
          <w:lang w:val="en-US"/>
        </w:rPr>
        <w:t>15.</w:t>
      </w:r>
      <w:r>
        <w:rPr>
          <w:rFonts w:hint="eastAsia"/>
          <w:kern w:val="13"/>
          <w:szCs w:val="21"/>
        </w:rPr>
        <w:t>En cas de divergence entre les exigences de gestion de la sécurité stipulées dans les clauses du contrat du projet et les dispositions du présent protocole, les dispositions du présent protocole prévaudront.(FIN DU TEXTE)</w:t>
      </w:r>
    </w:p>
    <w:p w14:paraId="34DFF557">
      <w:pPr>
        <w:rPr>
          <w:kern w:val="13"/>
          <w:szCs w:val="21"/>
        </w:rPr>
      </w:pPr>
    </w:p>
    <w:p w14:paraId="0ED3DFCD">
      <w:pPr>
        <w:spacing w:line="360" w:lineRule="auto"/>
        <w:rPr>
          <w:kern w:val="13"/>
          <w:szCs w:val="21"/>
        </w:rPr>
      </w:pPr>
    </w:p>
    <w:p w14:paraId="713D831A">
      <w:pPr>
        <w:spacing w:line="360" w:lineRule="auto"/>
        <w:rPr>
          <w:kern w:val="13"/>
          <w:szCs w:val="21"/>
        </w:rPr>
      </w:pPr>
    </w:p>
    <w:p w14:paraId="5FDB6F29">
      <w:pPr>
        <w:spacing w:line="360" w:lineRule="auto"/>
        <w:rPr>
          <w:kern w:val="13"/>
          <w:szCs w:val="21"/>
        </w:rPr>
      </w:pPr>
    </w:p>
    <w:p w14:paraId="00445556">
      <w:pPr>
        <w:spacing w:line="360" w:lineRule="auto"/>
        <w:rPr>
          <w:kern w:val="13"/>
          <w:szCs w:val="21"/>
        </w:rPr>
      </w:pPr>
    </w:p>
    <w:p w14:paraId="588A64C3">
      <w:pPr>
        <w:spacing w:line="360" w:lineRule="auto"/>
        <w:rPr>
          <w:kern w:val="13"/>
          <w:szCs w:val="21"/>
        </w:rPr>
      </w:pPr>
    </w:p>
    <w:p w14:paraId="5048603C">
      <w:pPr>
        <w:spacing w:line="360" w:lineRule="auto"/>
        <w:rPr>
          <w:kern w:val="13"/>
          <w:szCs w:val="21"/>
        </w:rPr>
      </w:pPr>
    </w:p>
    <w:p w14:paraId="03A0CC65">
      <w:pPr>
        <w:spacing w:line="360" w:lineRule="auto"/>
        <w:rPr>
          <w:kern w:val="13"/>
          <w:szCs w:val="21"/>
        </w:rPr>
      </w:pPr>
    </w:p>
    <w:p w14:paraId="4ACDF610">
      <w:pPr>
        <w:spacing w:line="360" w:lineRule="auto"/>
        <w:rPr>
          <w:kern w:val="13"/>
          <w:szCs w:val="21"/>
        </w:rPr>
      </w:pPr>
    </w:p>
    <w:p w14:paraId="5A65A691">
      <w:pPr>
        <w:spacing w:line="360" w:lineRule="auto"/>
        <w:rPr>
          <w:kern w:val="13"/>
          <w:szCs w:val="21"/>
        </w:rPr>
      </w:pPr>
    </w:p>
    <w:p w14:paraId="08B3F1F4">
      <w:pPr>
        <w:spacing w:line="360" w:lineRule="auto"/>
        <w:rPr>
          <w:kern w:val="13"/>
          <w:szCs w:val="21"/>
        </w:rPr>
      </w:pPr>
    </w:p>
    <w:p w14:paraId="7A55D8FB">
      <w:pPr>
        <w:spacing w:line="360" w:lineRule="auto"/>
        <w:rPr>
          <w:kern w:val="13"/>
          <w:szCs w:val="21"/>
        </w:rPr>
      </w:pPr>
    </w:p>
    <w:p w14:paraId="4A720FFE">
      <w:pPr>
        <w:spacing w:line="360" w:lineRule="auto"/>
        <w:rPr>
          <w:kern w:val="13"/>
          <w:szCs w:val="21"/>
        </w:rPr>
      </w:pPr>
    </w:p>
    <w:p w14:paraId="14DC5207">
      <w:pPr>
        <w:spacing w:line="360" w:lineRule="auto"/>
        <w:rPr>
          <w:kern w:val="13"/>
          <w:szCs w:val="21"/>
        </w:rPr>
      </w:pPr>
    </w:p>
    <w:p w14:paraId="63438658">
      <w:pPr>
        <w:spacing w:line="360" w:lineRule="auto"/>
        <w:rPr>
          <w:kern w:val="13"/>
          <w:szCs w:val="21"/>
        </w:rPr>
      </w:pPr>
    </w:p>
    <w:p w14:paraId="3085D9D4">
      <w:pPr>
        <w:spacing w:line="360" w:lineRule="auto"/>
        <w:rPr>
          <w:kern w:val="13"/>
          <w:szCs w:val="21"/>
        </w:rPr>
      </w:pPr>
    </w:p>
    <w:p w14:paraId="1A025729">
      <w:pPr>
        <w:spacing w:line="360" w:lineRule="auto"/>
        <w:rPr>
          <w:kern w:val="13"/>
          <w:szCs w:val="21"/>
        </w:rPr>
      </w:pPr>
    </w:p>
    <w:p w14:paraId="66D67BC3">
      <w:pPr>
        <w:spacing w:line="360" w:lineRule="auto"/>
        <w:rPr>
          <w:kern w:val="13"/>
          <w:szCs w:val="21"/>
        </w:rPr>
      </w:pPr>
    </w:p>
    <w:p w14:paraId="4D56C6B3">
      <w:pPr>
        <w:spacing w:line="360" w:lineRule="auto"/>
        <w:rPr>
          <w:kern w:val="13"/>
          <w:szCs w:val="21"/>
        </w:rPr>
      </w:pPr>
    </w:p>
    <w:p w14:paraId="15119939">
      <w:pPr>
        <w:spacing w:line="360" w:lineRule="auto"/>
        <w:rPr>
          <w:kern w:val="13"/>
          <w:szCs w:val="21"/>
        </w:rPr>
      </w:pPr>
    </w:p>
    <w:p w14:paraId="5F2FCB2A">
      <w:pPr>
        <w:spacing w:line="360" w:lineRule="auto"/>
        <w:rPr>
          <w:kern w:val="13"/>
          <w:szCs w:val="21"/>
        </w:rPr>
      </w:pPr>
    </w:p>
    <w:p w14:paraId="4791F195">
      <w:pPr>
        <w:spacing w:line="360" w:lineRule="auto"/>
        <w:rPr>
          <w:kern w:val="13"/>
          <w:szCs w:val="21"/>
        </w:rPr>
      </w:pPr>
    </w:p>
    <w:p w14:paraId="44EDCD7A">
      <w:pPr>
        <w:spacing w:line="360" w:lineRule="auto"/>
        <w:rPr>
          <w:kern w:val="13"/>
          <w:szCs w:val="21"/>
        </w:rPr>
      </w:pPr>
    </w:p>
    <w:p w14:paraId="71F08DD2">
      <w:pPr>
        <w:spacing w:line="360" w:lineRule="auto"/>
        <w:rPr>
          <w:kern w:val="13"/>
          <w:szCs w:val="21"/>
        </w:rPr>
      </w:pPr>
    </w:p>
    <w:p w14:paraId="347D9C96">
      <w:pPr>
        <w:spacing w:line="360" w:lineRule="auto"/>
        <w:rPr>
          <w:kern w:val="13"/>
          <w:szCs w:val="21"/>
        </w:rPr>
      </w:pPr>
    </w:p>
    <w:p w14:paraId="51ED0487">
      <w:pPr>
        <w:spacing w:line="360" w:lineRule="auto"/>
        <w:rPr>
          <w:b/>
          <w:kern w:val="0"/>
          <w:sz w:val="24"/>
          <w:szCs w:val="24"/>
        </w:rPr>
      </w:pPr>
      <w:r>
        <w:rPr>
          <w:b/>
          <w:kern w:val="0"/>
          <w:sz w:val="24"/>
          <w:szCs w:val="24"/>
        </w:rPr>
        <w:t xml:space="preserve">Annexe </w:t>
      </w:r>
      <w:r>
        <w:rPr>
          <w:rFonts w:hint="eastAsia"/>
          <w:b/>
          <w:kern w:val="0"/>
          <w:sz w:val="24"/>
          <w:szCs w:val="24"/>
        </w:rPr>
        <w:t>3</w:t>
      </w:r>
    </w:p>
    <w:p w14:paraId="0CD38750">
      <w:pPr>
        <w:keepNext/>
        <w:widowControl/>
        <w:autoSpaceDE w:val="0"/>
        <w:autoSpaceDN w:val="0"/>
        <w:spacing w:line="360" w:lineRule="auto"/>
        <w:jc w:val="left"/>
        <w:outlineLvl w:val="0"/>
        <w:rPr>
          <w:b/>
          <w:kern w:val="0"/>
          <w:sz w:val="24"/>
          <w:szCs w:val="24"/>
        </w:rPr>
      </w:pPr>
      <w:r>
        <w:rPr>
          <w:rFonts w:hint="eastAsia"/>
          <w:b/>
          <w:kern w:val="0"/>
          <w:sz w:val="24"/>
          <w:szCs w:val="24"/>
        </w:rPr>
        <w:t>合同附件3：</w:t>
      </w:r>
    </w:p>
    <w:p w14:paraId="29FABA7E">
      <w:pPr>
        <w:tabs>
          <w:tab w:val="left" w:pos="482"/>
        </w:tabs>
        <w:spacing w:line="360" w:lineRule="auto"/>
        <w:ind w:firstLine="422" w:firstLineChars="200"/>
        <w:jc w:val="center"/>
        <w:rPr>
          <w:bCs/>
          <w:szCs w:val="21"/>
        </w:rPr>
      </w:pPr>
      <w:r>
        <w:rPr>
          <w:rFonts w:hint="eastAsia"/>
          <w:b/>
          <w:bCs/>
          <w:szCs w:val="21"/>
        </w:rPr>
        <w:t>廉洁协议</w:t>
      </w:r>
      <w:r>
        <w:rPr>
          <w:rFonts w:hint="eastAsia"/>
          <w:b/>
          <w:bCs/>
          <w:szCs w:val="21"/>
          <w:lang w:val="en-US"/>
        </w:rPr>
        <w:t>书</w:t>
      </w:r>
    </w:p>
    <w:p w14:paraId="12D1309E">
      <w:pPr>
        <w:tabs>
          <w:tab w:val="left" w:pos="482"/>
        </w:tabs>
        <w:spacing w:line="360" w:lineRule="auto"/>
        <w:ind w:firstLine="422" w:firstLineChars="200"/>
        <w:jc w:val="center"/>
        <w:rPr>
          <w:bCs/>
          <w:szCs w:val="21"/>
        </w:rPr>
      </w:pPr>
      <w:r>
        <w:rPr>
          <w:b/>
          <w:bCs/>
          <w:szCs w:val="21"/>
        </w:rPr>
        <w:t>Accord d’intégrité</w:t>
      </w:r>
    </w:p>
    <w:p w14:paraId="7E42E3C1">
      <w:pPr>
        <w:spacing w:line="360" w:lineRule="auto"/>
        <w:ind w:firstLine="420" w:firstLineChars="200"/>
        <w:rPr>
          <w:szCs w:val="21"/>
        </w:rPr>
      </w:pPr>
      <w:r>
        <w:rPr>
          <w:szCs w:val="21"/>
        </w:rPr>
        <w:t>甲方：</w:t>
      </w:r>
    </w:p>
    <w:p w14:paraId="67285274">
      <w:pPr>
        <w:spacing w:line="360" w:lineRule="auto"/>
        <w:ind w:firstLine="420" w:firstLineChars="200"/>
        <w:rPr>
          <w:szCs w:val="21"/>
        </w:rPr>
      </w:pPr>
      <w:r>
        <w:rPr>
          <w:szCs w:val="21"/>
        </w:rPr>
        <w:t>统一社会信用代码：</w:t>
      </w:r>
    </w:p>
    <w:p w14:paraId="10F02959">
      <w:pPr>
        <w:spacing w:line="360" w:lineRule="auto"/>
        <w:ind w:firstLine="420" w:firstLineChars="200"/>
        <w:rPr>
          <w:szCs w:val="21"/>
        </w:rPr>
      </w:pPr>
      <w:r>
        <w:rPr>
          <w:szCs w:val="21"/>
        </w:rPr>
        <w:t>法定代表人：</w:t>
      </w:r>
    </w:p>
    <w:p w14:paraId="686F02D0">
      <w:pPr>
        <w:spacing w:line="360" w:lineRule="auto"/>
        <w:ind w:firstLine="420" w:firstLineChars="200"/>
        <w:rPr>
          <w:szCs w:val="21"/>
        </w:rPr>
      </w:pPr>
      <w:r>
        <w:rPr>
          <w:szCs w:val="21"/>
        </w:rPr>
        <w:t>地址：</w:t>
      </w:r>
    </w:p>
    <w:p w14:paraId="05CBCA58">
      <w:pPr>
        <w:spacing w:line="360" w:lineRule="auto"/>
        <w:ind w:firstLine="420" w:firstLineChars="200"/>
        <w:rPr>
          <w:szCs w:val="21"/>
        </w:rPr>
      </w:pPr>
      <w:r>
        <w:rPr>
          <w:szCs w:val="21"/>
        </w:rPr>
        <w:t>联系电话：</w:t>
      </w:r>
    </w:p>
    <w:p w14:paraId="761E5135">
      <w:pPr>
        <w:spacing w:line="360" w:lineRule="auto"/>
        <w:ind w:firstLine="420" w:firstLineChars="200"/>
        <w:rPr>
          <w:szCs w:val="21"/>
        </w:rPr>
      </w:pPr>
      <w:r>
        <w:rPr>
          <w:szCs w:val="21"/>
        </w:rPr>
        <w:t>Partie A</w:t>
      </w:r>
      <w:r>
        <w:rPr>
          <w:rFonts w:hint="eastAsia"/>
          <w:szCs w:val="21"/>
        </w:rPr>
        <w:t xml:space="preserve"> </w:t>
      </w:r>
      <w:r>
        <w:rPr>
          <w:szCs w:val="21"/>
        </w:rPr>
        <w:t xml:space="preserve">: </w:t>
      </w:r>
    </w:p>
    <w:p w14:paraId="041E43C9">
      <w:pPr>
        <w:spacing w:line="360" w:lineRule="auto"/>
        <w:ind w:firstLine="420" w:firstLineChars="200"/>
        <w:rPr>
          <w:szCs w:val="21"/>
        </w:rPr>
      </w:pPr>
      <w:r>
        <w:rPr>
          <w:szCs w:val="21"/>
        </w:rPr>
        <w:t>Code de crédit social unifié</w:t>
      </w:r>
      <w:r>
        <w:rPr>
          <w:rFonts w:hint="eastAsia"/>
          <w:szCs w:val="21"/>
        </w:rPr>
        <w:t xml:space="preserve"> </w:t>
      </w:r>
      <w:r>
        <w:rPr>
          <w:szCs w:val="21"/>
        </w:rPr>
        <w:t xml:space="preserve">: </w:t>
      </w:r>
    </w:p>
    <w:p w14:paraId="181B2E4B">
      <w:pPr>
        <w:spacing w:line="360" w:lineRule="auto"/>
        <w:ind w:firstLine="420" w:firstLineChars="200"/>
        <w:rPr>
          <w:szCs w:val="21"/>
        </w:rPr>
      </w:pPr>
      <w:r>
        <w:rPr>
          <w:szCs w:val="21"/>
        </w:rPr>
        <w:t>Représentant légal</w:t>
      </w:r>
      <w:r>
        <w:rPr>
          <w:rFonts w:hint="eastAsia"/>
          <w:szCs w:val="21"/>
        </w:rPr>
        <w:t xml:space="preserve"> </w:t>
      </w:r>
      <w:r>
        <w:rPr>
          <w:szCs w:val="21"/>
        </w:rPr>
        <w:t>:</w:t>
      </w:r>
    </w:p>
    <w:p w14:paraId="65CBB688">
      <w:pPr>
        <w:spacing w:line="360" w:lineRule="auto"/>
        <w:ind w:firstLine="420" w:firstLineChars="200"/>
        <w:rPr>
          <w:szCs w:val="21"/>
        </w:rPr>
      </w:pPr>
      <w:r>
        <w:rPr>
          <w:szCs w:val="21"/>
        </w:rPr>
        <w:t>Adresse</w:t>
      </w:r>
      <w:r>
        <w:rPr>
          <w:rFonts w:hint="eastAsia"/>
          <w:szCs w:val="21"/>
        </w:rPr>
        <w:t xml:space="preserve"> </w:t>
      </w:r>
      <w:r>
        <w:rPr>
          <w:szCs w:val="21"/>
        </w:rPr>
        <w:t>:</w:t>
      </w:r>
    </w:p>
    <w:p w14:paraId="53265D97">
      <w:pPr>
        <w:spacing w:line="360" w:lineRule="auto"/>
        <w:ind w:firstLine="420" w:firstLineChars="200"/>
        <w:rPr>
          <w:szCs w:val="21"/>
        </w:rPr>
      </w:pPr>
      <w:r>
        <w:rPr>
          <w:szCs w:val="21"/>
        </w:rPr>
        <w:t>Téléphone de contact</w:t>
      </w:r>
      <w:r>
        <w:rPr>
          <w:rFonts w:hint="eastAsia"/>
          <w:szCs w:val="21"/>
        </w:rPr>
        <w:t xml:space="preserve"> </w:t>
      </w:r>
      <w:r>
        <w:rPr>
          <w:szCs w:val="21"/>
        </w:rPr>
        <w:t>:</w:t>
      </w:r>
    </w:p>
    <w:p w14:paraId="01E15010">
      <w:pPr>
        <w:spacing w:line="360" w:lineRule="auto"/>
        <w:ind w:firstLine="420" w:firstLineChars="200"/>
        <w:rPr>
          <w:szCs w:val="21"/>
        </w:rPr>
      </w:pPr>
    </w:p>
    <w:p w14:paraId="3BC91FFF">
      <w:pPr>
        <w:spacing w:line="360" w:lineRule="auto"/>
        <w:ind w:firstLine="420" w:firstLineChars="200"/>
        <w:rPr>
          <w:szCs w:val="21"/>
        </w:rPr>
      </w:pPr>
      <w:r>
        <w:rPr>
          <w:szCs w:val="21"/>
        </w:rPr>
        <w:t>乙方：</w:t>
      </w:r>
    </w:p>
    <w:p w14:paraId="2DDD5D98">
      <w:pPr>
        <w:spacing w:line="360" w:lineRule="auto"/>
        <w:ind w:firstLine="420" w:firstLineChars="200"/>
        <w:rPr>
          <w:szCs w:val="21"/>
        </w:rPr>
      </w:pPr>
      <w:r>
        <w:rPr>
          <w:szCs w:val="21"/>
        </w:rPr>
        <w:t>统一社会信用代码：</w:t>
      </w:r>
    </w:p>
    <w:p w14:paraId="205C668A">
      <w:pPr>
        <w:spacing w:line="360" w:lineRule="auto"/>
        <w:ind w:firstLine="420" w:firstLineChars="200"/>
        <w:rPr>
          <w:szCs w:val="21"/>
        </w:rPr>
      </w:pPr>
      <w:r>
        <w:rPr>
          <w:szCs w:val="21"/>
        </w:rPr>
        <w:t>法定代表人：</w:t>
      </w:r>
    </w:p>
    <w:p w14:paraId="13D67934">
      <w:pPr>
        <w:spacing w:line="360" w:lineRule="auto"/>
        <w:ind w:firstLine="420" w:firstLineChars="200"/>
        <w:rPr>
          <w:szCs w:val="21"/>
        </w:rPr>
      </w:pPr>
      <w:r>
        <w:rPr>
          <w:szCs w:val="21"/>
        </w:rPr>
        <w:t>地址：</w:t>
      </w:r>
    </w:p>
    <w:p w14:paraId="25F474CB">
      <w:pPr>
        <w:spacing w:line="360" w:lineRule="auto"/>
        <w:ind w:firstLine="420" w:firstLineChars="200"/>
        <w:rPr>
          <w:szCs w:val="21"/>
        </w:rPr>
      </w:pPr>
      <w:r>
        <w:rPr>
          <w:szCs w:val="21"/>
        </w:rPr>
        <w:t>联系电话：</w:t>
      </w:r>
    </w:p>
    <w:p w14:paraId="2E314C5D">
      <w:pPr>
        <w:spacing w:line="360" w:lineRule="auto"/>
        <w:ind w:firstLine="420" w:firstLineChars="200"/>
        <w:rPr>
          <w:szCs w:val="21"/>
        </w:rPr>
      </w:pPr>
      <w:r>
        <w:rPr>
          <w:szCs w:val="21"/>
        </w:rPr>
        <w:t>Partie B:</w:t>
      </w:r>
    </w:p>
    <w:p w14:paraId="344B639A">
      <w:pPr>
        <w:spacing w:line="360" w:lineRule="auto"/>
        <w:ind w:firstLine="420" w:firstLineChars="200"/>
        <w:rPr>
          <w:szCs w:val="21"/>
        </w:rPr>
      </w:pPr>
      <w:r>
        <w:rPr>
          <w:szCs w:val="21"/>
        </w:rPr>
        <w:t>Code de crédit social unifié</w:t>
      </w:r>
      <w:r>
        <w:rPr>
          <w:rFonts w:hint="eastAsia"/>
          <w:szCs w:val="21"/>
        </w:rPr>
        <w:t xml:space="preserve"> </w:t>
      </w:r>
      <w:r>
        <w:rPr>
          <w:szCs w:val="21"/>
        </w:rPr>
        <w:t>:</w:t>
      </w:r>
    </w:p>
    <w:p w14:paraId="4B38E04A">
      <w:pPr>
        <w:spacing w:line="360" w:lineRule="auto"/>
        <w:ind w:firstLine="420" w:firstLineChars="200"/>
        <w:rPr>
          <w:szCs w:val="21"/>
        </w:rPr>
      </w:pPr>
      <w:r>
        <w:rPr>
          <w:szCs w:val="21"/>
        </w:rPr>
        <w:t>Représentant légal</w:t>
      </w:r>
      <w:r>
        <w:rPr>
          <w:rFonts w:hint="eastAsia"/>
          <w:szCs w:val="21"/>
        </w:rPr>
        <w:t xml:space="preserve"> </w:t>
      </w:r>
      <w:r>
        <w:rPr>
          <w:szCs w:val="21"/>
        </w:rPr>
        <w:t>:</w:t>
      </w:r>
    </w:p>
    <w:p w14:paraId="60014C73">
      <w:pPr>
        <w:spacing w:line="360" w:lineRule="auto"/>
        <w:ind w:firstLine="420" w:firstLineChars="200"/>
        <w:rPr>
          <w:szCs w:val="21"/>
        </w:rPr>
      </w:pPr>
      <w:r>
        <w:rPr>
          <w:szCs w:val="21"/>
        </w:rPr>
        <w:t>Adresse</w:t>
      </w:r>
      <w:r>
        <w:rPr>
          <w:rFonts w:hint="eastAsia"/>
          <w:szCs w:val="21"/>
        </w:rPr>
        <w:t xml:space="preserve"> </w:t>
      </w:r>
      <w:r>
        <w:rPr>
          <w:szCs w:val="21"/>
        </w:rPr>
        <w:t>:</w:t>
      </w:r>
    </w:p>
    <w:p w14:paraId="2CDEC240">
      <w:pPr>
        <w:spacing w:line="360" w:lineRule="auto"/>
        <w:ind w:firstLine="420" w:firstLineChars="200"/>
        <w:rPr>
          <w:szCs w:val="21"/>
        </w:rPr>
      </w:pPr>
      <w:r>
        <w:rPr>
          <w:szCs w:val="21"/>
        </w:rPr>
        <w:t>Téléphone de contact</w:t>
      </w:r>
      <w:r>
        <w:rPr>
          <w:rFonts w:hint="eastAsia"/>
          <w:szCs w:val="21"/>
        </w:rPr>
        <w:t xml:space="preserve"> </w:t>
      </w:r>
      <w:r>
        <w:rPr>
          <w:szCs w:val="21"/>
        </w:rPr>
        <w:t>:</w:t>
      </w:r>
    </w:p>
    <w:p w14:paraId="78CEEF5B">
      <w:pPr>
        <w:spacing w:line="360" w:lineRule="auto"/>
        <w:ind w:firstLine="420" w:firstLineChars="200"/>
        <w:rPr>
          <w:szCs w:val="21"/>
        </w:rPr>
      </w:pPr>
    </w:p>
    <w:p w14:paraId="35C17BA8">
      <w:pPr>
        <w:spacing w:line="360" w:lineRule="auto"/>
        <w:ind w:firstLine="420" w:firstLineChars="200"/>
        <w:rPr>
          <w:szCs w:val="21"/>
        </w:rPr>
      </w:pPr>
      <w:r>
        <w:rPr>
          <w:szCs w:val="21"/>
        </w:rPr>
        <w:t>以上甲方、乙方单独称为“一方”，合称“双方”。</w:t>
      </w:r>
    </w:p>
    <w:p w14:paraId="5AB1B0C6">
      <w:pPr>
        <w:spacing w:line="360" w:lineRule="auto"/>
        <w:ind w:firstLine="420" w:firstLineChars="200"/>
        <w:rPr>
          <w:szCs w:val="21"/>
        </w:rPr>
      </w:pPr>
      <w:r>
        <w:rPr>
          <w:szCs w:val="21"/>
        </w:rPr>
        <w:t>本协议中所称“贿赂方”“违约方”指商业贿赂的实施方；“守约方”指商业贿 赂实施方的相对方。</w:t>
      </w:r>
    </w:p>
    <w:p w14:paraId="6DD7867A">
      <w:pPr>
        <w:spacing w:line="360" w:lineRule="auto"/>
        <w:ind w:firstLine="420" w:firstLineChars="200"/>
        <w:rPr>
          <w:szCs w:val="21"/>
        </w:rPr>
      </w:pPr>
      <w:r>
        <w:rPr>
          <w:szCs w:val="21"/>
        </w:rPr>
        <w:t>本协议所称“对方”，包括相对方公司及其子公司、分公司、关联公司及下属员工，以及与相对方公司有直接利益关系的所有单位及人员。</w:t>
      </w:r>
    </w:p>
    <w:p w14:paraId="004EDB67">
      <w:pPr>
        <w:spacing w:line="360" w:lineRule="auto"/>
        <w:ind w:firstLine="420" w:firstLineChars="200"/>
        <w:rPr>
          <w:szCs w:val="21"/>
        </w:rPr>
      </w:pPr>
      <w:r>
        <w:rPr>
          <w:szCs w:val="21"/>
        </w:rPr>
        <w:t>鉴于甲方与乙方之间形成的商业合作关系，为体现公平合理、对等互利的合作宗旨，确保甲乙双方各级从业人员遵守职业道德，廉洁守法、秉公办事，不利用职权之便谋取私利，致使合作双方蒙受损失，甲、乙双方本着诚实信用、协商一致、平等自愿的原则达成本《廉洁协议》（以下简称为“协议”），以资共同遵守。</w:t>
      </w:r>
    </w:p>
    <w:p w14:paraId="6C43B33D">
      <w:pPr>
        <w:spacing w:line="360" w:lineRule="auto"/>
        <w:ind w:firstLine="420" w:firstLineChars="200"/>
        <w:rPr>
          <w:szCs w:val="21"/>
        </w:rPr>
      </w:pPr>
      <w:r>
        <w:rPr>
          <w:szCs w:val="21"/>
        </w:rPr>
        <w:t>La Partie A et la Partie B sont individuellement désignées comme « une Partie » et collectivement comme « les Parties ».</w:t>
      </w:r>
    </w:p>
    <w:p w14:paraId="7C402D89">
      <w:pPr>
        <w:spacing w:line="360" w:lineRule="auto"/>
        <w:ind w:firstLine="420" w:firstLineChars="200"/>
        <w:rPr>
          <w:szCs w:val="21"/>
        </w:rPr>
      </w:pPr>
      <w:r>
        <w:rPr>
          <w:szCs w:val="21"/>
        </w:rPr>
        <w:t>Considérant la relation de coopération commerciale établie entre la Partie A et la Partie B, et dans le souci de matérialiser des principes de coopération équitables, raisonnables, réciproques et mutuellement bénéfiques, de garantir que les collaborateurs à tous les niveaux des deux Parties respectent l’éthique professionnelle, fassent preuve d’intégrité, se conforment à la loi, agissent impartialement et n’usent pas de leurs fonctions pour rechercher des avantages personnels au détriment des deux Parties, les Parties A et B, sur la base des principes de bonne foi, de consentement mutuel, d’égalité et de volontariat, sont convenues de conclure le présent Accord d’Intégrité (ci-après dénommé « l’Accord ») pour être dûment respectées par les deux Parties.</w:t>
      </w:r>
    </w:p>
    <w:p w14:paraId="451FCB18">
      <w:pPr>
        <w:spacing w:line="360" w:lineRule="auto"/>
        <w:ind w:firstLine="420" w:firstLineChars="200"/>
        <w:rPr>
          <w:szCs w:val="21"/>
        </w:rPr>
      </w:pPr>
      <w:r>
        <w:rPr>
          <w:szCs w:val="21"/>
        </w:rPr>
        <w:t>Les termes « Partie corruptrice » et « Partie défaillante » mentionnés dans le présent Accord désignent la Partie qui se livre à des actes de corruption commerciale. « Partie non défaillante » désigne la Partie adverse de celle qui commet de tels actes.</w:t>
      </w:r>
    </w:p>
    <w:p w14:paraId="6FBF27F7">
      <w:pPr>
        <w:spacing w:line="360" w:lineRule="auto"/>
        <w:ind w:firstLine="420" w:firstLineChars="200"/>
        <w:rPr>
          <w:szCs w:val="21"/>
        </w:rPr>
      </w:pPr>
      <w:r>
        <w:rPr>
          <w:szCs w:val="21"/>
        </w:rPr>
        <w:t>Le terme « Partie adverse » (ou « l’autre Partie ») mentionné dans le présent Accord comprend la société de l’autre Partie, ses filiales, succursales, sociétés affiliées et ses employés, ainsi que toutes les entités et personnes entretenant des relations d’intérêt direct avec ladite société.</w:t>
      </w:r>
    </w:p>
    <w:p w14:paraId="136D1D2E">
      <w:pPr>
        <w:spacing w:line="360" w:lineRule="auto"/>
        <w:ind w:firstLine="420" w:firstLineChars="200"/>
        <w:rPr>
          <w:szCs w:val="21"/>
        </w:rPr>
      </w:pPr>
      <w:r>
        <w:rPr>
          <w:szCs w:val="21"/>
        </w:rPr>
        <w:t>第一条 总则</w:t>
      </w:r>
    </w:p>
    <w:p w14:paraId="5C05174B">
      <w:pPr>
        <w:spacing w:line="360" w:lineRule="auto"/>
        <w:ind w:firstLine="420" w:firstLineChars="200"/>
        <w:rPr>
          <w:szCs w:val="21"/>
        </w:rPr>
      </w:pPr>
      <w:r>
        <w:rPr>
          <w:szCs w:val="21"/>
        </w:rPr>
        <w:t>1.双方禁止一切形式的商业贿赂。</w:t>
      </w:r>
    </w:p>
    <w:p w14:paraId="4A5B912E">
      <w:pPr>
        <w:spacing w:line="360" w:lineRule="auto"/>
        <w:ind w:firstLine="420" w:firstLineChars="200"/>
        <w:rPr>
          <w:szCs w:val="21"/>
        </w:rPr>
      </w:pPr>
      <w:r>
        <w:rPr>
          <w:szCs w:val="21"/>
        </w:rPr>
        <w:t>2.本协议所称“商业贿赂”包括但不限于：行贿、受贿以及根据法律法规规定的以其他方式收受、发放任何财物或其他利益的行为。一经发现，守约方将依法追究违约方相关法律责任，并有权要求违约方赔偿由此所致的一切损失。</w:t>
      </w:r>
    </w:p>
    <w:p w14:paraId="35DD71FF">
      <w:pPr>
        <w:spacing w:line="360" w:lineRule="auto"/>
        <w:ind w:firstLine="420" w:firstLineChars="200"/>
        <w:rPr>
          <w:szCs w:val="21"/>
        </w:rPr>
      </w:pPr>
      <w:r>
        <w:rPr>
          <w:szCs w:val="21"/>
        </w:rPr>
        <w:t>3.双方对商业贿赂的问题实行“零容忍”政策，只要有违反本协议的贿赂行为发生，不论数额的大小，不论次数的多少，不论不正当利益是否兑现，不论是否发生损害，均视为贿赂方对本协议的违反。</w:t>
      </w:r>
    </w:p>
    <w:p w14:paraId="0B6B06C7">
      <w:pPr>
        <w:spacing w:line="360" w:lineRule="auto"/>
        <w:ind w:firstLine="420" w:firstLineChars="200"/>
        <w:rPr>
          <w:szCs w:val="21"/>
        </w:rPr>
      </w:pPr>
      <w:r>
        <w:rPr>
          <w:szCs w:val="21"/>
        </w:rPr>
        <w:t>Article 1 Dispositions générales</w:t>
      </w:r>
    </w:p>
    <w:p w14:paraId="23EFAA2E">
      <w:pPr>
        <w:spacing w:line="360" w:lineRule="auto"/>
        <w:ind w:firstLine="420" w:firstLineChars="200"/>
        <w:rPr>
          <w:szCs w:val="21"/>
        </w:rPr>
      </w:pPr>
      <w:r>
        <w:rPr>
          <w:szCs w:val="21"/>
        </w:rPr>
        <w:t>Toute forme de corruption commerciale est strictement interdite par les Parties.</w:t>
      </w:r>
    </w:p>
    <w:p w14:paraId="3C606ECB">
      <w:pPr>
        <w:spacing w:line="360" w:lineRule="auto"/>
        <w:ind w:firstLine="420" w:firstLineChars="200"/>
        <w:rPr>
          <w:szCs w:val="21"/>
        </w:rPr>
      </w:pPr>
      <w:r>
        <w:rPr>
          <w:szCs w:val="21"/>
        </w:rPr>
        <w:t>La « corruption commerciale » visée par le présent Accord comprend, sans s’y limiter, l’octroi ou la réception de pots-de-vin, ainsi que tout autre mode de réception ou de distribution de biens ou d’avantages, tel que défini par les lois et règlements applicables. Toute violation, une fois constatée, autorisera la Partie non défaillante à exiger de la Partie défaillante la réhabilitation de l’intégralité des préjudices subis et à engager contre elle toutes les poursuites légales prévues par la loi.</w:t>
      </w:r>
    </w:p>
    <w:p w14:paraId="5A87318B">
      <w:pPr>
        <w:spacing w:line="360" w:lineRule="auto"/>
        <w:ind w:firstLine="420" w:firstLineChars="200"/>
        <w:rPr>
          <w:szCs w:val="21"/>
        </w:rPr>
      </w:pPr>
      <w:r>
        <w:rPr>
          <w:szCs w:val="21"/>
        </w:rPr>
        <w:t>Les Parties appliquent une politique de « tolérance zéro » en matière de corruption commerciale. Tout acte de corruption en violation du présent Accord, quel qu’en soit le montant, la fréquence, que l’avantage indu ait été obtenu ou non, ou qu’un préjudice en soit résulté ou non, sera considéré comme une violation du présent Accord par la Partie corruptrice.</w:t>
      </w:r>
    </w:p>
    <w:p w14:paraId="0F848C7F">
      <w:pPr>
        <w:pStyle w:val="21"/>
      </w:pPr>
    </w:p>
    <w:p w14:paraId="6B0EA64C">
      <w:pPr>
        <w:spacing w:line="360" w:lineRule="auto"/>
        <w:ind w:firstLine="420" w:firstLineChars="200"/>
        <w:rPr>
          <w:szCs w:val="21"/>
        </w:rPr>
      </w:pPr>
      <w:r>
        <w:rPr>
          <w:szCs w:val="21"/>
        </w:rPr>
        <w:t>第二条 商业贿赂的对象</w:t>
      </w:r>
    </w:p>
    <w:p w14:paraId="2C0E9A5C">
      <w:pPr>
        <w:spacing w:line="360" w:lineRule="auto"/>
        <w:ind w:firstLine="420" w:firstLineChars="200"/>
        <w:rPr>
          <w:szCs w:val="21"/>
        </w:rPr>
      </w:pPr>
      <w:r>
        <w:rPr>
          <w:szCs w:val="21"/>
        </w:rPr>
        <w:t>1.本协议所称“商业贿赂”的对象包括但不限于本协议的相对方及其子公司、分公司、关联公司及下属员工，以及与相对方公司有直接利益关系的所有单位及人员。</w:t>
      </w:r>
    </w:p>
    <w:p w14:paraId="474492DD">
      <w:pPr>
        <w:spacing w:line="360" w:lineRule="auto"/>
        <w:ind w:firstLine="420" w:firstLineChars="200"/>
        <w:rPr>
          <w:szCs w:val="21"/>
        </w:rPr>
      </w:pPr>
      <w:r>
        <w:rPr>
          <w:szCs w:val="21"/>
        </w:rPr>
        <w:t>2.本协议所称“利害关系人”，若当事人为自然人的，包括但不限于该自然人的配偶、直系亲属及旁系亲属、配偶的直系亲属及旁系亲属，其他关系密切的亲属、同学、同事和朋友；若当事人为单位的，包括该单位的分支机构、代表处、母公司、子公司、控股公司、关联公司或者有投资关系、合作关系企业，以及与该单位股东及其高管有关联关系的单位和个人。</w:t>
      </w:r>
    </w:p>
    <w:p w14:paraId="2CC30127">
      <w:pPr>
        <w:spacing w:line="360" w:lineRule="auto"/>
        <w:ind w:firstLine="420" w:firstLineChars="200"/>
        <w:rPr>
          <w:szCs w:val="21"/>
        </w:rPr>
      </w:pPr>
      <w:r>
        <w:rPr>
          <w:szCs w:val="21"/>
        </w:rPr>
        <w:t>Article 2 Objets de la corruption commerciale</w:t>
      </w:r>
    </w:p>
    <w:p w14:paraId="500FF8FA">
      <w:pPr>
        <w:spacing w:line="360" w:lineRule="auto"/>
        <w:ind w:firstLine="420" w:firstLineChars="200"/>
        <w:rPr>
          <w:szCs w:val="21"/>
        </w:rPr>
      </w:pPr>
      <w:r>
        <w:rPr>
          <w:szCs w:val="21"/>
        </w:rPr>
        <w:t>Les objets de la « corruption commerciale » visée par le présent Accord comprennent, sans s’y limiter, la Partie adverse au sens de l’Accord, ses filiales, succursales, sociétés affiliées et employés, ainsi que toutes les entités et personnes entretenant des relations d’intérêt direct avec ladite société adverse.</w:t>
      </w:r>
    </w:p>
    <w:p w14:paraId="0FCF776C">
      <w:pPr>
        <w:spacing w:line="360" w:lineRule="auto"/>
        <w:ind w:firstLine="420" w:firstLineChars="200"/>
        <w:rPr>
          <w:szCs w:val="21"/>
        </w:rPr>
      </w:pPr>
      <w:r>
        <w:rPr>
          <w:szCs w:val="21"/>
        </w:rPr>
        <w:t>La notion de « Personnes ayant un lien d’intérêt » visée par le présent Accord s’entend : a) si la personne concernée est une personne physique, de son conjoint, de ses ascendants et descendants, de ses collatéraux, des ascendants, descendants et collatéraux de son conjoint, ainsi que de tout autre parent proche, camarade de classe, collègue ou ami ; b) si la personne concernée est une entité morale, de ses filiales, bureaux de représentation, société mère, sociétés sœurs, sociétés contrôlées, sociétés affiliées, ainsi que de toute entité ayant des relations d’investissement ou de coopération avec elle, et des entités ou individus liés à ses actionnaires ou à ses dirigeants.</w:t>
      </w:r>
    </w:p>
    <w:p w14:paraId="25253397">
      <w:pPr>
        <w:pStyle w:val="21"/>
      </w:pPr>
    </w:p>
    <w:p w14:paraId="1F38FB07">
      <w:pPr>
        <w:spacing w:line="360" w:lineRule="auto"/>
        <w:ind w:firstLine="420" w:firstLineChars="200"/>
        <w:rPr>
          <w:szCs w:val="21"/>
        </w:rPr>
      </w:pPr>
      <w:r>
        <w:rPr>
          <w:szCs w:val="21"/>
        </w:rPr>
        <w:t>第三条 受贿行为</w:t>
      </w:r>
    </w:p>
    <w:p w14:paraId="680306D8">
      <w:pPr>
        <w:spacing w:line="360" w:lineRule="auto"/>
        <w:ind w:firstLine="420" w:firstLineChars="200"/>
        <w:rPr>
          <w:szCs w:val="21"/>
        </w:rPr>
      </w:pPr>
      <w:r>
        <w:rPr>
          <w:szCs w:val="21"/>
        </w:rPr>
        <w:t>1.双方对受贿行为持“零容忍”态度。</w:t>
      </w:r>
    </w:p>
    <w:p w14:paraId="572A7B5D">
      <w:pPr>
        <w:spacing w:line="360" w:lineRule="auto"/>
        <w:ind w:firstLine="420" w:firstLineChars="200"/>
        <w:rPr>
          <w:szCs w:val="21"/>
        </w:rPr>
      </w:pPr>
      <w:r>
        <w:rPr>
          <w:szCs w:val="21"/>
        </w:rPr>
        <w:t>2.受贿行为是指一方利用业务、职务上的便利，索取对方财物或者非法收受对方财物，为对方谋取利益的行为。</w:t>
      </w:r>
    </w:p>
    <w:p w14:paraId="13CB7209">
      <w:pPr>
        <w:spacing w:line="360" w:lineRule="auto"/>
        <w:ind w:firstLine="420" w:firstLineChars="200"/>
        <w:rPr>
          <w:szCs w:val="21"/>
        </w:rPr>
      </w:pPr>
      <w:r>
        <w:rPr>
          <w:szCs w:val="21"/>
        </w:rPr>
        <w:t>3.双方承诺自觉遵守中国、几内亚相关法律法规、国际公约与倡议及公司有关规章制度，双方及其利害关系人不得存在以任何理由在业务洽谈、招投标、签约、合同履行等所有业务相关过程中收受、间接收受或索取任何财物或好处等的不廉洁行为。</w:t>
      </w:r>
    </w:p>
    <w:p w14:paraId="7EE26F2D">
      <w:pPr>
        <w:spacing w:line="360" w:lineRule="auto"/>
        <w:ind w:firstLine="420" w:firstLineChars="200"/>
        <w:rPr>
          <w:szCs w:val="21"/>
        </w:rPr>
      </w:pPr>
      <w:r>
        <w:rPr>
          <w:szCs w:val="21"/>
        </w:rPr>
        <w:t>Article 3 Pots-de-vin</w:t>
      </w:r>
    </w:p>
    <w:p w14:paraId="4FCFFC1F">
      <w:pPr>
        <w:spacing w:line="360" w:lineRule="auto"/>
        <w:ind w:firstLine="420" w:firstLineChars="200"/>
        <w:rPr>
          <w:szCs w:val="21"/>
        </w:rPr>
      </w:pPr>
      <w:r>
        <w:rPr>
          <w:szCs w:val="21"/>
        </w:rPr>
        <w:t>Les deux Parties affichent une attitude de « tolérance zéro » à l’égard de la réception de pots-de-vin.</w:t>
      </w:r>
    </w:p>
    <w:p w14:paraId="790804F4">
      <w:pPr>
        <w:spacing w:line="360" w:lineRule="auto"/>
        <w:ind w:firstLine="420" w:firstLineChars="200"/>
        <w:rPr>
          <w:szCs w:val="21"/>
        </w:rPr>
      </w:pPr>
      <w:r>
        <w:rPr>
          <w:szCs w:val="21"/>
        </w:rPr>
        <w:t>La réception de pots-de-vin désigne le fait, pour une Partie, d’abuser de sa position dans le cadre d’une affaire ou de ses fonctions pour solliciter ou accepter illicitement des biens ou avantages de l’autre Partie, en échange de faveurs pour cette dernière.</w:t>
      </w:r>
    </w:p>
    <w:p w14:paraId="43B300B9">
      <w:pPr>
        <w:spacing w:line="360" w:lineRule="auto"/>
        <w:ind w:firstLine="420" w:firstLineChars="200"/>
        <w:rPr>
          <w:szCs w:val="21"/>
        </w:rPr>
      </w:pPr>
      <w:r>
        <w:rPr>
          <w:szCs w:val="21"/>
        </w:rPr>
        <w:t>Les deux Parties s’engagent à respecter scrupuleusement les lois et règlements applicables en Chine et en Guinée, les conventions et initiatives internationales, ainsi que leurs règlements internes. Aucune des Parties, ni aucune Personne ayant un lien d’intérêt avec elle, ne se livrera, pour quelque raison que ce soit et à n’importe quel stade des processus afférents aux affaires (négociations, appels d’offres, signature, exécution des contrats, etc.), à des pratiques contraires à l’intégrité, telles que l’acceptation, l’acceptation indirecte ou la sollicitation de biens ou d’avantages quelconques.</w:t>
      </w:r>
    </w:p>
    <w:p w14:paraId="452F8B41">
      <w:pPr>
        <w:pStyle w:val="21"/>
      </w:pPr>
    </w:p>
    <w:p w14:paraId="4BFE127B">
      <w:pPr>
        <w:spacing w:line="360" w:lineRule="auto"/>
        <w:ind w:firstLine="420" w:firstLineChars="200"/>
        <w:rPr>
          <w:szCs w:val="21"/>
        </w:rPr>
      </w:pPr>
      <w:r>
        <w:rPr>
          <w:szCs w:val="21"/>
        </w:rPr>
        <w:t>第四条 行贿行为</w:t>
      </w:r>
    </w:p>
    <w:p w14:paraId="6D17D8AA">
      <w:pPr>
        <w:spacing w:line="360" w:lineRule="auto"/>
        <w:ind w:firstLine="420" w:firstLineChars="200"/>
        <w:rPr>
          <w:szCs w:val="21"/>
        </w:rPr>
      </w:pPr>
      <w:r>
        <w:rPr>
          <w:szCs w:val="21"/>
        </w:rPr>
        <w:t>1.双方对行贿行为持零容忍态度。</w:t>
      </w:r>
    </w:p>
    <w:p w14:paraId="46DFE5BF">
      <w:pPr>
        <w:spacing w:line="360" w:lineRule="auto"/>
        <w:ind w:firstLine="420" w:firstLineChars="200"/>
        <w:rPr>
          <w:szCs w:val="21"/>
        </w:rPr>
      </w:pPr>
      <w:r>
        <w:rPr>
          <w:szCs w:val="21"/>
        </w:rPr>
        <w:t>2.行贿行为是指一方为谋取不正当利益，给予对方财物或好处的行为。</w:t>
      </w:r>
    </w:p>
    <w:p w14:paraId="167DB11F">
      <w:pPr>
        <w:spacing w:line="360" w:lineRule="auto"/>
        <w:ind w:firstLine="420" w:firstLineChars="200"/>
        <w:rPr>
          <w:szCs w:val="21"/>
        </w:rPr>
      </w:pPr>
      <w:r>
        <w:rPr>
          <w:szCs w:val="21"/>
        </w:rPr>
        <w:t>3.双方承诺不得存在以获取业务或获取其他权益为由而向对方行贿，给予或许诺给予任何形式的好处、费用或回扣等的不廉洁行为。</w:t>
      </w:r>
    </w:p>
    <w:p w14:paraId="6F00B8D7">
      <w:pPr>
        <w:spacing w:line="360" w:lineRule="auto"/>
        <w:ind w:firstLine="420" w:firstLineChars="200"/>
        <w:rPr>
          <w:szCs w:val="21"/>
        </w:rPr>
      </w:pPr>
      <w:r>
        <w:rPr>
          <w:szCs w:val="21"/>
        </w:rPr>
        <w:t>Article 4 Actes de corruption</w:t>
      </w:r>
    </w:p>
    <w:p w14:paraId="09C0145C">
      <w:pPr>
        <w:spacing w:line="360" w:lineRule="auto"/>
        <w:ind w:firstLine="420" w:firstLineChars="200"/>
        <w:rPr>
          <w:szCs w:val="21"/>
        </w:rPr>
      </w:pPr>
      <w:r>
        <w:rPr>
          <w:szCs w:val="21"/>
        </w:rPr>
        <w:t>Les deux Parties affichent une attitude de tolérance zéro à l’égard de l’octroi de pots-de-vin.</w:t>
      </w:r>
    </w:p>
    <w:p w14:paraId="28D9B177">
      <w:pPr>
        <w:spacing w:line="360" w:lineRule="auto"/>
        <w:ind w:firstLine="420" w:firstLineChars="200"/>
        <w:rPr>
          <w:szCs w:val="21"/>
        </w:rPr>
      </w:pPr>
      <w:r>
        <w:rPr>
          <w:szCs w:val="21"/>
        </w:rPr>
        <w:t>L’octroi de pots-de-vin désigne le fait, pour une Partie, de donner ou de promettre des biens ou avantages à l’autre Partie afin d’obtenir des avantages illégitimes.</w:t>
      </w:r>
    </w:p>
    <w:p w14:paraId="4279E3DE">
      <w:pPr>
        <w:spacing w:line="360" w:lineRule="auto"/>
        <w:ind w:firstLine="420" w:firstLineChars="200"/>
        <w:rPr>
          <w:szCs w:val="21"/>
        </w:rPr>
      </w:pPr>
      <w:r>
        <w:rPr>
          <w:szCs w:val="21"/>
        </w:rPr>
        <w:t>Les Parties s’engagent à ne pas se livrer à des actes contraires à l’intégrité, tels que l’octroi de pots-de-vin, la promesse ou l’offre de quelque avantage, frais ou commission que ce soit à l’autre Partie, dans le but d’obtenir des affaires ou d’autres droits.</w:t>
      </w:r>
    </w:p>
    <w:p w14:paraId="592799FB">
      <w:pPr>
        <w:pStyle w:val="21"/>
      </w:pPr>
    </w:p>
    <w:p w14:paraId="5F4B2652">
      <w:pPr>
        <w:spacing w:line="360" w:lineRule="auto"/>
        <w:ind w:firstLine="420" w:firstLineChars="200"/>
        <w:rPr>
          <w:szCs w:val="21"/>
        </w:rPr>
      </w:pPr>
      <w:r>
        <w:rPr>
          <w:szCs w:val="21"/>
        </w:rPr>
        <w:t>第五条 廉洁义务</w:t>
      </w:r>
    </w:p>
    <w:p w14:paraId="610A0675">
      <w:pPr>
        <w:spacing w:line="360" w:lineRule="auto"/>
        <w:ind w:firstLine="420" w:firstLineChars="200"/>
        <w:rPr>
          <w:szCs w:val="21"/>
        </w:rPr>
      </w:pPr>
      <w:r>
        <w:rPr>
          <w:szCs w:val="21"/>
        </w:rPr>
        <w:t>1.一方不得要求或接受另一方的礼金、有价证券、贵重物品及回扣、好处费、感谢费等非法财物或利益；</w:t>
      </w:r>
    </w:p>
    <w:p w14:paraId="58A69B35">
      <w:pPr>
        <w:spacing w:line="360" w:lineRule="auto"/>
        <w:ind w:firstLine="420" w:firstLineChars="200"/>
        <w:rPr>
          <w:szCs w:val="21"/>
        </w:rPr>
      </w:pPr>
      <w:r>
        <w:rPr>
          <w:szCs w:val="21"/>
        </w:rPr>
        <w:t>2.一方不得要求或接受可能对公正开展业务有影响的另一方提供的回扣或其他不正当利益；</w:t>
      </w:r>
    </w:p>
    <w:p w14:paraId="0A9D1EE4">
      <w:pPr>
        <w:spacing w:line="360" w:lineRule="auto"/>
        <w:ind w:firstLine="420" w:firstLineChars="200"/>
        <w:rPr>
          <w:szCs w:val="21"/>
        </w:rPr>
      </w:pPr>
      <w:r>
        <w:rPr>
          <w:szCs w:val="21"/>
        </w:rPr>
        <w:t>3.一方不得要求或接受可能对公正开展业务有影响的宴请和娱乐活动，符合双方规章制度规定的正常商业往来活动除外；</w:t>
      </w:r>
    </w:p>
    <w:p w14:paraId="48B6D41D">
      <w:pPr>
        <w:spacing w:line="360" w:lineRule="auto"/>
        <w:ind w:firstLine="420" w:firstLineChars="200"/>
        <w:rPr>
          <w:szCs w:val="21"/>
        </w:rPr>
      </w:pPr>
      <w:r>
        <w:rPr>
          <w:szCs w:val="21"/>
        </w:rPr>
        <w:t>4.一方不得要求或者接受另一方为其住房装修、利害关系人的工作安排以及出国、外出旅游等提供方便；</w:t>
      </w:r>
    </w:p>
    <w:p w14:paraId="28F43AB9">
      <w:pPr>
        <w:spacing w:line="360" w:lineRule="auto"/>
        <w:ind w:firstLine="420" w:firstLineChars="200"/>
        <w:rPr>
          <w:szCs w:val="21"/>
        </w:rPr>
      </w:pPr>
      <w:r>
        <w:rPr>
          <w:szCs w:val="21"/>
        </w:rPr>
        <w:t>5.一方不得要求或接受另一方提供其它非法财物或利益。</w:t>
      </w:r>
    </w:p>
    <w:p w14:paraId="3C7D8B0C">
      <w:pPr>
        <w:spacing w:line="360" w:lineRule="auto"/>
        <w:ind w:firstLine="420" w:firstLineChars="200"/>
        <w:rPr>
          <w:szCs w:val="21"/>
        </w:rPr>
      </w:pPr>
      <w:r>
        <w:rPr>
          <w:szCs w:val="21"/>
        </w:rPr>
        <w:t>Article 5 Obligation d’intégrité</w:t>
      </w:r>
    </w:p>
    <w:p w14:paraId="374C1BE8">
      <w:pPr>
        <w:spacing w:line="360" w:lineRule="auto"/>
        <w:ind w:firstLine="420" w:firstLineChars="200"/>
        <w:rPr>
          <w:szCs w:val="21"/>
        </w:rPr>
      </w:pPr>
      <w:r>
        <w:rPr>
          <w:szCs w:val="21"/>
        </w:rPr>
        <w:t>Aucune des Parties ne doit :</w:t>
      </w:r>
    </w:p>
    <w:p w14:paraId="7DD7773B">
      <w:pPr>
        <w:spacing w:line="360" w:lineRule="auto"/>
        <w:ind w:firstLine="420" w:firstLineChars="200"/>
        <w:rPr>
          <w:szCs w:val="21"/>
        </w:rPr>
      </w:pPr>
      <w:r>
        <w:rPr>
          <w:szCs w:val="21"/>
        </w:rPr>
        <w:t>Demander ou accepter de l’autre Partie des cadeaux en espèces, des titres négociables, des objets de valeur, des ristournes, des commissions, des « frais de remerciement » ou tout autre bien ou avantage illicite ;</w:t>
      </w:r>
    </w:p>
    <w:p w14:paraId="4E061E79">
      <w:pPr>
        <w:spacing w:line="360" w:lineRule="auto"/>
        <w:ind w:firstLine="420" w:firstLineChars="200"/>
        <w:rPr>
          <w:szCs w:val="21"/>
        </w:rPr>
      </w:pPr>
      <w:r>
        <w:rPr>
          <w:szCs w:val="21"/>
        </w:rPr>
        <w:t>Demander ou accepter de l’autre Partie des ristournes ou autres avantages injustifiés susceptibles d’influencer l’exécution impartiale des affaires ;</w:t>
      </w:r>
    </w:p>
    <w:p w14:paraId="5BCBF487">
      <w:pPr>
        <w:spacing w:line="360" w:lineRule="auto"/>
        <w:ind w:firstLine="420" w:firstLineChars="200"/>
        <w:rPr>
          <w:szCs w:val="21"/>
        </w:rPr>
      </w:pPr>
      <w:r>
        <w:rPr>
          <w:szCs w:val="21"/>
        </w:rPr>
        <w:t>Demander ou accepter des invitations à des banquets ou à des activités de divertissement de la part de l’autre Partie qui pourraient influencer l’exécution impartiale des affaires, à l’exception des interactions commerciales normales autorisées par les règlements internes des deux Parties ;</w:t>
      </w:r>
    </w:p>
    <w:p w14:paraId="3A70C073">
      <w:pPr>
        <w:spacing w:line="360" w:lineRule="auto"/>
        <w:ind w:firstLine="420" w:firstLineChars="200"/>
        <w:rPr>
          <w:szCs w:val="21"/>
        </w:rPr>
      </w:pPr>
      <w:r>
        <w:rPr>
          <w:szCs w:val="21"/>
        </w:rPr>
        <w:t>Demander ou accepter de l’autre Partie des facilités pour la décoration de logements, l’emploi de Personnes ayant un lien d’intérêt, ou des voyages à l’étranger ou des déplacements touristiques ;</w:t>
      </w:r>
    </w:p>
    <w:p w14:paraId="1293DAB7">
      <w:pPr>
        <w:spacing w:line="360" w:lineRule="auto"/>
        <w:ind w:firstLine="420" w:firstLineChars="200"/>
        <w:rPr>
          <w:szCs w:val="21"/>
        </w:rPr>
      </w:pPr>
      <w:r>
        <w:rPr>
          <w:szCs w:val="21"/>
        </w:rPr>
        <w:t>Demander ou accepter de l’autre Partie tout autre bien ou avantage illicite.</w:t>
      </w:r>
    </w:p>
    <w:p w14:paraId="4D3A5747">
      <w:pPr>
        <w:pStyle w:val="21"/>
      </w:pPr>
    </w:p>
    <w:p w14:paraId="52330C7E">
      <w:pPr>
        <w:spacing w:line="360" w:lineRule="auto"/>
        <w:ind w:firstLine="420" w:firstLineChars="200"/>
        <w:rPr>
          <w:szCs w:val="21"/>
        </w:rPr>
      </w:pPr>
      <w:r>
        <w:rPr>
          <w:szCs w:val="21"/>
        </w:rPr>
        <w:t>第六条 本协议项下的“非法财物或利益”，具体包括但不限于：</w:t>
      </w:r>
    </w:p>
    <w:p w14:paraId="0B73257A">
      <w:pPr>
        <w:spacing w:line="360" w:lineRule="auto"/>
        <w:ind w:firstLine="420" w:firstLineChars="200"/>
        <w:rPr>
          <w:szCs w:val="21"/>
        </w:rPr>
      </w:pPr>
      <w:r>
        <w:rPr>
          <w:szCs w:val="21"/>
        </w:rPr>
        <w:t>1.现金、有价券（卡）、红包、贵重物品、数字货币、游戏装备、房屋装修等任何形态的具有一定价值的财物，以及可以用金钱计算数额的财产性利益及需要支付货币的其他利益；</w:t>
      </w:r>
    </w:p>
    <w:p w14:paraId="5B717BC8">
      <w:pPr>
        <w:spacing w:line="360" w:lineRule="auto"/>
        <w:ind w:firstLine="420" w:firstLineChars="200"/>
        <w:rPr>
          <w:szCs w:val="21"/>
        </w:rPr>
      </w:pPr>
      <w:r>
        <w:rPr>
          <w:szCs w:val="21"/>
        </w:rPr>
        <w:t>2.与一方有利益关系的单位或个人不正当的报销费用，或以劳务费/咨询费等名目收取的报酬；</w:t>
      </w:r>
    </w:p>
    <w:p w14:paraId="2BA685EB">
      <w:pPr>
        <w:spacing w:line="360" w:lineRule="auto"/>
        <w:ind w:firstLine="420" w:firstLineChars="200"/>
        <w:rPr>
          <w:szCs w:val="21"/>
        </w:rPr>
      </w:pPr>
      <w:r>
        <w:rPr>
          <w:szCs w:val="21"/>
        </w:rPr>
        <w:t>3.与一方有利益关系的单位或个人的宴请，受邀外出旅游或进入营业性娱乐场所，符合双方规章制度规定的正常商业往来活动除外；</w:t>
      </w:r>
    </w:p>
    <w:p w14:paraId="2E6C4F2E">
      <w:pPr>
        <w:spacing w:line="360" w:lineRule="auto"/>
        <w:ind w:firstLine="420" w:firstLineChars="200"/>
        <w:rPr>
          <w:szCs w:val="21"/>
        </w:rPr>
      </w:pPr>
      <w:r>
        <w:rPr>
          <w:szCs w:val="21"/>
        </w:rPr>
        <w:t>4.私下向与一方有利益关系的单位或个人借款或借用的贵重物品，包括但不限于以租借方式长期免费或低价供给、使用贵重物品（包括不动产、车辆，手提电脑等）；</w:t>
      </w:r>
    </w:p>
    <w:p w14:paraId="0C266424">
      <w:pPr>
        <w:spacing w:line="360" w:lineRule="auto"/>
        <w:ind w:firstLine="420" w:firstLineChars="200"/>
        <w:rPr>
          <w:szCs w:val="21"/>
        </w:rPr>
      </w:pPr>
      <w:r>
        <w:rPr>
          <w:szCs w:val="21"/>
        </w:rPr>
        <w:t>5.利用业务、职务便利以设置人为障碍等理由要挟与一方有利益关系的单位或个人支付的金钱或提供好处；</w:t>
      </w:r>
    </w:p>
    <w:p w14:paraId="37DC770B">
      <w:pPr>
        <w:spacing w:line="360" w:lineRule="auto"/>
        <w:ind w:firstLine="420" w:firstLineChars="200"/>
        <w:rPr>
          <w:szCs w:val="21"/>
        </w:rPr>
      </w:pPr>
      <w:r>
        <w:rPr>
          <w:szCs w:val="21"/>
        </w:rPr>
        <w:t>6.利用业务、职务便利，对采购（或购买）的产品所作加价；</w:t>
      </w:r>
    </w:p>
    <w:p w14:paraId="1FCFC328">
      <w:pPr>
        <w:spacing w:line="360" w:lineRule="auto"/>
        <w:ind w:firstLine="420" w:firstLineChars="200"/>
        <w:rPr>
          <w:szCs w:val="21"/>
        </w:rPr>
      </w:pPr>
      <w:r>
        <w:rPr>
          <w:szCs w:val="21"/>
        </w:rPr>
        <w:t>7.为满足自身利益需求、获取业务以及为达成其他不法利益而向与一方有利益关系的单位或个人以现金、财物等方式进行的利益输送；</w:t>
      </w:r>
    </w:p>
    <w:p w14:paraId="007E8710">
      <w:pPr>
        <w:spacing w:line="360" w:lineRule="auto"/>
        <w:ind w:firstLine="420" w:firstLineChars="200"/>
        <w:rPr>
          <w:szCs w:val="21"/>
        </w:rPr>
      </w:pPr>
      <w:r>
        <w:rPr>
          <w:szCs w:val="21"/>
        </w:rPr>
        <w:t>8.以其他方式变相行贿、受贿，如给付或收受就学、荣誉、特殊待遇等的非财产性利益。</w:t>
      </w:r>
    </w:p>
    <w:p w14:paraId="111026C4">
      <w:pPr>
        <w:spacing w:line="360" w:lineRule="auto"/>
        <w:ind w:firstLine="420" w:firstLineChars="200"/>
        <w:rPr>
          <w:szCs w:val="21"/>
        </w:rPr>
      </w:pPr>
      <w:r>
        <w:rPr>
          <w:szCs w:val="21"/>
        </w:rPr>
        <w:t>Article 6 Les « Biens ou Avantages illicites » visés par le présent Accord comprennent, sans s’y limiter :</w:t>
      </w:r>
    </w:p>
    <w:p w14:paraId="33ABD84A">
      <w:pPr>
        <w:spacing w:line="360" w:lineRule="auto"/>
        <w:ind w:firstLine="420" w:firstLineChars="200"/>
        <w:rPr>
          <w:szCs w:val="21"/>
        </w:rPr>
      </w:pPr>
      <w:r>
        <w:rPr>
          <w:szCs w:val="21"/>
        </w:rPr>
        <w:t>Toute valeur patrimoniale, quels qu’en soient la forme et le support : espèces, chèques-cadeaux, « enveloppes rouges », objets de valeur, cryptomonnaies, objets de jeu virtuels, travaux de décoration, etc., ainsi que tout avantage patrimonial dont la valeur est appréciable en argent ou dont la jouissance nécessite une dépense ;</w:t>
      </w:r>
    </w:p>
    <w:p w14:paraId="62955EDE">
      <w:pPr>
        <w:spacing w:line="360" w:lineRule="auto"/>
        <w:ind w:firstLine="420" w:firstLineChars="200"/>
        <w:rPr>
          <w:szCs w:val="21"/>
        </w:rPr>
      </w:pPr>
      <w:r>
        <w:rPr>
          <w:szCs w:val="21"/>
        </w:rPr>
        <w:t>Le remboursement indu de dépenses par une entité ou une personne ayant un lien d’intérêt avec une Partie, ou toute rémunération perçue sous l’appellation de frais de consultance ou d’honoraires ;</w:t>
      </w:r>
    </w:p>
    <w:p w14:paraId="176553E3">
      <w:pPr>
        <w:spacing w:line="360" w:lineRule="auto"/>
        <w:ind w:firstLine="420" w:firstLineChars="200"/>
        <w:rPr>
          <w:szCs w:val="21"/>
        </w:rPr>
      </w:pPr>
      <w:r>
        <w:rPr>
          <w:szCs w:val="21"/>
        </w:rPr>
        <w:t>Les invitations à des banquets, voyages ou entrées dans des lieux de divertissement payants par une entité ou une personne ayant un lien d’intérêt avec une Partie, sauf pour les échanges commerciaux normaux autorisés par les règlements internes ;</w:t>
      </w:r>
    </w:p>
    <w:p w14:paraId="254FF68C">
      <w:pPr>
        <w:spacing w:line="360" w:lineRule="auto"/>
        <w:ind w:firstLine="420" w:firstLineChars="200"/>
        <w:rPr>
          <w:szCs w:val="21"/>
        </w:rPr>
      </w:pPr>
      <w:r>
        <w:rPr>
          <w:szCs w:val="21"/>
        </w:rPr>
        <w:t>Les prêts d’argent ou le prêt/usage à long terme, gratuit ou à prix anormalement bas, d’objets de valeur (immobilier, véhicules, ordinateurs portables, etc.) par une entité ou une personne ayant un lien d’intérêt avec une Partie ;</w:t>
      </w:r>
    </w:p>
    <w:p w14:paraId="07B20C7D">
      <w:pPr>
        <w:spacing w:line="360" w:lineRule="auto"/>
        <w:ind w:firstLine="420" w:firstLineChars="200"/>
        <w:rPr>
          <w:szCs w:val="21"/>
        </w:rPr>
      </w:pPr>
      <w:r>
        <w:rPr>
          <w:szCs w:val="21"/>
        </w:rPr>
        <w:t>L’extorsion, par abus de position dans les affaires ou les fonctions, de paiements ou d’avantages d’une entité ou personne ayant un lien d’intérêt, sous de faux prétextes ;</w:t>
      </w:r>
    </w:p>
    <w:p w14:paraId="5495D0A8">
      <w:pPr>
        <w:spacing w:line="360" w:lineRule="auto"/>
        <w:ind w:firstLine="420" w:firstLineChars="200"/>
        <w:rPr>
          <w:szCs w:val="21"/>
        </w:rPr>
      </w:pPr>
      <w:r>
        <w:rPr>
          <w:szCs w:val="21"/>
        </w:rPr>
        <w:t>Les majorations de prix indues sur des produits achetés, obtenues par abus de position ;</w:t>
      </w:r>
    </w:p>
    <w:p w14:paraId="12728E2F">
      <w:pPr>
        <w:spacing w:line="360" w:lineRule="auto"/>
        <w:ind w:firstLine="420" w:firstLineChars="200"/>
        <w:rPr>
          <w:szCs w:val="21"/>
        </w:rPr>
      </w:pPr>
      <w:r>
        <w:rPr>
          <w:szCs w:val="21"/>
        </w:rPr>
        <w:t>Le transfert d’avantages, sous forme d’espèces ou de biens, à une entité ou personne ayant un lien d’intérêt, pour satisfaire des intérêts personnels, obtenir des affaires ou d’autres avantages illégitimes ;</w:t>
      </w:r>
    </w:p>
    <w:p w14:paraId="4FC549AF">
      <w:pPr>
        <w:spacing w:line="360" w:lineRule="auto"/>
        <w:ind w:firstLine="420" w:firstLineChars="200"/>
        <w:rPr>
          <w:szCs w:val="21"/>
        </w:rPr>
      </w:pPr>
      <w:r>
        <w:rPr>
          <w:szCs w:val="21"/>
        </w:rPr>
        <w:t>Toute autre forme déguisée de corruption, telle que l’octroi ou la réception d’avantages non patrimoniaux (admission dans des établissements d’enseignement, honneurs, traitements privilégiés, etc.).</w:t>
      </w:r>
    </w:p>
    <w:p w14:paraId="5EA8A9A5">
      <w:pPr>
        <w:pStyle w:val="21"/>
      </w:pPr>
    </w:p>
    <w:p w14:paraId="07810E70">
      <w:pPr>
        <w:spacing w:line="360" w:lineRule="auto"/>
        <w:ind w:firstLine="420" w:firstLineChars="200"/>
        <w:rPr>
          <w:szCs w:val="21"/>
        </w:rPr>
      </w:pPr>
      <w:r>
        <w:rPr>
          <w:szCs w:val="21"/>
        </w:rPr>
        <w:t>第七条 违约责任</w:t>
      </w:r>
    </w:p>
    <w:p w14:paraId="7D139CF3">
      <w:pPr>
        <w:spacing w:line="360" w:lineRule="auto"/>
        <w:ind w:firstLine="420" w:firstLineChars="200"/>
        <w:rPr>
          <w:szCs w:val="21"/>
        </w:rPr>
      </w:pPr>
      <w:r>
        <w:rPr>
          <w:szCs w:val="21"/>
        </w:rPr>
        <w:t>1.违约方违反本协议任一条款约定，要求或接受本协议项下的任一“非法财物和利益”，或存在其他违反法律法规、公司规章制度的行贿、受贿行为的，经守约方查证属实或被行政/司法机关立案查处的，守约方有权立即与违约方解除商业合作关系，并不支付任何违约金。</w:t>
      </w:r>
    </w:p>
    <w:p w14:paraId="7479144E">
      <w:pPr>
        <w:spacing w:line="360" w:lineRule="auto"/>
        <w:ind w:firstLine="420" w:firstLineChars="200"/>
        <w:rPr>
          <w:szCs w:val="21"/>
        </w:rPr>
      </w:pPr>
      <w:r>
        <w:rPr>
          <w:szCs w:val="21"/>
        </w:rPr>
        <w:t>2.违约方存在上述行为的，应当赔偿由此给守约方造成的全部损失。情节涉及违反法律、法规等强制性规定的，违约方将被移送至行政机关或司法机关进行处理，由有权机关追究违约方的行政或刑事责任。</w:t>
      </w:r>
    </w:p>
    <w:p w14:paraId="640CE241">
      <w:pPr>
        <w:spacing w:line="360" w:lineRule="auto"/>
        <w:ind w:firstLine="420" w:firstLineChars="200"/>
        <w:rPr>
          <w:szCs w:val="21"/>
        </w:rPr>
      </w:pPr>
      <w:r>
        <w:rPr>
          <w:szCs w:val="21"/>
        </w:rPr>
        <w:t>Article 7 Responsabilité de violation</w:t>
      </w:r>
    </w:p>
    <w:p w14:paraId="5D50C36F">
      <w:pPr>
        <w:spacing w:line="360" w:lineRule="auto"/>
        <w:ind w:firstLine="420" w:firstLineChars="200"/>
        <w:rPr>
          <w:szCs w:val="21"/>
        </w:rPr>
      </w:pPr>
      <w:r>
        <w:rPr>
          <w:szCs w:val="21"/>
        </w:rPr>
        <w:t>Si la Partie défaillante viole une quelconque disposition du présent Accord, demande ou accepte des « Biens ou Avantages illicites » au sens de l’Accord, ou se livre à d’autres actes de corruption en violation des lois, règlements ou règles internes applicables, et que ces faits sont avérés par la Partie non défaillante ou font l’objet de poursuites administratives ou judiciaires, la Partie non défaillante aura le droit de résilier immédiatement toute relation de coopération commerciale avec la Partie défaillante, et ce sans avoir à payer la moindre indemnité de rupture.</w:t>
      </w:r>
    </w:p>
    <w:p w14:paraId="7E6661C5">
      <w:pPr>
        <w:spacing w:line="360" w:lineRule="auto"/>
        <w:ind w:firstLine="420" w:firstLineChars="200"/>
        <w:rPr>
          <w:szCs w:val="21"/>
        </w:rPr>
      </w:pPr>
      <w:r>
        <w:rPr>
          <w:szCs w:val="21"/>
        </w:rPr>
        <w:t>En cas de manquement visé à l’alinéa précédent, la Partie défaillante sera tenue de réparer l’intégralité du préjudice causé à la Partie non défaillante. Si les faits relèvent de violations légales ou réglementaires, la Partie défaillante pourra être déférée aux autorités administratives ou judiciaires compétentes aux fins de poursuites.</w:t>
      </w:r>
    </w:p>
    <w:p w14:paraId="38C1CAB6">
      <w:pPr>
        <w:spacing w:line="360" w:lineRule="auto"/>
        <w:ind w:firstLine="420" w:firstLineChars="200"/>
        <w:rPr>
          <w:szCs w:val="21"/>
        </w:rPr>
      </w:pPr>
    </w:p>
    <w:p w14:paraId="7D8A839A">
      <w:pPr>
        <w:spacing w:line="360" w:lineRule="auto"/>
        <w:ind w:firstLine="420" w:firstLineChars="200"/>
        <w:rPr>
          <w:szCs w:val="21"/>
        </w:rPr>
      </w:pPr>
      <w:r>
        <w:rPr>
          <w:szCs w:val="21"/>
        </w:rPr>
        <w:t>第八条 反欺诈、反舞弊、反商业贿赂调查程序</w:t>
      </w:r>
    </w:p>
    <w:p w14:paraId="45E7A2D5">
      <w:pPr>
        <w:spacing w:line="360" w:lineRule="auto"/>
        <w:ind w:firstLine="420" w:firstLineChars="200"/>
        <w:rPr>
          <w:szCs w:val="21"/>
        </w:rPr>
      </w:pPr>
      <w:r>
        <w:rPr>
          <w:szCs w:val="21"/>
        </w:rPr>
        <w:t>1.守约方启动反欺诈、反舞弊、反商业贿赂等调查时，需要违约方配合协助的，违约方应当无条件接受，并对调查给予最大的协助、配合与支持。</w:t>
      </w:r>
    </w:p>
    <w:p w14:paraId="625E90D4">
      <w:pPr>
        <w:spacing w:line="360" w:lineRule="auto"/>
        <w:ind w:firstLine="420" w:firstLineChars="200"/>
        <w:rPr>
          <w:szCs w:val="21"/>
        </w:rPr>
      </w:pPr>
      <w:r>
        <w:rPr>
          <w:szCs w:val="21"/>
        </w:rPr>
        <w:t>2.违约方拒不配合、拖延配合或有提供虚假材料、销毁隐匿相关材料等阻挠、妨碍调查的其他行为，或泄露守约方调查信息的，或对调查人员实施威胁、恐吓、贿赂、打骂、侮辱等行为的，守约方可以不经调查，直接推定相关事实成立并做出处理，违约方甘愿接受所作处理，不持异议。</w:t>
      </w:r>
    </w:p>
    <w:p w14:paraId="60E711D8">
      <w:pPr>
        <w:spacing w:line="360" w:lineRule="auto"/>
        <w:ind w:firstLine="420" w:firstLineChars="200"/>
        <w:rPr>
          <w:szCs w:val="21"/>
        </w:rPr>
      </w:pPr>
      <w:r>
        <w:rPr>
          <w:szCs w:val="21"/>
        </w:rPr>
        <w:t>3.守约方为调查处理贿赂、舞弊行为所发生的调查费用、审计费用、律师费用、差旅费用、诉讼费用、仲裁费用等全部费用，一旦查实，由违约方承担。</w:t>
      </w:r>
    </w:p>
    <w:p w14:paraId="1BA47CD6">
      <w:pPr>
        <w:spacing w:line="360" w:lineRule="auto"/>
        <w:ind w:firstLine="420" w:firstLineChars="200"/>
        <w:rPr>
          <w:szCs w:val="21"/>
        </w:rPr>
      </w:pPr>
      <w:r>
        <w:rPr>
          <w:szCs w:val="21"/>
        </w:rPr>
        <w:t>Article 8 Procédures d’enquête anti-fraude, anti-fraude et anti-corruption commerciale</w:t>
      </w:r>
    </w:p>
    <w:p w14:paraId="1055F0C4">
      <w:pPr>
        <w:spacing w:line="360" w:lineRule="auto"/>
        <w:ind w:firstLine="420" w:firstLineChars="200"/>
        <w:rPr>
          <w:szCs w:val="21"/>
        </w:rPr>
      </w:pPr>
      <w:r>
        <w:rPr>
          <w:szCs w:val="21"/>
        </w:rPr>
        <w:t>Lorsqu’une Partie non défaillante engage une enquête pour fraude, corruption commerciale ou autres manquements similaires, la Partie défaillante est tenue d’y coopérer pleinement, sans condition, et d’apporter toute l’assistance et le soutien nécessaires.</w:t>
      </w:r>
    </w:p>
    <w:p w14:paraId="4C024C92">
      <w:pPr>
        <w:spacing w:line="360" w:lineRule="auto"/>
        <w:ind w:firstLine="420" w:firstLineChars="200"/>
        <w:rPr>
          <w:szCs w:val="21"/>
        </w:rPr>
      </w:pPr>
      <w:r>
        <w:rPr>
          <w:szCs w:val="21"/>
        </w:rPr>
        <w:t>Si la Partie défaillante refuse de coopérer, retarde sa coopération, fournit de faux documents, détruit des preuves, entrave l’enquête de quelque manière que ce soit, divulgue des informations la concernant, ou intimide, menace, corrompt, agresse ou insulte les enquêteurs, la Partie non défaillante pourra, sans qu’une enquête complète ne soit nécessaire, présumer l’exactitude des faits allégués et prendre les mesures qui s’imposent. La Partie défaillante accepte par avance une telle décision sans réserve.</w:t>
      </w:r>
    </w:p>
    <w:p w14:paraId="0F404DD1">
      <w:pPr>
        <w:spacing w:line="360" w:lineRule="auto"/>
        <w:ind w:firstLine="420" w:firstLineChars="200"/>
        <w:rPr>
          <w:szCs w:val="21"/>
        </w:rPr>
      </w:pPr>
      <w:r>
        <w:rPr>
          <w:szCs w:val="21"/>
        </w:rPr>
        <w:t>Tous les frais raisonnables engagés par la Partie non défaillante pour mener l’enquête et traiter l’affaire (frais d’enquête, d’audit, d’avocat, de déplacement, de procédure judiciaire ou d’arbitrage) seront intégralement supportés par la Partie défaillante une fois les faits établis.</w:t>
      </w:r>
    </w:p>
    <w:p w14:paraId="30F5F70F">
      <w:pPr>
        <w:spacing w:line="360" w:lineRule="auto"/>
        <w:ind w:firstLine="420" w:firstLineChars="200"/>
        <w:rPr>
          <w:szCs w:val="21"/>
        </w:rPr>
      </w:pPr>
    </w:p>
    <w:p w14:paraId="6713D3C3">
      <w:pPr>
        <w:spacing w:line="360" w:lineRule="auto"/>
        <w:ind w:firstLine="420" w:firstLineChars="200"/>
        <w:rPr>
          <w:szCs w:val="21"/>
        </w:rPr>
      </w:pPr>
      <w:r>
        <w:rPr>
          <w:szCs w:val="21"/>
        </w:rPr>
        <w:t>第九条 披露义务</w:t>
      </w:r>
    </w:p>
    <w:p w14:paraId="7EAFCD75">
      <w:pPr>
        <w:spacing w:line="360" w:lineRule="auto"/>
        <w:ind w:firstLine="420" w:firstLineChars="200"/>
        <w:rPr>
          <w:szCs w:val="21"/>
        </w:rPr>
      </w:pPr>
      <w:r>
        <w:rPr>
          <w:szCs w:val="21"/>
        </w:rPr>
        <w:t>当一方发现商业贿赂等不正当利益交易时，有义务及时向另一方进行举报、投诉和揭发。</w:t>
      </w:r>
    </w:p>
    <w:p w14:paraId="3969F7BE">
      <w:pPr>
        <w:spacing w:line="360" w:lineRule="auto"/>
        <w:ind w:firstLine="420" w:firstLineChars="200"/>
        <w:rPr>
          <w:szCs w:val="21"/>
        </w:rPr>
      </w:pPr>
      <w:r>
        <w:rPr>
          <w:szCs w:val="21"/>
        </w:rPr>
        <w:t>Article 9 Obligation de divulgation</w:t>
      </w:r>
    </w:p>
    <w:p w14:paraId="3151FFC7">
      <w:pPr>
        <w:spacing w:line="360" w:lineRule="auto"/>
        <w:ind w:firstLine="420" w:firstLineChars="200"/>
        <w:rPr>
          <w:szCs w:val="21"/>
        </w:rPr>
      </w:pPr>
      <w:r>
        <w:rPr>
          <w:szCs w:val="21"/>
        </w:rPr>
        <w:t>Toute Partie qui découvre une transaction impliquant des avantages illicites, tels que des actes de corruption commerciale, est tenue d’en informer et d’en dénoncer les faits à l’autre Partie dans les plus brefs délais.</w:t>
      </w:r>
    </w:p>
    <w:p w14:paraId="31CE4145">
      <w:pPr>
        <w:pStyle w:val="21"/>
      </w:pPr>
    </w:p>
    <w:p w14:paraId="50AAD4F3">
      <w:pPr>
        <w:spacing w:line="360" w:lineRule="auto"/>
        <w:ind w:firstLine="420" w:firstLineChars="200"/>
        <w:rPr>
          <w:szCs w:val="21"/>
        </w:rPr>
      </w:pPr>
      <w:r>
        <w:rPr>
          <w:szCs w:val="21"/>
        </w:rPr>
        <w:t>第十条 境外合作伙伴特别条款</w:t>
      </w:r>
    </w:p>
    <w:p w14:paraId="44B842CC">
      <w:pPr>
        <w:spacing w:line="360" w:lineRule="auto"/>
        <w:ind w:firstLine="420" w:firstLineChars="200"/>
        <w:rPr>
          <w:szCs w:val="21"/>
        </w:rPr>
      </w:pPr>
      <w:r>
        <w:rPr>
          <w:szCs w:val="21"/>
        </w:rPr>
        <w:t>1.本协议适用范围不仅涵盖双方在中国内地设立的公司及其子公司、分公司、关联公司、以及相关员工；还涵盖双方在中国内地以外的其他国家或地区的公司及其子公司、分公司、关联公司、以及相关员工（以下简称为“境外合作伙伴”）。</w:t>
      </w:r>
    </w:p>
    <w:p w14:paraId="6BE761C0">
      <w:pPr>
        <w:spacing w:line="360" w:lineRule="auto"/>
        <w:ind w:firstLine="420" w:firstLineChars="200"/>
        <w:rPr>
          <w:szCs w:val="21"/>
        </w:rPr>
      </w:pPr>
      <w:r>
        <w:rPr>
          <w:szCs w:val="21"/>
        </w:rPr>
        <w:t>2.若本协议一方或双方为上述境外合作伙伴，且本协议项下的条款要求与境外合作伙伴的公司所在地或业务所在地的法律法规等强制性规定不一致的，应当遵循最严格规定。否则一方或双方构成对本协议的违反，应当承担相应法律责任。</w:t>
      </w:r>
    </w:p>
    <w:p w14:paraId="269DF431">
      <w:pPr>
        <w:spacing w:line="360" w:lineRule="auto"/>
        <w:ind w:firstLine="420" w:firstLineChars="200"/>
        <w:rPr>
          <w:szCs w:val="21"/>
        </w:rPr>
      </w:pPr>
      <w:r>
        <w:rPr>
          <w:szCs w:val="21"/>
        </w:rPr>
        <w:t>Article 10 Dispositions particulières pour les partenaires étrangers</w:t>
      </w:r>
    </w:p>
    <w:p w14:paraId="14ADD5F1">
      <w:pPr>
        <w:spacing w:line="360" w:lineRule="auto"/>
        <w:ind w:firstLine="420" w:firstLineChars="200"/>
        <w:rPr>
          <w:szCs w:val="21"/>
        </w:rPr>
      </w:pPr>
      <w:r>
        <w:rPr>
          <w:szCs w:val="21"/>
        </w:rPr>
        <w:t>Le présent Accord s’applique non seulement aux sociétés établies par les Parties en Chine continentale et à leurs filiales, succursales, sociétés affiliées et employés, mais aussi aux sociétés des Parties situées dans d’autres pays ou régions (ci-après « Partenaires Étrangers ») et à leurs structures et personnels associés.</w:t>
      </w:r>
    </w:p>
    <w:p w14:paraId="6BF545BB">
      <w:pPr>
        <w:spacing w:line="360" w:lineRule="auto"/>
        <w:ind w:firstLine="420" w:firstLineChars="200"/>
        <w:rPr>
          <w:szCs w:val="21"/>
        </w:rPr>
      </w:pPr>
      <w:r>
        <w:rPr>
          <w:szCs w:val="21"/>
        </w:rPr>
        <w:t>Si l’une ou les deux Parties à cet Accord sont des Partenaires Étrangers, et qu’une disposition de l’Accord est en contradiction avec une loi ou réglementation impérative du pays où le Partenaire Étranger est établi ou opère, la disposition la plus stricte prévaudra. Le non-respect de cette règle constituera une violation de l’Accord et engage la responsabilité de la Partie concernée.</w:t>
      </w:r>
    </w:p>
    <w:p w14:paraId="3B810634">
      <w:pPr>
        <w:pStyle w:val="21"/>
      </w:pPr>
    </w:p>
    <w:p w14:paraId="5FD7C8B0">
      <w:pPr>
        <w:spacing w:line="360" w:lineRule="auto"/>
        <w:ind w:firstLine="420" w:firstLineChars="200"/>
        <w:rPr>
          <w:szCs w:val="21"/>
        </w:rPr>
      </w:pPr>
      <w:r>
        <w:rPr>
          <w:szCs w:val="21"/>
        </w:rPr>
        <w:t>第十一条 通知与送达</w:t>
      </w:r>
    </w:p>
    <w:p w14:paraId="743AF2EF">
      <w:pPr>
        <w:spacing w:line="360" w:lineRule="auto"/>
        <w:ind w:firstLine="420" w:firstLineChars="200"/>
        <w:rPr>
          <w:szCs w:val="21"/>
        </w:rPr>
      </w:pPr>
      <w:r>
        <w:rPr>
          <w:szCs w:val="21"/>
        </w:rPr>
        <w:t>1.本协议项下双方之间的一切通知及发生争议时的法律文书（包括但不限于传票、开庭通知书、判决书、裁定书、调解书等）均应通过邮递、快递、电子邮件或双方同意的其他方式送达，本协议首部的联系方式及联系地址为有效的送达地址。</w:t>
      </w:r>
    </w:p>
    <w:p w14:paraId="1486A35A">
      <w:pPr>
        <w:spacing w:line="360" w:lineRule="auto"/>
        <w:ind w:firstLine="420" w:firstLineChars="200"/>
        <w:rPr>
          <w:szCs w:val="21"/>
        </w:rPr>
      </w:pPr>
      <w:r>
        <w:rPr>
          <w:szCs w:val="21"/>
        </w:rPr>
        <w:t>2.上述送达地址适用于仲裁、一审、二审、再审和执行各个诉讼阶段。相关法律文书按上述地址进行送达，因无人签收、拒收等原因导致被退回的，退回之日即为送达之日。上述地址如有变更，变更方必须在变更后3日内以书面形式通知对方，否则按上述地址进行的送达仍然有效，未及时通知变更情况的一方自行承担由此产生的法律后果。</w:t>
      </w:r>
    </w:p>
    <w:p w14:paraId="0C357629">
      <w:pPr>
        <w:spacing w:line="360" w:lineRule="auto"/>
        <w:ind w:firstLine="420" w:firstLineChars="200"/>
        <w:rPr>
          <w:szCs w:val="21"/>
        </w:rPr>
      </w:pPr>
      <w:r>
        <w:rPr>
          <w:szCs w:val="21"/>
        </w:rPr>
        <w:t>Article 11 Notification et signification</w:t>
      </w:r>
    </w:p>
    <w:p w14:paraId="7A02BACA">
      <w:pPr>
        <w:spacing w:line="360" w:lineRule="auto"/>
        <w:ind w:firstLine="420" w:firstLineChars="200"/>
        <w:rPr>
          <w:szCs w:val="21"/>
        </w:rPr>
      </w:pPr>
      <w:r>
        <w:rPr>
          <w:szCs w:val="21"/>
        </w:rPr>
        <w:t>Toutes les notifications entre les Parties au titre du présent Accord, ainsi que tout document juridique dans le cadre d’un litige (assignation, convocation, jugement, etc.), devront être adressés par courrier recommandé, courrier express, courriel ou tout autre moyen convenu. Les coordonnées indiquées en préambule font foi pour la signification.</w:t>
      </w:r>
    </w:p>
    <w:p w14:paraId="55C4C48D">
      <w:pPr>
        <w:spacing w:line="360" w:lineRule="auto"/>
        <w:ind w:firstLine="420" w:firstLineChars="200"/>
        <w:rPr>
          <w:szCs w:val="21"/>
        </w:rPr>
      </w:pPr>
      <w:r>
        <w:rPr>
          <w:szCs w:val="21"/>
        </w:rPr>
        <w:t>Ces adresses sont valables pour toutes les phases de procédure (arbitrage, première instance, appel, etc.). Une signification à ces adresses est réputée faite, même en cas de retour pour refus ou absence. Toute modification d’adresse doit être notifiée par écrit à l’autre Partie dans les 3 jours. À défaut, les significations à l’ancienne adresse restent valables, aux risques et périls de la Partie n’ayant pas notifié le changement.</w:t>
      </w:r>
    </w:p>
    <w:p w14:paraId="78B54816">
      <w:pPr>
        <w:pStyle w:val="21"/>
      </w:pPr>
    </w:p>
    <w:p w14:paraId="5D9B5F4A">
      <w:pPr>
        <w:spacing w:line="360" w:lineRule="auto"/>
        <w:ind w:firstLine="420" w:firstLineChars="200"/>
        <w:rPr>
          <w:szCs w:val="21"/>
        </w:rPr>
      </w:pPr>
      <w:r>
        <w:rPr>
          <w:szCs w:val="21"/>
        </w:rPr>
        <w:t>第十二条 适用法律及争议解决</w:t>
      </w:r>
    </w:p>
    <w:p w14:paraId="2CA377EB">
      <w:pPr>
        <w:spacing w:line="360" w:lineRule="auto"/>
        <w:ind w:firstLine="420" w:firstLineChars="200"/>
        <w:rPr>
          <w:szCs w:val="21"/>
        </w:rPr>
      </w:pPr>
      <w:r>
        <w:rPr>
          <w:szCs w:val="21"/>
        </w:rPr>
        <w:t>1.法律适用</w:t>
      </w:r>
    </w:p>
    <w:p w14:paraId="163C4AA4">
      <w:pPr>
        <w:spacing w:line="360" w:lineRule="auto"/>
        <w:ind w:firstLine="420" w:firstLineChars="200"/>
        <w:rPr>
          <w:szCs w:val="21"/>
        </w:rPr>
      </w:pPr>
      <w:r>
        <w:rPr>
          <w:szCs w:val="21"/>
        </w:rPr>
        <w:t>本协议适用中华人民共和国法律；涉及在几内亚共和国履行的事项，就该事项适用几内亚法律强制性规定。</w:t>
      </w:r>
    </w:p>
    <w:p w14:paraId="22082802">
      <w:pPr>
        <w:spacing w:line="360" w:lineRule="auto"/>
        <w:ind w:firstLine="420" w:firstLineChars="200"/>
        <w:rPr>
          <w:szCs w:val="21"/>
        </w:rPr>
      </w:pPr>
      <w:r>
        <w:rPr>
          <w:szCs w:val="21"/>
        </w:rPr>
        <w:t>2.争议解决机制</w:t>
      </w:r>
    </w:p>
    <w:p w14:paraId="2DF39192">
      <w:pPr>
        <w:spacing w:line="360" w:lineRule="auto"/>
        <w:ind w:firstLine="420" w:firstLineChars="200"/>
        <w:rPr>
          <w:szCs w:val="21"/>
        </w:rPr>
      </w:pPr>
      <w:r>
        <w:rPr>
          <w:szCs w:val="21"/>
        </w:rPr>
        <w:t>（1）协商前置：任何争议应先行通过书面协商解决，协商期不超过60日。</w:t>
      </w:r>
    </w:p>
    <w:p w14:paraId="74245465">
      <w:pPr>
        <w:spacing w:line="360" w:lineRule="auto"/>
        <w:ind w:firstLine="420" w:firstLineChars="200"/>
        <w:rPr>
          <w:szCs w:val="21"/>
        </w:rPr>
      </w:pPr>
      <w:r>
        <w:rPr>
          <w:szCs w:val="21"/>
        </w:rPr>
        <w:t>（2）仲裁管辖：中方当事人或中资控股（持股≥50%）实体发起的争议，提交中国国际经济贸易仲裁委员会（CIETAC）北京总会，适用其现行仲裁规则。几方当事人或几资控股实体发起的争议，提交科纳克里商事仲裁中心，适用UNCITRAL仲裁规则。</w:t>
      </w:r>
    </w:p>
    <w:p w14:paraId="30C69609">
      <w:pPr>
        <w:spacing w:line="360" w:lineRule="auto"/>
        <w:ind w:firstLine="420" w:firstLineChars="200"/>
        <w:rPr>
          <w:szCs w:val="21"/>
        </w:rPr>
      </w:pPr>
      <w:r>
        <w:rPr>
          <w:szCs w:val="21"/>
        </w:rPr>
        <w:t>（3）仲裁地为香港，仲裁语言为中文/法文。</w:t>
      </w:r>
    </w:p>
    <w:p w14:paraId="4D76AE1C">
      <w:pPr>
        <w:spacing w:line="360" w:lineRule="auto"/>
        <w:ind w:firstLine="420" w:firstLineChars="200"/>
        <w:rPr>
          <w:szCs w:val="21"/>
        </w:rPr>
      </w:pPr>
      <w:r>
        <w:rPr>
          <w:szCs w:val="21"/>
        </w:rPr>
        <w:t>3.费用承担</w:t>
      </w:r>
    </w:p>
    <w:p w14:paraId="5D025604">
      <w:pPr>
        <w:spacing w:line="360" w:lineRule="auto"/>
        <w:ind w:firstLine="420" w:firstLineChars="200"/>
        <w:rPr>
          <w:szCs w:val="21"/>
        </w:rPr>
      </w:pPr>
      <w:r>
        <w:rPr>
          <w:szCs w:val="21"/>
        </w:rPr>
        <w:t>败诉方应承担胜诉方合理的仲裁费用（含仲裁费、律师费、鉴定费），其他费用由各方自行承担。</w:t>
      </w:r>
    </w:p>
    <w:p w14:paraId="3DAABC3B">
      <w:pPr>
        <w:spacing w:line="360" w:lineRule="auto"/>
        <w:ind w:firstLine="420" w:firstLineChars="200"/>
        <w:rPr>
          <w:szCs w:val="21"/>
        </w:rPr>
      </w:pPr>
      <w:r>
        <w:rPr>
          <w:szCs w:val="21"/>
        </w:rPr>
        <w:t>4.保全执行</w:t>
      </w:r>
    </w:p>
    <w:p w14:paraId="5A040909">
      <w:pPr>
        <w:spacing w:line="360" w:lineRule="auto"/>
        <w:ind w:firstLine="420" w:firstLineChars="200"/>
        <w:rPr>
          <w:szCs w:val="21"/>
        </w:rPr>
      </w:pPr>
      <w:r>
        <w:rPr>
          <w:szCs w:val="21"/>
        </w:rPr>
        <w:t>各方同意向有管辖权的法院申请临时措施，不影响仲裁进行。</w:t>
      </w:r>
    </w:p>
    <w:p w14:paraId="67DB83CC">
      <w:pPr>
        <w:spacing w:line="360" w:lineRule="auto"/>
        <w:ind w:firstLine="420" w:firstLineChars="200"/>
        <w:rPr>
          <w:szCs w:val="21"/>
        </w:rPr>
      </w:pPr>
      <w:r>
        <w:rPr>
          <w:szCs w:val="21"/>
        </w:rPr>
        <w:t>5.如果违约方对本协议的违反构成行政或刑事责任的，守约方将移送行政机关或司法机关进行处理，由有权机关追究违约方的行政或刑事责任。</w:t>
      </w:r>
    </w:p>
    <w:p w14:paraId="6B5C07AB">
      <w:pPr>
        <w:spacing w:line="360" w:lineRule="auto"/>
        <w:ind w:firstLine="420" w:firstLineChars="200"/>
        <w:rPr>
          <w:szCs w:val="21"/>
        </w:rPr>
      </w:pPr>
      <w:r>
        <w:rPr>
          <w:szCs w:val="21"/>
        </w:rPr>
        <w:t>Article 12 Droit applicable et règlement des litiges</w:t>
      </w:r>
    </w:p>
    <w:p w14:paraId="449F0DCD">
      <w:pPr>
        <w:spacing w:line="360" w:lineRule="auto"/>
        <w:ind w:firstLine="420" w:firstLineChars="200"/>
      </w:pPr>
      <w:r>
        <w:t>Droit applicable : Le présent Accord est régi par le droit de la République populaire de Chine. Pour les obligations à exécuter en République de Guinée, les dispositions impératives du droit guinéen s’appliqueront à ces obligations.</w:t>
      </w:r>
    </w:p>
    <w:p w14:paraId="24E153DB">
      <w:pPr>
        <w:spacing w:line="360" w:lineRule="auto"/>
        <w:ind w:firstLine="420" w:firstLineChars="200"/>
      </w:pPr>
      <w:r>
        <w:t>Règlement des litiges :</w:t>
      </w:r>
    </w:p>
    <w:p w14:paraId="735ABEFD">
      <w:pPr>
        <w:spacing w:line="360" w:lineRule="auto"/>
        <w:ind w:firstLine="420" w:firstLineChars="200"/>
      </w:pPr>
      <w:r>
        <w:t>a. Négociation préalable : Tout litige sera soumis à une négociation écrite d’une durée maximale de 60 jours.</w:t>
      </w:r>
    </w:p>
    <w:p w14:paraId="7B5DE638">
      <w:pPr>
        <w:spacing w:line="360" w:lineRule="auto"/>
        <w:ind w:firstLine="420" w:firstLineChars="200"/>
      </w:pPr>
      <w:r>
        <w:t>b. Arbitrage : Les litiges initiés par une partie chinoise ou une entité à contrôle chinois (≥50%) seront soumis à la Commission de l’Economie et du Commerce International de Chine (CIETAC) à Pékin, selon son règlement. Les litiges initiés par une partie guinéenne ou une entité à contrôle guinéen seront soumis au Centre d’Arbitrage Commercial de Conakry, selon le Règlement d’Arbitre de la CNUDCI.</w:t>
      </w:r>
    </w:p>
    <w:p w14:paraId="5C55EB5A">
      <w:pPr>
        <w:spacing w:line="360" w:lineRule="auto"/>
        <w:ind w:firstLine="420" w:firstLineChars="200"/>
      </w:pPr>
      <w:r>
        <w:t>c. Le siège de l’arbitrage est Hong Kong. La langue de la procédure est le chinois ou le français.</w:t>
      </w:r>
    </w:p>
    <w:p w14:paraId="6732C305">
      <w:pPr>
        <w:spacing w:line="360" w:lineRule="auto"/>
        <w:ind w:firstLine="420" w:firstLineChars="200"/>
      </w:pPr>
      <w:r>
        <w:t>Frais : La partie perdante supportera les frais d’arbitrage raisonnables de la partie gagnante (frais d’arbitrage, honoraires d’avocat, d’expert). Chaque partie supporte ses autres frais.</w:t>
      </w:r>
    </w:p>
    <w:p w14:paraId="2170832A">
      <w:pPr>
        <w:spacing w:line="360" w:lineRule="auto"/>
        <w:ind w:firstLine="420" w:firstLineChars="200"/>
      </w:pPr>
      <w:r>
        <w:t>Mesures conservatoires : Les Parties peuvent solliciter des mesures provisoires auprès d’un tribunal compétent, sans affecter la procédure d’arbitrage.</w:t>
      </w:r>
    </w:p>
    <w:p w14:paraId="7464AEC2">
      <w:pPr>
        <w:spacing w:line="360" w:lineRule="auto"/>
        <w:ind w:firstLine="420" w:firstLineChars="200"/>
      </w:pPr>
      <w:r>
        <w:t>Si une violation constitue une infraction administrative ou pénale, la Partie non défaillante pourra la signaler aux autorités compétentes.</w:t>
      </w:r>
    </w:p>
    <w:p w14:paraId="559133C6">
      <w:pPr>
        <w:spacing w:line="360" w:lineRule="auto"/>
        <w:ind w:firstLine="420" w:firstLineChars="200"/>
      </w:pPr>
      <w:r>
        <w:t>第十三条 其他</w:t>
      </w:r>
    </w:p>
    <w:p w14:paraId="3E7C10F7">
      <w:pPr>
        <w:spacing w:line="360" w:lineRule="auto"/>
        <w:ind w:firstLine="420" w:firstLineChars="200"/>
      </w:pPr>
      <w:r>
        <w:t>1.本协议自双方签署之日起生效，未尽事宜由双方协商解决并另行签订补充协议，补充协议与本协议具有同等的法律效力。</w:t>
      </w:r>
    </w:p>
    <w:p w14:paraId="38A3ABFF">
      <w:pPr>
        <w:spacing w:line="360" w:lineRule="auto"/>
        <w:ind w:firstLine="420" w:firstLineChars="200"/>
      </w:pPr>
      <w:r>
        <w:t>2.除非本协议另有规定，一方未行使或迟延行使本协议项下的权利、权力或特权并不构成放弃这些权利、权力和特权，而单一或部分行使这些权利、权力和特权并不排斥行使任何其他权利、权力和特权。</w:t>
      </w:r>
    </w:p>
    <w:p w14:paraId="7A0A2E6C">
      <w:pPr>
        <w:spacing w:line="360" w:lineRule="auto"/>
        <w:ind w:firstLine="420" w:firstLineChars="200"/>
      </w:pPr>
      <w:r>
        <w:t>3.本协议具有独立的法律效力，不因双方之间签订的其他合同的解除、终止或无效而解除、终止或无效。</w:t>
      </w:r>
    </w:p>
    <w:p w14:paraId="73A3EECD">
      <w:pPr>
        <w:spacing w:line="360" w:lineRule="auto"/>
        <w:ind w:firstLine="420" w:firstLineChars="200"/>
      </w:pPr>
      <w:r>
        <w:t>4.本协议为中文、法语双语言文本，均具有同等的法律效力。当中文与法语文本解释不一致时，除几内亚备案的合同以法语为准外，其他合同均以中文文本为准。</w:t>
      </w:r>
    </w:p>
    <w:p w14:paraId="730D1B31">
      <w:pPr>
        <w:spacing w:line="360" w:lineRule="auto"/>
        <w:ind w:firstLine="420" w:firstLineChars="200"/>
      </w:pPr>
      <w:r>
        <w:t>5.本协议与合同份数保持一致，甲乙双方各执与其合同数量对等的份数，均具有同等法律效力；本协议随主合同生效之日起生效。</w:t>
      </w:r>
    </w:p>
    <w:p w14:paraId="58D91638">
      <w:pPr>
        <w:spacing w:line="360" w:lineRule="auto"/>
        <w:ind w:firstLine="420" w:firstLineChars="200"/>
      </w:pPr>
      <w:r>
        <w:t>Article 13 Autres</w:t>
      </w:r>
    </w:p>
    <w:p w14:paraId="1B364015">
      <w:pPr>
        <w:spacing w:line="360" w:lineRule="auto"/>
        <w:ind w:firstLine="420" w:firstLineChars="200"/>
      </w:pPr>
      <w:r>
        <w:t>Le présent Accord entre en vigueur à la date de sa signature par les deux Parties. Les questions non prévues seront résolues par avenant signé par les Parties, lequel aura force juridique équivalente.</w:t>
      </w:r>
    </w:p>
    <w:p w14:paraId="0B452206">
      <w:pPr>
        <w:spacing w:line="360" w:lineRule="auto"/>
        <w:ind w:firstLine="420" w:firstLineChars="200"/>
      </w:pPr>
      <w:r>
        <w:t>Le non-exercice ou l’exercice tardif d’un droit par une Partie ne vaut pas renonciation. L’exercice partiel d’un droit n’exclut pas l’exercice des autres.</w:t>
      </w:r>
    </w:p>
    <w:p w14:paraId="76370316">
      <w:pPr>
        <w:spacing w:line="360" w:lineRule="auto"/>
        <w:ind w:firstLine="420" w:firstLineChars="200"/>
      </w:pPr>
      <w:r>
        <w:t>Le présent Accord a un effet juridique indépendant. Sa validité n’est pas affectée par la résiliation, l’extinction ou la nullité de tout autre contrat liant les Parties.</w:t>
      </w:r>
    </w:p>
    <w:p w14:paraId="377E6B10">
      <w:pPr>
        <w:spacing w:line="360" w:lineRule="auto"/>
        <w:ind w:firstLine="420" w:firstLineChars="200"/>
      </w:pPr>
      <w:r>
        <w:t>Le présent Accord est établi en versions chinoise et française, les deux faisant également foi. En cas de divergence d’interprétation, la version chinoise prévaudra, sauf pour le contrat devant être déposé auprès des autorités guinéennes, auquel cas la version française prévaudra.</w:t>
      </w:r>
    </w:p>
    <w:p w14:paraId="07DE1943">
      <w:pPr>
        <w:spacing w:line="360" w:lineRule="auto"/>
        <w:rPr>
          <w:b/>
          <w:kern w:val="0"/>
          <w:sz w:val="24"/>
          <w:szCs w:val="24"/>
        </w:rPr>
      </w:pPr>
      <w:r>
        <w:rPr>
          <w:szCs w:val="21"/>
        </w:rPr>
        <w:t>Le nombre d’exemplaires de cet Accord correspond à celui du contrat principal. Chaque Partie détient un nombre d’exemplaires égal à celui du contrat principal qu’elle détient, tous ayant la même valeur. Le présent Accord entre en vigueur en même temps que le contrat principal.</w:t>
      </w:r>
      <w:r>
        <w:rPr>
          <w:szCs w:val="21"/>
        </w:rPr>
        <w:br w:type="page"/>
      </w:r>
      <w:r>
        <w:rPr>
          <w:b/>
          <w:kern w:val="0"/>
          <w:sz w:val="24"/>
          <w:szCs w:val="24"/>
        </w:rPr>
        <w:t xml:space="preserve">Annexe </w:t>
      </w:r>
      <w:r>
        <w:rPr>
          <w:rFonts w:hint="eastAsia"/>
          <w:b/>
          <w:kern w:val="0"/>
          <w:sz w:val="24"/>
          <w:szCs w:val="24"/>
        </w:rPr>
        <w:t>4</w:t>
      </w:r>
    </w:p>
    <w:p w14:paraId="6E7BC7A6">
      <w:pPr>
        <w:keepNext/>
        <w:widowControl/>
        <w:autoSpaceDE w:val="0"/>
        <w:autoSpaceDN w:val="0"/>
        <w:spacing w:line="360" w:lineRule="auto"/>
        <w:jc w:val="left"/>
        <w:outlineLvl w:val="0"/>
        <w:rPr>
          <w:b/>
          <w:kern w:val="0"/>
          <w:sz w:val="24"/>
          <w:szCs w:val="24"/>
        </w:rPr>
      </w:pPr>
      <w:r>
        <w:rPr>
          <w:rFonts w:hint="eastAsia"/>
          <w:b/>
          <w:kern w:val="0"/>
          <w:sz w:val="24"/>
          <w:szCs w:val="24"/>
        </w:rPr>
        <w:t>合同附件4：</w:t>
      </w:r>
    </w:p>
    <w:p w14:paraId="1DA720DF">
      <w:pPr>
        <w:spacing w:line="360" w:lineRule="auto"/>
        <w:ind w:firstLine="422" w:firstLineChars="200"/>
        <w:jc w:val="center"/>
        <w:rPr>
          <w:b/>
          <w:bCs/>
          <w:szCs w:val="21"/>
        </w:rPr>
      </w:pPr>
      <w:r>
        <w:rPr>
          <w:b/>
          <w:bCs/>
          <w:szCs w:val="21"/>
        </w:rPr>
        <w:t>保密协议书</w:t>
      </w:r>
    </w:p>
    <w:p w14:paraId="2FA4BE57">
      <w:pPr>
        <w:pStyle w:val="21"/>
        <w:jc w:val="center"/>
      </w:pPr>
      <w:r>
        <w:rPr>
          <w:b/>
          <w:bCs/>
        </w:rPr>
        <w:t>ACCORD DE CONFIDENTIALITÉ</w:t>
      </w:r>
    </w:p>
    <w:p w14:paraId="5E26D357">
      <w:pPr>
        <w:pStyle w:val="21"/>
      </w:pPr>
    </w:p>
    <w:p w14:paraId="1286923D">
      <w:pPr>
        <w:spacing w:line="360" w:lineRule="auto"/>
        <w:ind w:firstLine="420" w:firstLineChars="200"/>
      </w:pPr>
      <w:r>
        <w:t>鉴于甲乙双方已建立合作关系，乙方存在知悉甲方的商业信息、技术信息等内容之可能，为防止泄密造成双方利益上的损失，为明确双方的保密义务，我们本着平等、自愿、公平的原则，经友好协商签订本协议。</w:t>
      </w:r>
    </w:p>
    <w:p w14:paraId="4FA4FBA3">
      <w:pPr>
        <w:spacing w:line="360" w:lineRule="auto"/>
        <w:ind w:firstLine="420" w:firstLineChars="200"/>
        <w:rPr>
          <w:kern w:val="13"/>
          <w:szCs w:val="21"/>
        </w:rPr>
      </w:pPr>
      <w:r>
        <w:rPr>
          <w:kern w:val="13"/>
          <w:szCs w:val="21"/>
        </w:rPr>
        <w:t>Considérant que les deux Parties ont établi une relation de coopération, et que La Partie B est susceptible de prendre connaissance d’informations commerciales, techniques et autres du Maître d’Ouvrage, afin de prévenir les préjudices résultant d’une divulgation et de définir les obligations de confidentialité des deux parties, les parties, sur la base des principes d’égalité, de volontariat et d’équité, ont conclu le présent accord à l’issue de consultations amicales.</w:t>
      </w:r>
    </w:p>
    <w:p w14:paraId="07566F04">
      <w:pPr>
        <w:spacing w:line="360" w:lineRule="auto"/>
        <w:ind w:firstLine="420" w:firstLineChars="200"/>
      </w:pPr>
      <w:r>
        <w:t>第一条保密的内容和范围 Contenu et portée de la confidentialité</w:t>
      </w:r>
    </w:p>
    <w:p w14:paraId="19ED94EB">
      <w:pPr>
        <w:spacing w:line="360" w:lineRule="auto"/>
        <w:ind w:firstLine="420" w:firstLineChars="200"/>
      </w:pPr>
      <w:r>
        <w:t>1、甲乙双方确认：“保密信息”是指甲方未曾公开的商业秘密、技术信息和财务信息等信息。</w:t>
      </w:r>
    </w:p>
    <w:p w14:paraId="4A76B225">
      <w:pPr>
        <w:spacing w:line="360" w:lineRule="auto"/>
        <w:ind w:firstLine="420" w:firstLineChars="200"/>
        <w:rPr>
          <w:kern w:val="13"/>
          <w:szCs w:val="21"/>
        </w:rPr>
      </w:pPr>
      <w:r>
        <w:rPr>
          <w:kern w:val="13"/>
          <w:szCs w:val="21"/>
        </w:rPr>
        <w:t>Les deux Parties confirment que les « Informations Confidentielles » désignent les secrets commerciaux, informations techniques, informations financières et autres informations non divulguées par le Maître d’Ouvrage.</w:t>
      </w:r>
    </w:p>
    <w:p w14:paraId="469D06D0">
      <w:pPr>
        <w:spacing w:line="360" w:lineRule="auto"/>
        <w:ind w:firstLine="420" w:firstLineChars="200"/>
      </w:pPr>
      <w:r>
        <w:t>2、本合同提及的商业秘密，包括：</w:t>
      </w:r>
    </w:p>
    <w:p w14:paraId="111B3D72">
      <w:pPr>
        <w:spacing w:line="360" w:lineRule="auto"/>
        <w:ind w:firstLine="420" w:firstLineChars="200"/>
      </w:pPr>
      <w:r>
        <w:rPr>
          <w:kern w:val="13"/>
          <w:szCs w:val="21"/>
        </w:rPr>
        <w:t>Les secrets commerciaux visés par le présent contrat incluent, sans s’y limiter :</w:t>
      </w:r>
    </w:p>
    <w:p w14:paraId="5D10F6C2">
      <w:pPr>
        <w:spacing w:line="360" w:lineRule="auto"/>
        <w:ind w:firstLine="420" w:firstLineChars="200"/>
      </w:pPr>
      <w:r>
        <w:t>1）交易秘密，包括商品产、供、销渠道，市场开发及销售前后服务情况、客户名单，甲乙意向，成交或者商谈的价格等；</w:t>
      </w:r>
    </w:p>
    <w:p w14:paraId="6ED76117">
      <w:pPr>
        <w:spacing w:line="360" w:lineRule="auto"/>
        <w:ind w:firstLine="420" w:firstLineChars="200"/>
        <w:rPr>
          <w:kern w:val="13"/>
          <w:szCs w:val="21"/>
        </w:rPr>
      </w:pPr>
      <w:r>
        <w:rPr>
          <w:kern w:val="13"/>
          <w:szCs w:val="21"/>
        </w:rPr>
        <w:t>Secrets transactionnels : canaux de production, d’approvisionnement et de vente de marchandises, développement du marché, service après-vente, listes de clients, intentions des parties A et B, prix conclus ou en négociation, etc.</w:t>
      </w:r>
    </w:p>
    <w:p w14:paraId="57B4AFC8">
      <w:pPr>
        <w:spacing w:line="360" w:lineRule="auto"/>
        <w:ind w:firstLine="420" w:firstLineChars="200"/>
      </w:pPr>
      <w:r>
        <w:t>2）经营秘密，包括经营方针、产品或者服务的销售网络、进货渠道、产销策略、产品服务定价，市场分析，广告策略、投资意向，招投标中的标底及标书内容、可行性研究报告、项目实施方案、项目申报资料、各种协议合同等；</w:t>
      </w:r>
    </w:p>
    <w:p w14:paraId="49C87262">
      <w:pPr>
        <w:spacing w:line="360" w:lineRule="auto"/>
        <w:ind w:firstLine="420" w:firstLineChars="200"/>
        <w:rPr>
          <w:kern w:val="13"/>
          <w:szCs w:val="21"/>
        </w:rPr>
      </w:pPr>
      <w:r>
        <w:rPr>
          <w:kern w:val="13"/>
          <w:szCs w:val="21"/>
        </w:rPr>
        <w:t>Secrets opérationnels : politiques commerciales, réseau de vente de produits ou services, canaux d’approvisionnement, stratégies de production et de vente, tarification des produits/services, analyses de marché, stratégies publicitaires, intentions d’investissement, base d’appel d’offres et contenu des soumissions, études de faisabilité, plans de mise en œuvre de projet, documents de soumission de projet, divers accords et contrats, etc.</w:t>
      </w:r>
    </w:p>
    <w:p w14:paraId="29D8F491">
      <w:pPr>
        <w:spacing w:line="360" w:lineRule="auto"/>
        <w:ind w:firstLine="420" w:firstLineChars="200"/>
      </w:pPr>
      <w:r>
        <w:t>3）管理秘密，包括公司各种管理制度，所有财务资料，采购资料、人事资料，工薪资料以及操作手册等；</w:t>
      </w:r>
    </w:p>
    <w:p w14:paraId="032B25C9">
      <w:pPr>
        <w:spacing w:line="360" w:lineRule="auto"/>
        <w:ind w:firstLine="420" w:firstLineChars="200"/>
        <w:rPr>
          <w:kern w:val="13"/>
          <w:szCs w:val="21"/>
        </w:rPr>
      </w:pPr>
      <w:r>
        <w:rPr>
          <w:kern w:val="13"/>
          <w:szCs w:val="21"/>
        </w:rPr>
        <w:t>Secrets de gestion : tous les systèmes de gestion de l’entreprise, toutes les données financières, données d’approvisionnement, données RH, données salariales et manuels opérationnels, etc.</w:t>
      </w:r>
    </w:p>
    <w:p w14:paraId="295551F5">
      <w:pPr>
        <w:spacing w:line="360" w:lineRule="auto"/>
        <w:ind w:firstLine="420" w:firstLineChars="200"/>
      </w:pPr>
      <w:r>
        <w:t>3、本合同所指技术信息，包括：</w:t>
      </w:r>
    </w:p>
    <w:p w14:paraId="4935F7DA">
      <w:pPr>
        <w:spacing w:line="360" w:lineRule="auto"/>
        <w:ind w:firstLine="420" w:firstLineChars="200"/>
        <w:rPr>
          <w:kern w:val="13"/>
          <w:szCs w:val="21"/>
        </w:rPr>
      </w:pPr>
      <w:r>
        <w:rPr>
          <w:kern w:val="13"/>
          <w:szCs w:val="21"/>
        </w:rPr>
        <w:t>Les informations techniques visées par le présent contrat incluent, sans s’y limiter :</w:t>
      </w:r>
    </w:p>
    <w:p w14:paraId="36723A7E">
      <w:pPr>
        <w:spacing w:line="360" w:lineRule="auto"/>
        <w:ind w:firstLine="420" w:firstLineChars="200"/>
      </w:pPr>
      <w:r>
        <w:t>1）数据库、软件、软件文档、软件代码、设计资料、电脑测试传输系统、系统、产品、服务或者透露方拥有、开发或者正在开发的程序，包括但不限于从计划、制图、图表、草图、模型或者程序说明中获得的信息，从设备的检查中，及从电脑程序、数据库、软件、电脑硬件组件或者其他类似零件中获得的信息；</w:t>
      </w:r>
    </w:p>
    <w:p w14:paraId="573AB483">
      <w:pPr>
        <w:spacing w:line="360" w:lineRule="auto"/>
        <w:ind w:firstLine="420" w:firstLineChars="200"/>
        <w:rPr>
          <w:kern w:val="13"/>
          <w:szCs w:val="21"/>
        </w:rPr>
      </w:pPr>
      <w:r>
        <w:rPr>
          <w:kern w:val="13"/>
          <w:szCs w:val="21"/>
        </w:rPr>
        <w:t>Bases de données, logiciels, documentation logicielle, code source, documentation de conception, systèmes de test et de transmission informatiques, systèmes, produits, services ou programmes détenus, développés ou en cours de développement par la partie divulgatrice, y compris les informations obtenues à partir de plans, dessins, schémas, croquis, modèles ou descriptions de programmes, d’inspections d’équipements, et de programmes informatiques, bases de données, logiciels, composants matériels ou autres pièces similaires.</w:t>
      </w:r>
    </w:p>
    <w:p w14:paraId="022BDD09">
      <w:pPr>
        <w:spacing w:line="360" w:lineRule="auto"/>
        <w:ind w:firstLine="420" w:firstLineChars="200"/>
      </w:pPr>
      <w:r>
        <w:t>2）有关投资方的商业计划、营销计划或者商机的信息；</w:t>
      </w:r>
    </w:p>
    <w:p w14:paraId="67CB54C5">
      <w:pPr>
        <w:spacing w:line="360" w:lineRule="auto"/>
        <w:ind w:firstLine="420" w:firstLineChars="200"/>
        <w:rPr>
          <w:kern w:val="13"/>
          <w:szCs w:val="21"/>
        </w:rPr>
      </w:pPr>
      <w:r>
        <w:rPr>
          <w:kern w:val="13"/>
          <w:szCs w:val="21"/>
        </w:rPr>
        <w:t>Informations concernant les plans commerciaux, plans marketing ou opportunités commerciales de la partie investisseuse.</w:t>
      </w:r>
    </w:p>
    <w:p w14:paraId="7E7FF3BD">
      <w:pPr>
        <w:spacing w:line="360" w:lineRule="auto"/>
        <w:ind w:firstLine="420" w:firstLineChars="200"/>
      </w:pPr>
      <w:r>
        <w:t>3）有关透露方的财务、业务，或者业务操作方法和方法提议的信息。</w:t>
      </w:r>
    </w:p>
    <w:p w14:paraId="0DB69944">
      <w:pPr>
        <w:spacing w:line="360" w:lineRule="auto"/>
        <w:ind w:firstLine="420" w:firstLineChars="200"/>
        <w:rPr>
          <w:kern w:val="13"/>
          <w:szCs w:val="21"/>
        </w:rPr>
      </w:pPr>
      <w:r>
        <w:rPr>
          <w:kern w:val="13"/>
          <w:szCs w:val="21"/>
        </w:rPr>
        <w:t>Informations concernant la situation financière, les activités ou les méthodes et propositions opérationnelles de la partie divulgatrice.</w:t>
      </w:r>
    </w:p>
    <w:p w14:paraId="31228611">
      <w:pPr>
        <w:spacing w:line="360" w:lineRule="auto"/>
        <w:ind w:firstLine="420" w:firstLineChars="200"/>
      </w:pPr>
      <w:r>
        <w:t>4）由于图例和其他标记等理应为公司保密的其他信息。</w:t>
      </w:r>
    </w:p>
    <w:p w14:paraId="147E1524">
      <w:pPr>
        <w:spacing w:line="360" w:lineRule="auto"/>
        <w:ind w:firstLine="420" w:firstLineChars="200"/>
        <w:rPr>
          <w:kern w:val="13"/>
          <w:szCs w:val="21"/>
        </w:rPr>
      </w:pPr>
      <w:r>
        <w:rPr>
          <w:kern w:val="13"/>
          <w:szCs w:val="21"/>
        </w:rPr>
        <w:t>Toutes autres informations qui, en raison de légendes et autres marquages, devraient raisonnablement être considérées comme confidentielles par l’entreprise.</w:t>
      </w:r>
    </w:p>
    <w:p w14:paraId="43FDCD2F">
      <w:pPr>
        <w:spacing w:line="360" w:lineRule="auto"/>
        <w:ind w:firstLine="420" w:firstLineChars="200"/>
      </w:pPr>
      <w:r>
        <w:t>4、乙方在甲方工作期间可能直接或者间接地通过书面、口头、图表、音像资料等途径获得或者观察全部或者部分设备、产品等获得的秘密信息，乙方应予保密。</w:t>
      </w:r>
    </w:p>
    <w:p w14:paraId="7AB56C5F">
      <w:pPr>
        <w:spacing w:line="360" w:lineRule="auto"/>
        <w:ind w:firstLine="420" w:firstLineChars="200"/>
        <w:rPr>
          <w:kern w:val="13"/>
          <w:szCs w:val="21"/>
        </w:rPr>
      </w:pPr>
      <w:r>
        <w:rPr>
          <w:kern w:val="13"/>
          <w:szCs w:val="21"/>
        </w:rPr>
        <w:t>Les informations secrètes que la Partie B pourrait obtenir ou observer, directement ou indirectement, pendant la durée de son travail avec le Maître d’Ouvrage, par des moyens écrits, oraux, graphiques, audiovisuels ou autres, en totalité ou en partie (équipements, produits, etc.), doivent être traitées comme confidentielles par l’Entrepreneur.</w:t>
      </w:r>
    </w:p>
    <w:p w14:paraId="1D0B72B9">
      <w:pPr>
        <w:spacing w:line="360" w:lineRule="auto"/>
        <w:ind w:firstLine="420" w:firstLineChars="200"/>
      </w:pPr>
      <w:r>
        <w:t>5、未经甲乙双方同意，不得将双方目前的所有合作事宜透露到第三方。</w:t>
      </w:r>
    </w:p>
    <w:p w14:paraId="5B3CE092">
      <w:pPr>
        <w:spacing w:line="360" w:lineRule="auto"/>
        <w:ind w:firstLine="420" w:firstLineChars="200"/>
        <w:rPr>
          <w:kern w:val="13"/>
          <w:szCs w:val="21"/>
        </w:rPr>
      </w:pPr>
      <w:r>
        <w:rPr>
          <w:kern w:val="13"/>
          <w:szCs w:val="21"/>
        </w:rPr>
        <w:t>Sans l’accord des Parties A et B, les détails de leur coopération actuelle ne doivent pas être divulgués à des tiers.</w:t>
      </w:r>
    </w:p>
    <w:p w14:paraId="4980382D">
      <w:pPr>
        <w:spacing w:line="360" w:lineRule="auto"/>
        <w:ind w:firstLine="420" w:firstLineChars="200"/>
      </w:pPr>
      <w:r>
        <w:t>第二条双方的义务 Obligations des parties</w:t>
      </w:r>
    </w:p>
    <w:p w14:paraId="56F7E8D8">
      <w:pPr>
        <w:spacing w:line="360" w:lineRule="auto"/>
        <w:ind w:firstLine="420" w:firstLineChars="200"/>
      </w:pPr>
      <w:r>
        <w:t>1、乙方未经甲方同意，不得以泄露、告知、公开、发布、出版、传授、转让或者其他任何方式使第三方（包括按照保密制度的规定不得知悉该项秘密的甲方其他职员）知悉属于甲方或者虽属于他人但甲方承诺有保密义务的技术信息或者其他商业信息，也不得在履行职务之外使用这些保密信息。</w:t>
      </w:r>
    </w:p>
    <w:p w14:paraId="7FAC7FC8">
      <w:pPr>
        <w:spacing w:line="360" w:lineRule="auto"/>
        <w:ind w:firstLine="420" w:firstLineChars="200"/>
        <w:rPr>
          <w:kern w:val="13"/>
          <w:szCs w:val="21"/>
        </w:rPr>
      </w:pPr>
      <w:r>
        <w:rPr>
          <w:kern w:val="13"/>
          <w:szCs w:val="21"/>
        </w:rPr>
        <w:t>Sans l’accord préalable du Maître d’Ouvrage, l’Entrepreneur ne doit pas divulguer, révéler, publier, diffuser, enseigner, transférer ou permettre par quelque moyen que ce soit à un tiers (y compris d’autres employés du Maître d’Ouvrage qui ne sont pas autorisés à connaître ledit secret selon les règles de confidentialité) de prendre connaissance des informations techniques ou autres informations commerciales appartenant au Maître d’Ouvrage ou pour lesquelles le Maître d’Ouvrage s’est engagée à respecter la confidentialité, ni utiliser ces informations confidentielles en dehors de l’exécution de ses fonctions.</w:t>
      </w:r>
    </w:p>
    <w:p w14:paraId="17AF0947">
      <w:pPr>
        <w:spacing w:line="360" w:lineRule="auto"/>
        <w:ind w:firstLine="420" w:firstLineChars="200"/>
      </w:pPr>
      <w:r>
        <w:t>2、乙方承诺，严格保守自己在为甲方工作期间所获得有关甲方及甲方项目的一切秘密信息。</w:t>
      </w:r>
    </w:p>
    <w:p w14:paraId="3103B8BE">
      <w:pPr>
        <w:spacing w:line="360" w:lineRule="auto"/>
        <w:ind w:firstLine="420" w:firstLineChars="200"/>
        <w:rPr>
          <w:kern w:val="13"/>
          <w:szCs w:val="21"/>
        </w:rPr>
      </w:pPr>
      <w:r>
        <w:rPr>
          <w:kern w:val="13"/>
          <w:szCs w:val="21"/>
        </w:rPr>
        <w:t>L’Entrepreneur s’engage à garder strictement confidentielles toutes les informations secrètes concernant le Maître d’Ouvrage et ses projets qu’elle a obtenues pendant son travail avec le Maître d’Ouvrage.</w:t>
      </w:r>
    </w:p>
    <w:p w14:paraId="76D32397">
      <w:pPr>
        <w:spacing w:line="360" w:lineRule="auto"/>
        <w:ind w:firstLine="420" w:firstLineChars="200"/>
      </w:pPr>
      <w:r>
        <w:t>3、乙方保证未经甲方事先书面许可，不得以任何方式自行使用秘密信息，并且不得以任何方式许可或者协助他人使用保密信息。确因工作需要，乙方将数据、资料等保密信息向第三方移交时，须持有甲方的书面同意。</w:t>
      </w:r>
    </w:p>
    <w:p w14:paraId="1D095E81">
      <w:pPr>
        <w:spacing w:line="360" w:lineRule="auto"/>
        <w:ind w:firstLine="420" w:firstLineChars="200"/>
        <w:rPr>
          <w:kern w:val="13"/>
          <w:szCs w:val="21"/>
        </w:rPr>
      </w:pPr>
      <w:r>
        <w:rPr>
          <w:kern w:val="13"/>
          <w:szCs w:val="21"/>
        </w:rPr>
        <w:t>L’Entrepreneur garantit qu’elle n’utilisera pas les Informations Confidentielles par quelque moyen que ce soit sans l’autorisation écrite préalable du Maître d’Ouvrage, et qu’elle n’autorisera ni n’assistera autrui à les utiliser. Si la transmission de données ou d’informations confidentielles à un tiers est nécessaire pour le travail, elle doit être préalablement autorisée par écrit par le Maître d’Ouvrage.</w:t>
      </w:r>
    </w:p>
    <w:p w14:paraId="0B7B3E14">
      <w:pPr>
        <w:spacing w:line="360" w:lineRule="auto"/>
        <w:ind w:firstLine="420" w:firstLineChars="200"/>
      </w:pPr>
      <w:r>
        <w:t>第三条违约责任 Responsabilité en cas de violation</w:t>
      </w:r>
    </w:p>
    <w:p w14:paraId="1209361F">
      <w:pPr>
        <w:spacing w:line="360" w:lineRule="auto"/>
        <w:ind w:firstLine="420" w:firstLineChars="200"/>
      </w:pPr>
      <w:r>
        <w:t>1、如果乙方违反本合同的规定，应支付给甲方违约金，违约金的数额以给甲方造成的损失为标准赔偿。</w:t>
      </w:r>
    </w:p>
    <w:p w14:paraId="066E073A">
      <w:pPr>
        <w:spacing w:line="360" w:lineRule="auto"/>
        <w:ind w:firstLine="420" w:firstLineChars="200"/>
        <w:rPr>
          <w:kern w:val="13"/>
          <w:szCs w:val="21"/>
        </w:rPr>
      </w:pPr>
      <w:r>
        <w:rPr>
          <w:kern w:val="13"/>
          <w:szCs w:val="21"/>
        </w:rPr>
        <w:t>Si l’Entrepreneur viole les dispositions du présent contrat, elle devra payer au Maître d’Ouvrage des dommages-intérêts forfaitaires, dont le montant sera calculé sur la base du préjudice subi par le Maître d’Ouvrage.</w:t>
      </w:r>
    </w:p>
    <w:p w14:paraId="4617E5E1">
      <w:pPr>
        <w:spacing w:line="360" w:lineRule="auto"/>
        <w:ind w:firstLine="420" w:firstLineChars="200"/>
      </w:pPr>
      <w:r>
        <w:t>2、因为乙方的原因导致甲方商业秘密、技术信息等泄露，无论结果如何，都由乙方承担相应责任，同时甲方保留对其追究法律责任的权利。</w:t>
      </w:r>
    </w:p>
    <w:p w14:paraId="1DDAD037">
      <w:pPr>
        <w:spacing w:line="360" w:lineRule="auto"/>
        <w:ind w:firstLine="420" w:firstLineChars="200"/>
        <w:rPr>
          <w:kern w:val="13"/>
          <w:szCs w:val="21"/>
        </w:rPr>
      </w:pPr>
      <w:r>
        <w:rPr>
          <w:kern w:val="13"/>
          <w:szCs w:val="21"/>
        </w:rPr>
        <w:t>Si la divulgation d’informations commerciales ou techniques secrètes du Maître d’Ouvrage est due à l’Entrepreneur, cette dernière en assumera la responsabilité, quelles qu’en soient les conséquences, et le Maître d’Ouvrage se réserve le droit d’engager des poursuites judiciaires.</w:t>
      </w:r>
    </w:p>
    <w:p w14:paraId="6E72A1E6">
      <w:pPr>
        <w:spacing w:line="360" w:lineRule="auto"/>
        <w:ind w:firstLine="420" w:firstLineChars="200"/>
      </w:pPr>
      <w:r>
        <w:t>3、乙方利用甲方商业秘密或者技术信息等为个人或者第三方获取利用时，乙方须支付甲方10倍于此信息成本的金额作为赔偿，不足以弥补甲方损失时，乙方尚有赔偿甲方实际损失和可得利益损失的义务。</w:t>
      </w:r>
    </w:p>
    <w:p w14:paraId="3EB9DF2E">
      <w:pPr>
        <w:spacing w:line="360" w:lineRule="auto"/>
        <w:ind w:firstLine="420" w:firstLineChars="200"/>
        <w:rPr>
          <w:kern w:val="13"/>
          <w:szCs w:val="21"/>
        </w:rPr>
      </w:pPr>
      <w:r>
        <w:rPr>
          <w:kern w:val="13"/>
          <w:szCs w:val="21"/>
        </w:rPr>
        <w:t>Si l’Entrepreneur utilise les secrets commerciaux ou informations techniques du Maître d’Ouvrage pour son bénéfice personnel ou celui d’un tiers, elle devra payer au Maître d’Ouvrage une indemnité équivalente à dix fois le coût de ces informations. Si cette indemnité est insuffisante pour couvrir le préjudice du Maître d’Ouvrage, l’Entrepreneur sera tenu de compenser le préjudice réel et la perte de bénéfices escomptés subis par le Maître d’Ouvrage.</w:t>
      </w:r>
    </w:p>
    <w:p w14:paraId="7BB3AD77">
      <w:pPr>
        <w:spacing w:line="360" w:lineRule="auto"/>
        <w:ind w:firstLine="420" w:firstLineChars="200"/>
      </w:pPr>
      <w:r>
        <w:t>第四条 争议的解决办法</w:t>
      </w:r>
      <w:bookmarkStart w:id="218" w:name="OLE_LINK86"/>
      <w:r>
        <w:t xml:space="preserve"> Règlement des litiges</w:t>
      </w:r>
      <w:bookmarkEnd w:id="218"/>
    </w:p>
    <w:p w14:paraId="3712B28E">
      <w:pPr>
        <w:spacing w:line="360" w:lineRule="auto"/>
        <w:ind w:firstLine="420" w:firstLineChars="200"/>
      </w:pPr>
      <w:r>
        <w:t>1、本合同一经签署，即视为甲乙双方认可本合同各条款。</w:t>
      </w:r>
    </w:p>
    <w:p w14:paraId="6358C308">
      <w:pPr>
        <w:spacing w:line="360" w:lineRule="auto"/>
        <w:ind w:firstLine="420" w:firstLineChars="200"/>
        <w:rPr>
          <w:kern w:val="13"/>
          <w:szCs w:val="21"/>
        </w:rPr>
      </w:pPr>
      <w:r>
        <w:rPr>
          <w:kern w:val="13"/>
          <w:szCs w:val="21"/>
        </w:rPr>
        <w:t>La signature du présent contrat vaut acceptation de toutes ses clauses par les Parties A et B.</w:t>
      </w:r>
    </w:p>
    <w:p w14:paraId="5F3EF4C1">
      <w:pPr>
        <w:spacing w:line="360" w:lineRule="auto"/>
        <w:ind w:firstLine="420" w:firstLineChars="200"/>
      </w:pPr>
      <w:r>
        <w:t>2、因执行本合同而发生的纠纷，可以由双方协商解决或者共同委托双方信任的第三方进行调节，协商调解不成或者一方不愿协商、调解的，任何一方都有提起诉讼的权利。</w:t>
      </w:r>
    </w:p>
    <w:p w14:paraId="0D406AB4">
      <w:pPr>
        <w:spacing w:line="360" w:lineRule="auto"/>
        <w:ind w:firstLine="420" w:firstLineChars="200"/>
        <w:rPr>
          <w:kern w:val="13"/>
          <w:szCs w:val="21"/>
        </w:rPr>
      </w:pPr>
      <w:r>
        <w:rPr>
          <w:kern w:val="13"/>
          <w:szCs w:val="21"/>
        </w:rPr>
        <w:t>Les litiges issus de l’exécution du présent contrat peuvent être résolus par des consultations entre les parties ou par la médiation d’un tiers de confiance mutuelle. Si les consultations ou la médiation échouent, ou si une partie refuse de consulter ou de médier, toute partie a le droit d’intenter une action en justice.</w:t>
      </w:r>
    </w:p>
    <w:p w14:paraId="7B4A4604">
      <w:pPr>
        <w:spacing w:line="360" w:lineRule="auto"/>
        <w:ind w:firstLine="420" w:firstLineChars="200"/>
      </w:pPr>
      <w:r>
        <w:t>第五条 协议的修改和变更Modification de l’Accord</w:t>
      </w:r>
    </w:p>
    <w:p w14:paraId="6B6D045B">
      <w:pPr>
        <w:spacing w:line="360" w:lineRule="auto"/>
        <w:ind w:firstLine="420" w:firstLineChars="200"/>
      </w:pPr>
      <w:r>
        <w:t>1、对本协议的任何修改需要得到双方的同意，并以书面形式达成，如果本协议中任何一个或者多个条款出现任何方面的无效、不合法等情况，该条款不影响其他条款的有效性。</w:t>
      </w:r>
    </w:p>
    <w:p w14:paraId="504D0F78">
      <w:pPr>
        <w:spacing w:line="360" w:lineRule="auto"/>
        <w:ind w:firstLine="420" w:firstLineChars="200"/>
        <w:rPr>
          <w:kern w:val="13"/>
          <w:szCs w:val="21"/>
        </w:rPr>
      </w:pPr>
      <w:r>
        <w:rPr>
          <w:kern w:val="13"/>
          <w:szCs w:val="21"/>
        </w:rPr>
        <w:t>Toute modification du présent accord nécessite l’accord des deux parties et doit être formalisée par écrit. Si une ou plusieurs clauses du présent accord sont jugées invalides, illégales ou inapplicables, cela n’affectera pas la validité des autres clauses.</w:t>
      </w:r>
    </w:p>
    <w:p w14:paraId="3757448A">
      <w:pPr>
        <w:spacing w:line="360" w:lineRule="auto"/>
        <w:ind w:firstLine="420" w:firstLineChars="200"/>
      </w:pPr>
      <w:r>
        <w:t>2、本协议与国家法律法规相抵触时，以国家法律法规为准。</w:t>
      </w:r>
    </w:p>
    <w:p w14:paraId="29ED22B9">
      <w:pPr>
        <w:spacing w:line="360" w:lineRule="auto"/>
        <w:ind w:firstLine="420" w:firstLineChars="200"/>
        <w:rPr>
          <w:kern w:val="13"/>
          <w:szCs w:val="21"/>
        </w:rPr>
      </w:pPr>
      <w:r>
        <w:rPr>
          <w:kern w:val="13"/>
          <w:szCs w:val="21"/>
        </w:rPr>
        <w:t>En cas de contradiction entre le présent accord et les lois et règlements nationaux, ces derniers prévaudront.</w:t>
      </w:r>
    </w:p>
    <w:p w14:paraId="0959DCB7">
      <w:pPr>
        <w:adjustRightInd w:val="0"/>
        <w:snapToGrid w:val="0"/>
        <w:spacing w:line="360" w:lineRule="auto"/>
        <w:ind w:right="1470" w:firstLine="420" w:firstLineChars="200"/>
      </w:pPr>
      <w:r>
        <w:t>本协议随主合同生效之日起生效。</w:t>
      </w:r>
    </w:p>
    <w:p w14:paraId="57751339">
      <w:pPr>
        <w:spacing w:line="360" w:lineRule="auto"/>
        <w:ind w:firstLine="420" w:firstLineChars="200"/>
        <w:rPr>
          <w:kern w:val="13"/>
          <w:szCs w:val="21"/>
        </w:rPr>
      </w:pPr>
      <w:r>
        <w:rPr>
          <w:kern w:val="13"/>
          <w:szCs w:val="21"/>
        </w:rPr>
        <w:t>Le présent accord entre en vigueur à la date d’entrée en vigueur du contrat principal.</w:t>
      </w:r>
    </w:p>
    <w:p w14:paraId="416F5B22">
      <w:pPr>
        <w:pStyle w:val="2"/>
        <w:adjustRightInd w:val="0"/>
        <w:snapToGrid w:val="0"/>
        <w:spacing w:before="0" w:after="0" w:line="360" w:lineRule="auto"/>
        <w:jc w:val="center"/>
        <w:rPr>
          <w:sz w:val="28"/>
          <w:szCs w:val="28"/>
        </w:rPr>
      </w:pPr>
    </w:p>
    <w:p w14:paraId="6807F0A1">
      <w:pPr>
        <w:rPr>
          <w:b/>
          <w:kern w:val="0"/>
          <w:sz w:val="24"/>
          <w:szCs w:val="24"/>
        </w:rPr>
      </w:pPr>
    </w:p>
    <w:p w14:paraId="13A7430F">
      <w:pPr>
        <w:rPr>
          <w:b/>
          <w:kern w:val="0"/>
          <w:sz w:val="24"/>
          <w:szCs w:val="24"/>
        </w:rPr>
      </w:pPr>
    </w:p>
    <w:p w14:paraId="12C43F83">
      <w:pPr>
        <w:rPr>
          <w:b/>
          <w:kern w:val="0"/>
          <w:sz w:val="24"/>
          <w:szCs w:val="24"/>
        </w:rPr>
      </w:pPr>
    </w:p>
    <w:p w14:paraId="0DC54CC0">
      <w:pPr>
        <w:rPr>
          <w:b/>
          <w:kern w:val="0"/>
          <w:sz w:val="24"/>
          <w:szCs w:val="24"/>
        </w:rPr>
      </w:pPr>
    </w:p>
    <w:p w14:paraId="651E1227">
      <w:pPr>
        <w:rPr>
          <w:b/>
          <w:kern w:val="0"/>
          <w:sz w:val="24"/>
          <w:szCs w:val="24"/>
        </w:rPr>
      </w:pPr>
    </w:p>
    <w:p w14:paraId="4DAB490B">
      <w:pPr>
        <w:rPr>
          <w:b/>
          <w:kern w:val="0"/>
          <w:sz w:val="24"/>
          <w:szCs w:val="24"/>
        </w:rPr>
      </w:pPr>
    </w:p>
    <w:p w14:paraId="3F1E13E5">
      <w:pPr>
        <w:rPr>
          <w:b/>
          <w:kern w:val="0"/>
          <w:sz w:val="24"/>
          <w:szCs w:val="24"/>
        </w:rPr>
      </w:pPr>
    </w:p>
    <w:p w14:paraId="7FEE1D6A">
      <w:pPr>
        <w:rPr>
          <w:b/>
          <w:kern w:val="0"/>
          <w:sz w:val="24"/>
          <w:szCs w:val="24"/>
        </w:rPr>
      </w:pPr>
    </w:p>
    <w:p w14:paraId="6CEB7AEB">
      <w:pPr>
        <w:rPr>
          <w:b/>
          <w:kern w:val="0"/>
          <w:sz w:val="24"/>
          <w:szCs w:val="24"/>
        </w:rPr>
      </w:pPr>
    </w:p>
    <w:p w14:paraId="20D77CB0">
      <w:pPr>
        <w:rPr>
          <w:b/>
          <w:kern w:val="0"/>
          <w:sz w:val="24"/>
          <w:szCs w:val="24"/>
        </w:rPr>
      </w:pPr>
    </w:p>
    <w:p w14:paraId="05D73466">
      <w:pPr>
        <w:rPr>
          <w:b/>
          <w:kern w:val="0"/>
          <w:sz w:val="24"/>
          <w:szCs w:val="24"/>
        </w:rPr>
      </w:pPr>
    </w:p>
    <w:p w14:paraId="2C01D2F8">
      <w:pPr>
        <w:rPr>
          <w:b/>
          <w:kern w:val="0"/>
          <w:sz w:val="24"/>
          <w:szCs w:val="24"/>
        </w:rPr>
      </w:pPr>
    </w:p>
    <w:p w14:paraId="5D074A7C">
      <w:pPr>
        <w:rPr>
          <w:b/>
          <w:kern w:val="0"/>
          <w:sz w:val="24"/>
          <w:szCs w:val="24"/>
        </w:rPr>
      </w:pPr>
    </w:p>
    <w:p w14:paraId="7BC16171">
      <w:pPr>
        <w:rPr>
          <w:b/>
          <w:kern w:val="0"/>
          <w:sz w:val="24"/>
          <w:szCs w:val="24"/>
        </w:rPr>
      </w:pPr>
    </w:p>
    <w:p w14:paraId="44C4298E">
      <w:pPr>
        <w:rPr>
          <w:b/>
          <w:kern w:val="0"/>
          <w:sz w:val="24"/>
          <w:szCs w:val="24"/>
        </w:rPr>
      </w:pPr>
    </w:p>
    <w:p w14:paraId="347B1004">
      <w:pPr>
        <w:rPr>
          <w:b/>
          <w:kern w:val="0"/>
          <w:sz w:val="24"/>
          <w:szCs w:val="24"/>
        </w:rPr>
      </w:pPr>
    </w:p>
    <w:p w14:paraId="702244B7">
      <w:pPr>
        <w:rPr>
          <w:b/>
          <w:kern w:val="0"/>
          <w:sz w:val="24"/>
          <w:szCs w:val="24"/>
        </w:rPr>
      </w:pPr>
    </w:p>
    <w:p w14:paraId="6DB30375">
      <w:pPr>
        <w:rPr>
          <w:b/>
          <w:kern w:val="0"/>
          <w:sz w:val="24"/>
          <w:szCs w:val="24"/>
        </w:rPr>
      </w:pPr>
    </w:p>
    <w:p w14:paraId="07989DC3">
      <w:pPr>
        <w:rPr>
          <w:b/>
          <w:kern w:val="0"/>
          <w:sz w:val="24"/>
          <w:szCs w:val="24"/>
        </w:rPr>
      </w:pPr>
    </w:p>
    <w:p w14:paraId="04E8F7DE">
      <w:pPr>
        <w:rPr>
          <w:b/>
          <w:kern w:val="0"/>
          <w:sz w:val="24"/>
          <w:szCs w:val="24"/>
        </w:rPr>
      </w:pPr>
    </w:p>
    <w:p w14:paraId="7879B1B3">
      <w:pPr>
        <w:rPr>
          <w:b/>
          <w:kern w:val="0"/>
          <w:sz w:val="24"/>
          <w:szCs w:val="24"/>
        </w:rPr>
      </w:pPr>
    </w:p>
    <w:p w14:paraId="6FA306C0">
      <w:pPr>
        <w:rPr>
          <w:b/>
          <w:kern w:val="0"/>
          <w:sz w:val="24"/>
          <w:szCs w:val="24"/>
        </w:rPr>
      </w:pPr>
    </w:p>
    <w:p w14:paraId="5C46F526">
      <w:pPr>
        <w:rPr>
          <w:b/>
          <w:kern w:val="0"/>
          <w:sz w:val="24"/>
          <w:szCs w:val="24"/>
        </w:rPr>
      </w:pPr>
    </w:p>
    <w:p w14:paraId="2937A752">
      <w:pPr>
        <w:rPr>
          <w:b/>
          <w:kern w:val="0"/>
          <w:sz w:val="24"/>
          <w:szCs w:val="24"/>
        </w:rPr>
      </w:pPr>
    </w:p>
    <w:p w14:paraId="571AB992">
      <w:pPr>
        <w:rPr>
          <w:b/>
          <w:kern w:val="0"/>
          <w:sz w:val="24"/>
          <w:szCs w:val="24"/>
        </w:rPr>
      </w:pPr>
    </w:p>
    <w:p w14:paraId="374E0C80">
      <w:pPr>
        <w:rPr>
          <w:b/>
          <w:kern w:val="0"/>
          <w:sz w:val="24"/>
          <w:szCs w:val="24"/>
        </w:rPr>
      </w:pPr>
    </w:p>
    <w:p w14:paraId="48426B02">
      <w:pPr>
        <w:rPr>
          <w:b/>
          <w:kern w:val="0"/>
          <w:sz w:val="24"/>
          <w:szCs w:val="24"/>
        </w:rPr>
      </w:pPr>
    </w:p>
    <w:p w14:paraId="371003C5">
      <w:pPr>
        <w:rPr>
          <w:b/>
          <w:kern w:val="0"/>
          <w:sz w:val="24"/>
          <w:szCs w:val="24"/>
        </w:rPr>
      </w:pPr>
    </w:p>
    <w:p w14:paraId="7C6D6073">
      <w:pPr>
        <w:rPr>
          <w:b/>
          <w:kern w:val="0"/>
          <w:sz w:val="24"/>
          <w:szCs w:val="24"/>
        </w:rPr>
      </w:pPr>
    </w:p>
    <w:p w14:paraId="0B1A0B59">
      <w:pPr>
        <w:rPr>
          <w:b/>
          <w:kern w:val="0"/>
          <w:sz w:val="24"/>
          <w:szCs w:val="24"/>
        </w:rPr>
      </w:pPr>
    </w:p>
    <w:p w14:paraId="01321AA5">
      <w:pPr>
        <w:keepNext/>
        <w:widowControl/>
        <w:autoSpaceDE w:val="0"/>
        <w:autoSpaceDN w:val="0"/>
        <w:spacing w:line="360" w:lineRule="auto"/>
        <w:jc w:val="left"/>
        <w:outlineLvl w:val="0"/>
        <w:rPr>
          <w:b/>
          <w:kern w:val="0"/>
          <w:sz w:val="24"/>
          <w:szCs w:val="24"/>
        </w:rPr>
      </w:pPr>
      <w:r>
        <w:rPr>
          <w:b/>
          <w:kern w:val="0"/>
          <w:sz w:val="24"/>
          <w:szCs w:val="24"/>
        </w:rPr>
        <w:t xml:space="preserve">Annexe </w:t>
      </w:r>
      <w:r>
        <w:rPr>
          <w:rFonts w:hint="eastAsia"/>
          <w:b/>
          <w:kern w:val="0"/>
          <w:sz w:val="24"/>
          <w:szCs w:val="24"/>
          <w:lang w:val="en-US"/>
        </w:rPr>
        <w:t>5</w:t>
      </w:r>
      <w:r>
        <w:rPr>
          <w:rFonts w:hint="eastAsia"/>
          <w:b/>
          <w:kern w:val="0"/>
          <w:sz w:val="24"/>
          <w:szCs w:val="24"/>
        </w:rPr>
        <w:t xml:space="preserve"> </w:t>
      </w:r>
    </w:p>
    <w:p w14:paraId="7A34E017">
      <w:pPr>
        <w:rPr>
          <w:b/>
          <w:kern w:val="0"/>
          <w:sz w:val="24"/>
          <w:szCs w:val="24"/>
        </w:rPr>
      </w:pPr>
      <w:r>
        <w:rPr>
          <w:rFonts w:hint="eastAsia"/>
          <w:b/>
          <w:kern w:val="0"/>
          <w:sz w:val="24"/>
          <w:szCs w:val="24"/>
        </w:rPr>
        <w:t>合同附件</w:t>
      </w:r>
      <w:r>
        <w:rPr>
          <w:rFonts w:hint="eastAsia"/>
          <w:b/>
          <w:kern w:val="0"/>
          <w:sz w:val="24"/>
          <w:szCs w:val="24"/>
          <w:lang w:val="en-US"/>
        </w:rPr>
        <w:t xml:space="preserve"> 5</w:t>
      </w:r>
    </w:p>
    <w:p w14:paraId="5985BC61">
      <w:pPr>
        <w:tabs>
          <w:tab w:val="left" w:pos="482"/>
        </w:tabs>
        <w:spacing w:line="360" w:lineRule="auto"/>
        <w:jc w:val="center"/>
        <w:rPr>
          <w:b/>
          <w:bCs/>
          <w:kern w:val="13"/>
          <w:sz w:val="22"/>
          <w:szCs w:val="22"/>
        </w:rPr>
      </w:pPr>
      <w:r>
        <w:rPr>
          <w:rFonts w:hint="eastAsia"/>
          <w:b/>
          <w:bCs/>
          <w:kern w:val="13"/>
          <w:sz w:val="22"/>
          <w:szCs w:val="22"/>
        </w:rPr>
        <w:t>社区关系维护管理协议</w:t>
      </w:r>
    </w:p>
    <w:p w14:paraId="7A98BB83">
      <w:pPr>
        <w:tabs>
          <w:tab w:val="left" w:pos="482"/>
        </w:tabs>
        <w:spacing w:line="360" w:lineRule="auto"/>
        <w:ind w:firstLine="420" w:firstLineChars="200"/>
        <w:rPr>
          <w:kern w:val="13"/>
          <w:szCs w:val="21"/>
        </w:rPr>
      </w:pPr>
    </w:p>
    <w:p w14:paraId="505E8E78">
      <w:pPr>
        <w:tabs>
          <w:tab w:val="left" w:pos="482"/>
        </w:tabs>
        <w:spacing w:line="360" w:lineRule="auto"/>
        <w:ind w:firstLine="420" w:firstLineChars="200"/>
        <w:rPr>
          <w:kern w:val="13"/>
          <w:szCs w:val="21"/>
        </w:rPr>
      </w:pPr>
      <w:r>
        <w:rPr>
          <w:rFonts w:hint="eastAsia"/>
          <w:kern w:val="13"/>
          <w:szCs w:val="21"/>
        </w:rPr>
        <w:t>为营造和谐稳定的外部社会关系，规范项目所有参建承包人单位的社会公共关系维护工作，构建长效机制，预防和降低各类社区关系纠纷，确保工程建设和运营工作有序进行，结合国家电投几内亚铝业开发项目自身实际情况，经协商，合同协议双方达成如下社区关系维护管理协议并严格执行：</w:t>
      </w:r>
    </w:p>
    <w:p w14:paraId="568C716D">
      <w:pPr>
        <w:tabs>
          <w:tab w:val="left" w:pos="482"/>
        </w:tabs>
        <w:spacing w:line="360" w:lineRule="auto"/>
        <w:ind w:firstLine="420" w:firstLineChars="200"/>
        <w:rPr>
          <w:kern w:val="13"/>
          <w:szCs w:val="21"/>
        </w:rPr>
      </w:pPr>
      <w:r>
        <w:rPr>
          <w:rFonts w:hint="eastAsia"/>
          <w:kern w:val="13"/>
          <w:szCs w:val="21"/>
        </w:rPr>
        <w:t>A 本协议作为 xxxxxxxx合同（编号：XXX， 以下称主合同）的附件，与主合同具有同等法律效力。</w:t>
      </w:r>
    </w:p>
    <w:p w14:paraId="64E848A6">
      <w:pPr>
        <w:tabs>
          <w:tab w:val="left" w:pos="482"/>
        </w:tabs>
        <w:spacing w:line="360" w:lineRule="auto"/>
        <w:ind w:firstLine="420" w:firstLineChars="200"/>
        <w:rPr>
          <w:kern w:val="13"/>
          <w:szCs w:val="21"/>
        </w:rPr>
      </w:pPr>
      <w:r>
        <w:rPr>
          <w:rFonts w:hint="eastAsia"/>
          <w:kern w:val="13"/>
          <w:szCs w:val="21"/>
        </w:rPr>
        <w:t>B 社区关系维护管理目标</w:t>
      </w:r>
    </w:p>
    <w:p w14:paraId="3E37F148">
      <w:pPr>
        <w:tabs>
          <w:tab w:val="left" w:pos="482"/>
        </w:tabs>
        <w:spacing w:line="360" w:lineRule="auto"/>
        <w:ind w:firstLine="420" w:firstLineChars="200"/>
        <w:rPr>
          <w:kern w:val="13"/>
          <w:szCs w:val="21"/>
        </w:rPr>
      </w:pPr>
      <w:r>
        <w:rPr>
          <w:rFonts w:hint="eastAsia"/>
          <w:kern w:val="13"/>
          <w:szCs w:val="21"/>
        </w:rPr>
        <w:t>1.1 避免和控制一般性阻工、罢工事件；</w:t>
      </w:r>
    </w:p>
    <w:p w14:paraId="03301CFE">
      <w:pPr>
        <w:tabs>
          <w:tab w:val="left" w:pos="482"/>
        </w:tabs>
        <w:spacing w:line="360" w:lineRule="auto"/>
        <w:ind w:firstLine="420" w:firstLineChars="200"/>
        <w:rPr>
          <w:kern w:val="13"/>
          <w:szCs w:val="21"/>
        </w:rPr>
      </w:pPr>
      <w:r>
        <w:rPr>
          <w:rFonts w:hint="eastAsia"/>
          <w:kern w:val="13"/>
          <w:szCs w:val="21"/>
        </w:rPr>
        <w:t>1.2 杜绝发生恶性群体性事件；</w:t>
      </w:r>
    </w:p>
    <w:p w14:paraId="67D4FAD6">
      <w:pPr>
        <w:tabs>
          <w:tab w:val="left" w:pos="482"/>
        </w:tabs>
        <w:spacing w:line="360" w:lineRule="auto"/>
        <w:ind w:firstLine="420" w:firstLineChars="200"/>
        <w:rPr>
          <w:kern w:val="13"/>
          <w:szCs w:val="21"/>
        </w:rPr>
      </w:pPr>
      <w:r>
        <w:rPr>
          <w:rFonts w:hint="eastAsia"/>
          <w:kern w:val="13"/>
          <w:szCs w:val="21"/>
        </w:rPr>
        <w:t>1.3 杜绝发生有损项目形象的各类事件；</w:t>
      </w:r>
    </w:p>
    <w:p w14:paraId="70A7D748">
      <w:pPr>
        <w:tabs>
          <w:tab w:val="left" w:pos="482"/>
        </w:tabs>
        <w:spacing w:line="360" w:lineRule="auto"/>
        <w:ind w:firstLine="420" w:firstLineChars="200"/>
        <w:rPr>
          <w:kern w:val="13"/>
          <w:szCs w:val="21"/>
        </w:rPr>
      </w:pPr>
      <w:r>
        <w:rPr>
          <w:rFonts w:hint="eastAsia"/>
          <w:kern w:val="13"/>
          <w:szCs w:val="21"/>
        </w:rPr>
        <w:t>1.4 杜绝发生遭当地政府部门通报的事件；</w:t>
      </w:r>
    </w:p>
    <w:p w14:paraId="71FAD971">
      <w:pPr>
        <w:tabs>
          <w:tab w:val="left" w:pos="482"/>
        </w:tabs>
        <w:spacing w:line="360" w:lineRule="auto"/>
        <w:ind w:firstLine="420" w:firstLineChars="200"/>
        <w:rPr>
          <w:kern w:val="13"/>
          <w:szCs w:val="21"/>
        </w:rPr>
      </w:pPr>
      <w:r>
        <w:rPr>
          <w:rFonts w:hint="eastAsia"/>
          <w:kern w:val="13"/>
          <w:szCs w:val="21"/>
        </w:rPr>
        <w:t>1.5 营造和谐稳定的外部社会关系</w:t>
      </w:r>
    </w:p>
    <w:p w14:paraId="3F74C0A8">
      <w:pPr>
        <w:tabs>
          <w:tab w:val="left" w:pos="482"/>
        </w:tabs>
        <w:spacing w:line="360" w:lineRule="auto"/>
        <w:ind w:firstLine="420" w:firstLineChars="200"/>
        <w:rPr>
          <w:kern w:val="13"/>
          <w:szCs w:val="21"/>
        </w:rPr>
      </w:pPr>
      <w:r>
        <w:rPr>
          <w:rFonts w:hint="eastAsia"/>
          <w:kern w:val="13"/>
          <w:szCs w:val="21"/>
        </w:rPr>
        <w:t>C 承包的项目和内容范围：</w:t>
      </w:r>
    </w:p>
    <w:p w14:paraId="7D0FC990">
      <w:pPr>
        <w:tabs>
          <w:tab w:val="left" w:pos="482"/>
        </w:tabs>
        <w:spacing w:line="360" w:lineRule="auto"/>
        <w:ind w:firstLine="420" w:firstLineChars="200"/>
        <w:rPr>
          <w:kern w:val="13"/>
          <w:szCs w:val="21"/>
        </w:rPr>
      </w:pPr>
      <w:r>
        <w:rPr>
          <w:rFonts w:hint="eastAsia"/>
          <w:kern w:val="13"/>
          <w:szCs w:val="21"/>
        </w:rPr>
        <w:t>详见主合同承包项目的内容和范围。</w:t>
      </w:r>
    </w:p>
    <w:p w14:paraId="61B4A607">
      <w:pPr>
        <w:tabs>
          <w:tab w:val="left" w:pos="482"/>
        </w:tabs>
        <w:spacing w:line="360" w:lineRule="auto"/>
        <w:ind w:firstLine="420" w:firstLineChars="200"/>
        <w:rPr>
          <w:kern w:val="13"/>
          <w:szCs w:val="21"/>
        </w:rPr>
      </w:pPr>
      <w:r>
        <w:rPr>
          <w:rFonts w:hint="eastAsia"/>
          <w:kern w:val="13"/>
          <w:szCs w:val="21"/>
        </w:rPr>
        <w:t>D 双方责任和义务</w:t>
      </w:r>
    </w:p>
    <w:p w14:paraId="6A52392D">
      <w:pPr>
        <w:tabs>
          <w:tab w:val="left" w:pos="482"/>
        </w:tabs>
        <w:spacing w:line="360" w:lineRule="auto"/>
        <w:ind w:firstLine="420" w:firstLineChars="200"/>
        <w:rPr>
          <w:kern w:val="13"/>
          <w:szCs w:val="21"/>
        </w:rPr>
      </w:pPr>
      <w:r>
        <w:rPr>
          <w:rFonts w:hint="eastAsia"/>
          <w:kern w:val="13"/>
          <w:szCs w:val="21"/>
        </w:rPr>
        <w:t>1. 甲方的责任和义务</w:t>
      </w:r>
    </w:p>
    <w:p w14:paraId="6F685CFE">
      <w:pPr>
        <w:tabs>
          <w:tab w:val="left" w:pos="482"/>
        </w:tabs>
        <w:spacing w:line="360" w:lineRule="auto"/>
        <w:ind w:firstLine="420" w:firstLineChars="200"/>
        <w:rPr>
          <w:kern w:val="13"/>
          <w:szCs w:val="21"/>
        </w:rPr>
      </w:pPr>
      <w:r>
        <w:rPr>
          <w:rFonts w:hint="eastAsia"/>
          <w:kern w:val="13"/>
          <w:szCs w:val="21"/>
        </w:rPr>
        <w:t>负责对承包人社区关系维护管理工作的审查，审查内容包括：是否设立社区关系管理团队、社区关系管理的人员组织架构和社区关系维护管理办法。</w:t>
      </w:r>
    </w:p>
    <w:p w14:paraId="11C480D3">
      <w:pPr>
        <w:tabs>
          <w:tab w:val="left" w:pos="482"/>
        </w:tabs>
        <w:spacing w:line="360" w:lineRule="auto"/>
        <w:ind w:firstLine="420" w:firstLineChars="200"/>
        <w:rPr>
          <w:kern w:val="13"/>
          <w:szCs w:val="21"/>
        </w:rPr>
      </w:pPr>
      <w:r>
        <w:rPr>
          <w:rFonts w:hint="eastAsia"/>
          <w:kern w:val="13"/>
          <w:szCs w:val="21"/>
        </w:rPr>
        <w:t>在开工前，按照社区关系统一协调管理机制和社区关系维护管理办法向承包人负责人和社区关系管理团队宣传发包人在社区关系维护管理方面的规章制度，并对承包人进行几内亚国情下的社区关系管理工作交底。</w:t>
      </w:r>
    </w:p>
    <w:p w14:paraId="3A8EDE91">
      <w:pPr>
        <w:tabs>
          <w:tab w:val="left" w:pos="482"/>
        </w:tabs>
        <w:spacing w:line="360" w:lineRule="auto"/>
        <w:ind w:firstLine="420" w:firstLineChars="200"/>
        <w:rPr>
          <w:kern w:val="13"/>
          <w:szCs w:val="21"/>
        </w:rPr>
      </w:pPr>
      <w:r>
        <w:rPr>
          <w:rFonts w:hint="eastAsia"/>
          <w:kern w:val="13"/>
          <w:szCs w:val="21"/>
        </w:rPr>
        <w:t>对承包人制订的社区关系维护管理办法及应急处置预案进行审核，审查合格后监督实施。</w:t>
      </w:r>
    </w:p>
    <w:p w14:paraId="15FD3832">
      <w:pPr>
        <w:tabs>
          <w:tab w:val="left" w:pos="482"/>
        </w:tabs>
        <w:spacing w:line="360" w:lineRule="auto"/>
        <w:ind w:firstLine="420" w:firstLineChars="200"/>
        <w:rPr>
          <w:kern w:val="13"/>
          <w:szCs w:val="21"/>
        </w:rPr>
      </w:pPr>
      <w:r>
        <w:rPr>
          <w:rFonts w:hint="eastAsia"/>
          <w:kern w:val="13"/>
          <w:szCs w:val="21"/>
        </w:rPr>
        <w:t>保证按合同，在工程阶段性或全部竣工验收或约定期限，在无任何争议的前提下，履行合同相关付款协议。</w:t>
      </w:r>
    </w:p>
    <w:p w14:paraId="2E618FA3">
      <w:pPr>
        <w:tabs>
          <w:tab w:val="left" w:pos="482"/>
        </w:tabs>
        <w:spacing w:line="360" w:lineRule="auto"/>
        <w:ind w:firstLine="420" w:firstLineChars="200"/>
        <w:rPr>
          <w:kern w:val="13"/>
          <w:szCs w:val="21"/>
        </w:rPr>
      </w:pPr>
      <w:r>
        <w:rPr>
          <w:rFonts w:hint="eastAsia"/>
          <w:kern w:val="13"/>
          <w:szCs w:val="21"/>
        </w:rPr>
        <w:t>负责总体协调管理，对社区关系维护中出现的不恰当行为，有权纠正或立即停止其工作。对不服从管理或严重违反法律法规、管理混乱的施工单位，有权终止合同，并限期退出。</w:t>
      </w:r>
    </w:p>
    <w:p w14:paraId="6FD01FE7">
      <w:pPr>
        <w:tabs>
          <w:tab w:val="left" w:pos="482"/>
        </w:tabs>
        <w:spacing w:line="360" w:lineRule="auto"/>
        <w:ind w:firstLine="420" w:firstLineChars="200"/>
        <w:rPr>
          <w:kern w:val="13"/>
          <w:szCs w:val="21"/>
        </w:rPr>
      </w:pPr>
      <w:r>
        <w:rPr>
          <w:rFonts w:hint="eastAsia"/>
          <w:kern w:val="13"/>
          <w:szCs w:val="21"/>
        </w:rPr>
        <w:t>对因承包人原因引发的社区纠纷事件，发出整改通知后，在规定期限内拒不整改的，发包人有权代为处理，所发生费用由承包人承担。</w:t>
      </w:r>
    </w:p>
    <w:p w14:paraId="1E64C9E5">
      <w:pPr>
        <w:tabs>
          <w:tab w:val="left" w:pos="482"/>
        </w:tabs>
        <w:spacing w:line="360" w:lineRule="auto"/>
        <w:ind w:firstLine="420" w:firstLineChars="200"/>
        <w:rPr>
          <w:kern w:val="13"/>
          <w:szCs w:val="21"/>
        </w:rPr>
      </w:pPr>
      <w:r>
        <w:rPr>
          <w:rFonts w:hint="eastAsia"/>
          <w:kern w:val="13"/>
          <w:szCs w:val="21"/>
        </w:rPr>
        <w:t>对于项目质保金，待工程竣工移交后，经公司审查：①不发生任何遗留纠纷，返还保证金（因违章罚款扣除的除外）；②发生社区纠纷，仍未处理且拒不配合处理的，由发包人代为处理后，余额返还（因违章罚款扣除的除外）。</w:t>
      </w:r>
    </w:p>
    <w:p w14:paraId="1BA21C1A">
      <w:pPr>
        <w:tabs>
          <w:tab w:val="left" w:pos="482"/>
        </w:tabs>
        <w:spacing w:line="360" w:lineRule="auto"/>
        <w:ind w:firstLine="420" w:firstLineChars="200"/>
        <w:rPr>
          <w:kern w:val="13"/>
          <w:szCs w:val="21"/>
        </w:rPr>
      </w:pPr>
      <w:r>
        <w:rPr>
          <w:rFonts w:hint="eastAsia"/>
          <w:kern w:val="13"/>
          <w:szCs w:val="21"/>
        </w:rPr>
        <w:t>承包人在本项目工程中，如违反了发包人公司社区关系维护管理办法中有关规定，发包人有权按发包人社区关系维护管理办法中有关条例进行经济处罚，罚款在工程进度款中扣除，超出部分从保证金内扣除。社区关系维护管理工作考核标准如下：</w:t>
      </w:r>
    </w:p>
    <w:p w14:paraId="351CD6FB">
      <w:pPr>
        <w:tabs>
          <w:tab w:val="left" w:pos="482"/>
        </w:tabs>
        <w:spacing w:line="360" w:lineRule="auto"/>
        <w:ind w:firstLine="420" w:firstLineChars="200"/>
        <w:rPr>
          <w:kern w:val="13"/>
          <w:szCs w:val="21"/>
        </w:rPr>
      </w:pPr>
      <w:r>
        <w:rPr>
          <w:rFonts w:hint="eastAsia"/>
          <w:kern w:val="13"/>
          <w:szCs w:val="21"/>
        </w:rPr>
        <w:t>-1）因承包人自身社区关系维护管理工作不到位、不作为，进而导致出现恶劣社会影响、有损项目形象的情况，将对涉事承包人单位进行经济处罚，单次罚款 2万-10万人民币。</w:t>
      </w:r>
    </w:p>
    <w:p w14:paraId="2E70243D">
      <w:pPr>
        <w:tabs>
          <w:tab w:val="left" w:pos="482"/>
        </w:tabs>
        <w:spacing w:line="360" w:lineRule="auto"/>
        <w:ind w:firstLine="420" w:firstLineChars="200"/>
        <w:rPr>
          <w:kern w:val="13"/>
          <w:szCs w:val="21"/>
        </w:rPr>
      </w:pPr>
      <w:r>
        <w:rPr>
          <w:rFonts w:hint="eastAsia"/>
          <w:kern w:val="13"/>
          <w:szCs w:val="21"/>
        </w:rPr>
        <w:t xml:space="preserve"> 2）对造成项目严重经济损失；出现人员严重伤亡；受到当地政府处罚或通报批评；调动军警平息的恶性群体性事件；国家电投几内亚公司认定的影响极其恶劣的社区事件等。将对涉事承包人单位进行经济处罚，单次处罚10万-30万人民币。</w:t>
      </w:r>
    </w:p>
    <w:p w14:paraId="1F2B15D3">
      <w:pPr>
        <w:tabs>
          <w:tab w:val="left" w:pos="482"/>
        </w:tabs>
        <w:spacing w:line="360" w:lineRule="auto"/>
        <w:ind w:firstLine="420" w:firstLineChars="200"/>
        <w:rPr>
          <w:kern w:val="13"/>
          <w:szCs w:val="21"/>
        </w:rPr>
      </w:pPr>
      <w:r>
        <w:rPr>
          <w:rFonts w:hint="eastAsia"/>
          <w:kern w:val="13"/>
          <w:szCs w:val="21"/>
        </w:rPr>
        <w:t xml:space="preserve"> 3）经济处罚均不包含处理纠纷事件所发生的政府官员差旅费、军警宪兵出警差旅费、政府罚款等额外费用。</w:t>
      </w:r>
    </w:p>
    <w:p w14:paraId="52F0F513">
      <w:pPr>
        <w:tabs>
          <w:tab w:val="left" w:pos="482"/>
        </w:tabs>
        <w:spacing w:line="360" w:lineRule="auto"/>
        <w:ind w:firstLine="420" w:firstLineChars="200"/>
        <w:rPr>
          <w:kern w:val="13"/>
          <w:szCs w:val="21"/>
        </w:rPr>
      </w:pPr>
      <w:r>
        <w:rPr>
          <w:rFonts w:hint="eastAsia"/>
          <w:kern w:val="13"/>
          <w:szCs w:val="21"/>
        </w:rPr>
        <w:t>4）对受到处罚后，规定期限内，仍拒不配合整改的涉事承包人单位，将进行二次罚款，并责令停工整改。整改完成后上报整改结果并提供证明性文件以批准复工。</w:t>
      </w:r>
    </w:p>
    <w:p w14:paraId="00F6C74D">
      <w:pPr>
        <w:tabs>
          <w:tab w:val="left" w:pos="482"/>
        </w:tabs>
        <w:spacing w:line="360" w:lineRule="auto"/>
        <w:ind w:firstLine="420" w:firstLineChars="200"/>
        <w:rPr>
          <w:kern w:val="13"/>
          <w:szCs w:val="21"/>
        </w:rPr>
      </w:pPr>
      <w:r>
        <w:rPr>
          <w:rFonts w:hint="eastAsia"/>
          <w:kern w:val="13"/>
          <w:szCs w:val="21"/>
        </w:rPr>
        <w:t>5）罚款上限累计不超过合同额10%，如有补充合同则一并包含在内。</w:t>
      </w:r>
    </w:p>
    <w:p w14:paraId="16488FF2">
      <w:pPr>
        <w:tabs>
          <w:tab w:val="left" w:pos="482"/>
        </w:tabs>
        <w:spacing w:line="360" w:lineRule="auto"/>
        <w:ind w:firstLine="420" w:firstLineChars="200"/>
        <w:rPr>
          <w:kern w:val="13"/>
          <w:szCs w:val="21"/>
        </w:rPr>
      </w:pPr>
      <w:r>
        <w:rPr>
          <w:rFonts w:hint="eastAsia"/>
          <w:kern w:val="13"/>
          <w:szCs w:val="21"/>
        </w:rPr>
        <w:t>2.乙方的责任和义务</w:t>
      </w:r>
    </w:p>
    <w:p w14:paraId="78C6E884">
      <w:pPr>
        <w:tabs>
          <w:tab w:val="left" w:pos="482"/>
        </w:tabs>
        <w:spacing w:line="360" w:lineRule="auto"/>
        <w:ind w:firstLine="420" w:firstLineChars="200"/>
        <w:rPr>
          <w:kern w:val="13"/>
          <w:szCs w:val="21"/>
        </w:rPr>
      </w:pPr>
      <w:r>
        <w:rPr>
          <w:rFonts w:hint="eastAsia"/>
          <w:kern w:val="13"/>
          <w:szCs w:val="21"/>
        </w:rPr>
        <w:t>负责向发包人提供有效的、真实的相关社区关系维护管理文件：包括社区关系管理团队的人员组织架构、社区关系维护管理办法等；</w:t>
      </w:r>
    </w:p>
    <w:p w14:paraId="01D2FEBD">
      <w:pPr>
        <w:tabs>
          <w:tab w:val="left" w:pos="482"/>
        </w:tabs>
        <w:spacing w:line="360" w:lineRule="auto"/>
        <w:ind w:firstLine="420" w:firstLineChars="200"/>
        <w:rPr>
          <w:kern w:val="13"/>
          <w:szCs w:val="21"/>
        </w:rPr>
      </w:pPr>
      <w:r>
        <w:rPr>
          <w:rFonts w:hint="eastAsia"/>
          <w:kern w:val="13"/>
          <w:szCs w:val="21"/>
        </w:rPr>
        <w:t>承包人社区关系管理人员，如有人员调动、回国休假等原因需要进行变更的，需以书面文件形式上发包人主进行备案。</w:t>
      </w:r>
    </w:p>
    <w:p w14:paraId="16834E63">
      <w:pPr>
        <w:tabs>
          <w:tab w:val="left" w:pos="482"/>
        </w:tabs>
        <w:spacing w:line="360" w:lineRule="auto"/>
        <w:ind w:firstLine="420" w:firstLineChars="200"/>
        <w:rPr>
          <w:kern w:val="13"/>
          <w:szCs w:val="21"/>
        </w:rPr>
      </w:pPr>
      <w:r>
        <w:rPr>
          <w:rFonts w:hint="eastAsia"/>
          <w:kern w:val="13"/>
          <w:szCs w:val="21"/>
        </w:rPr>
        <w:t>负责按照社区关系统一协调机制及社区关系维护管理办法，成立本项目的社区关系维护管理团队，配备合格的、熟悉当地语言的社区关系管理人员，并建立健全社区关系维护管理、监督体系的各项管理制度，并严格执行。</w:t>
      </w:r>
    </w:p>
    <w:p w14:paraId="4662E882">
      <w:pPr>
        <w:tabs>
          <w:tab w:val="left" w:pos="482"/>
        </w:tabs>
        <w:spacing w:line="360" w:lineRule="auto"/>
        <w:ind w:firstLine="420" w:firstLineChars="200"/>
        <w:rPr>
          <w:kern w:val="13"/>
          <w:szCs w:val="21"/>
        </w:rPr>
      </w:pPr>
      <w:r>
        <w:rPr>
          <w:rFonts w:hint="eastAsia"/>
          <w:kern w:val="13"/>
          <w:szCs w:val="21"/>
        </w:rPr>
        <w:t>负责编制社区关系维护管理办法及应急处置预案，经发包人审查批准后执行。承包人应按照发包人审核的有关措施，认真执行有关管理规定，把管理措施落实到施工过程的每个环节。</w:t>
      </w:r>
    </w:p>
    <w:p w14:paraId="5B7EAB13">
      <w:pPr>
        <w:tabs>
          <w:tab w:val="left" w:pos="482"/>
        </w:tabs>
        <w:spacing w:line="360" w:lineRule="auto"/>
        <w:ind w:firstLine="420" w:firstLineChars="200"/>
        <w:rPr>
          <w:kern w:val="13"/>
          <w:szCs w:val="21"/>
        </w:rPr>
      </w:pPr>
      <w:r>
        <w:rPr>
          <w:rFonts w:hint="eastAsia"/>
          <w:kern w:val="13"/>
          <w:szCs w:val="21"/>
        </w:rPr>
        <w:t>工程开工前，承包人必须组织本项目全体员工学习社区关系统一协调管理机制和社区关系维护管理办法，进行几内亚国情下的社区关系管理工作交底。掌握几内亚社区关系处理的方法，传达贯彻发包人社区关系维护管理工作交底要求，并留有记录。</w:t>
      </w:r>
    </w:p>
    <w:p w14:paraId="2575EEAA">
      <w:pPr>
        <w:tabs>
          <w:tab w:val="left" w:pos="482"/>
        </w:tabs>
        <w:spacing w:line="360" w:lineRule="auto"/>
        <w:ind w:firstLine="420" w:firstLineChars="200"/>
        <w:rPr>
          <w:kern w:val="13"/>
          <w:szCs w:val="21"/>
        </w:rPr>
      </w:pPr>
      <w:r>
        <w:rPr>
          <w:rFonts w:hint="eastAsia"/>
          <w:kern w:val="13"/>
          <w:szCs w:val="21"/>
        </w:rPr>
        <w:t>承包人应严格遵守项目所在国的有关方针政策和法令法规，遵守发包人及其上级单位在社区关系维护管理方面的规章制度，自觉接受发包人的检查和监督，并对检查的问题整改闭环。</w:t>
      </w:r>
    </w:p>
    <w:p w14:paraId="3851C5C7">
      <w:pPr>
        <w:tabs>
          <w:tab w:val="left" w:pos="482"/>
        </w:tabs>
        <w:spacing w:line="360" w:lineRule="auto"/>
        <w:ind w:firstLine="420" w:firstLineChars="200"/>
        <w:rPr>
          <w:kern w:val="13"/>
          <w:szCs w:val="21"/>
        </w:rPr>
      </w:pPr>
      <w:r>
        <w:rPr>
          <w:rFonts w:hint="eastAsia"/>
          <w:kern w:val="13"/>
          <w:szCs w:val="21"/>
        </w:rPr>
        <w:t>承包人社区关系负责人必须按要求参加发包人的月度例会，定期汇报社区关系维护管理工作进展，掌握发包人的工作目标、相关动态和要求，并及时组织传达、贯彻执行。</w:t>
      </w:r>
    </w:p>
    <w:p w14:paraId="341D2ADA">
      <w:pPr>
        <w:tabs>
          <w:tab w:val="left" w:pos="482"/>
        </w:tabs>
        <w:spacing w:line="360" w:lineRule="auto"/>
        <w:ind w:firstLine="420" w:firstLineChars="200"/>
        <w:rPr>
          <w:kern w:val="13"/>
          <w:szCs w:val="21"/>
        </w:rPr>
      </w:pPr>
      <w:r>
        <w:rPr>
          <w:rFonts w:hint="eastAsia"/>
          <w:kern w:val="13"/>
          <w:szCs w:val="21"/>
        </w:rPr>
        <w:t>参加由发包人组织的社区关系管理活动（包括：学习教育、宣传活动、安全生产月/周、社区走访等活动），当发包人发起相关活动时，承包人应积极响应参加。</w:t>
      </w:r>
    </w:p>
    <w:p w14:paraId="5E01B294">
      <w:pPr>
        <w:tabs>
          <w:tab w:val="left" w:pos="482"/>
        </w:tabs>
        <w:spacing w:line="360" w:lineRule="auto"/>
        <w:ind w:firstLine="420" w:firstLineChars="200"/>
        <w:rPr>
          <w:kern w:val="13"/>
          <w:szCs w:val="21"/>
        </w:rPr>
      </w:pPr>
      <w:r>
        <w:rPr>
          <w:rFonts w:hint="eastAsia"/>
          <w:kern w:val="13"/>
          <w:szCs w:val="21"/>
        </w:rPr>
        <w:t>由于承包人原因造成的社区纠纷事件，由承包人单位承担全部经济损失及责任。</w:t>
      </w:r>
    </w:p>
    <w:p w14:paraId="022CB940">
      <w:pPr>
        <w:tabs>
          <w:tab w:val="left" w:pos="482"/>
        </w:tabs>
        <w:spacing w:line="360" w:lineRule="auto"/>
        <w:ind w:firstLine="420" w:firstLineChars="200"/>
        <w:rPr>
          <w:kern w:val="13"/>
          <w:szCs w:val="21"/>
        </w:rPr>
      </w:pPr>
      <w:r>
        <w:rPr>
          <w:rFonts w:hint="eastAsia"/>
          <w:kern w:val="13"/>
          <w:szCs w:val="21"/>
        </w:rPr>
        <w:t>由承包人原因引发的社区关系纠纷事件，承包人必须及时积极主动处理，并按规定统计上报，严禁弄虚作假，隐瞒不报。除立即上报承包人隶属上级外，还应及时报告发包人，如迟报瞒报导致后果，由承包商人负责。</w:t>
      </w:r>
    </w:p>
    <w:p w14:paraId="08CB8BCB">
      <w:pPr>
        <w:tabs>
          <w:tab w:val="left" w:pos="482"/>
        </w:tabs>
        <w:spacing w:line="360" w:lineRule="auto"/>
        <w:ind w:firstLine="420" w:firstLineChars="200"/>
        <w:rPr>
          <w:kern w:val="13"/>
          <w:szCs w:val="21"/>
        </w:rPr>
      </w:pPr>
      <w:r>
        <w:rPr>
          <w:rFonts w:hint="eastAsia"/>
          <w:kern w:val="13"/>
          <w:szCs w:val="21"/>
        </w:rPr>
        <w:t>如有分包，分包商的社区关系维护管理均由承包人社区关系管理机构负责、统一管理，所有责任及后果由承包人承担，严禁以包代管。</w:t>
      </w:r>
    </w:p>
    <w:p w14:paraId="03BE9F6D">
      <w:pPr>
        <w:tabs>
          <w:tab w:val="left" w:pos="482"/>
        </w:tabs>
        <w:spacing w:line="360" w:lineRule="auto"/>
        <w:ind w:firstLine="420" w:firstLineChars="200"/>
        <w:rPr>
          <w:kern w:val="13"/>
          <w:szCs w:val="21"/>
        </w:rPr>
      </w:pPr>
      <w:r>
        <w:rPr>
          <w:rFonts w:hint="eastAsia"/>
          <w:kern w:val="13"/>
          <w:szCs w:val="21"/>
        </w:rPr>
        <w:t>E 合同协议双方须认真履行本协议所列条款。承包人不履行或不认真履行协议规定条款，经劝告无效，发包人有权提出警告、罚款直至解除承包合同。</w:t>
      </w:r>
    </w:p>
    <w:p w14:paraId="42F6D74E">
      <w:pPr>
        <w:tabs>
          <w:tab w:val="left" w:pos="482"/>
        </w:tabs>
        <w:spacing w:line="360" w:lineRule="auto"/>
        <w:ind w:firstLine="420" w:firstLineChars="200"/>
        <w:rPr>
          <w:kern w:val="13"/>
          <w:szCs w:val="21"/>
        </w:rPr>
      </w:pPr>
      <w:r>
        <w:rPr>
          <w:rFonts w:hint="eastAsia"/>
          <w:kern w:val="13"/>
          <w:szCs w:val="21"/>
        </w:rPr>
        <w:t>F 在主合同范围内增加的施工内容同样适用本协议。</w:t>
      </w:r>
    </w:p>
    <w:p w14:paraId="12AE9732">
      <w:pPr>
        <w:tabs>
          <w:tab w:val="left" w:pos="482"/>
        </w:tabs>
        <w:spacing w:line="360" w:lineRule="auto"/>
        <w:ind w:firstLine="420" w:firstLineChars="200"/>
        <w:rPr>
          <w:kern w:val="13"/>
          <w:szCs w:val="21"/>
        </w:rPr>
      </w:pPr>
      <w:r>
        <w:rPr>
          <w:rFonts w:hint="eastAsia"/>
          <w:kern w:val="13"/>
          <w:szCs w:val="21"/>
        </w:rPr>
        <w:t>G 合同期结束后必须持本协议，经社区关系管理部门按照前述条款办理完无遗留纠纷证明手续后，方可进行结算，否则不予办理结算手续。</w:t>
      </w:r>
    </w:p>
    <w:p w14:paraId="4EEB0D2A">
      <w:pPr>
        <w:tabs>
          <w:tab w:val="left" w:pos="482"/>
        </w:tabs>
        <w:spacing w:line="360" w:lineRule="auto"/>
        <w:ind w:firstLine="420" w:firstLineChars="200"/>
        <w:rPr>
          <w:kern w:val="13"/>
          <w:szCs w:val="21"/>
        </w:rPr>
      </w:pPr>
      <w:r>
        <w:rPr>
          <w:rFonts w:hint="eastAsia"/>
          <w:kern w:val="13"/>
          <w:szCs w:val="21"/>
        </w:rPr>
        <w:t>H 本协议未尽事宜，按国家有关规定，由双方协商解决。</w:t>
      </w:r>
    </w:p>
    <w:p w14:paraId="2A64E059">
      <w:pPr>
        <w:tabs>
          <w:tab w:val="left" w:pos="482"/>
        </w:tabs>
        <w:spacing w:line="360" w:lineRule="auto"/>
        <w:ind w:firstLine="420" w:firstLineChars="200"/>
        <w:rPr>
          <w:kern w:val="13"/>
          <w:szCs w:val="21"/>
        </w:rPr>
      </w:pPr>
      <w:r>
        <w:rPr>
          <w:rFonts w:hint="eastAsia"/>
          <w:kern w:val="13"/>
          <w:szCs w:val="21"/>
        </w:rPr>
        <w:t>I 本协议一式六份，甲方四份，乙方两份。</w:t>
      </w:r>
    </w:p>
    <w:p w14:paraId="7AFF72DF">
      <w:pPr>
        <w:tabs>
          <w:tab w:val="left" w:pos="482"/>
        </w:tabs>
        <w:spacing w:line="360" w:lineRule="auto"/>
        <w:ind w:firstLine="420" w:firstLineChars="200"/>
        <w:rPr>
          <w:szCs w:val="21"/>
        </w:rPr>
      </w:pPr>
      <w:r>
        <w:rPr>
          <w:rFonts w:hint="eastAsia"/>
          <w:kern w:val="13"/>
          <w:szCs w:val="21"/>
        </w:rPr>
        <w:t>J协议有效期限：本协议随主合同同时生效，至主合同承包项目完成验收后失效。</w:t>
      </w:r>
    </w:p>
    <w:p w14:paraId="34E6CC39">
      <w:pPr>
        <w:rPr>
          <w:sz w:val="44"/>
          <w:szCs w:val="44"/>
        </w:rPr>
      </w:pPr>
    </w:p>
    <w:p w14:paraId="15358040">
      <w:pPr>
        <w:pStyle w:val="30"/>
        <w:widowControl/>
        <w:shd w:val="clear" w:color="auto" w:fill="FFFFFF"/>
        <w:spacing w:before="0" w:beforeAutospacing="0" w:after="160" w:afterAutospacing="0"/>
        <w:jc w:val="center"/>
        <w:rPr>
          <w:rStyle w:val="37"/>
          <w:rFonts w:eastAsia="Segoe UI"/>
          <w:sz w:val="21"/>
          <w:szCs w:val="21"/>
          <w:shd w:val="clear" w:color="auto" w:fill="FFFFFF"/>
        </w:rPr>
      </w:pPr>
      <w:r>
        <w:rPr>
          <w:rStyle w:val="37"/>
          <w:rFonts w:eastAsia="Segoe UI"/>
          <w:sz w:val="21"/>
          <w:szCs w:val="21"/>
          <w:shd w:val="clear" w:color="auto" w:fill="FFFFFF"/>
        </w:rPr>
        <w:t>ACCORD DE GESTION ET DE MAINTIEN</w:t>
      </w:r>
    </w:p>
    <w:p w14:paraId="4085CD0C">
      <w:pPr>
        <w:pStyle w:val="30"/>
        <w:widowControl/>
        <w:shd w:val="clear" w:color="auto" w:fill="FFFFFF"/>
        <w:spacing w:before="0" w:beforeAutospacing="0" w:after="160" w:afterAutospacing="0"/>
        <w:jc w:val="center"/>
        <w:rPr>
          <w:rFonts w:eastAsia="Segoe UI"/>
          <w:sz w:val="32"/>
          <w:szCs w:val="32"/>
          <w:shd w:val="clear" w:color="auto" w:fill="FFFFFF"/>
        </w:rPr>
      </w:pPr>
      <w:r>
        <w:rPr>
          <w:rStyle w:val="37"/>
          <w:rFonts w:eastAsia="Segoe UI"/>
          <w:sz w:val="21"/>
          <w:szCs w:val="21"/>
          <w:shd w:val="clear" w:color="auto" w:fill="FFFFFF"/>
        </w:rPr>
        <w:t>DES RELATIONS COMMUNAUTAIRES</w:t>
      </w:r>
    </w:p>
    <w:p w14:paraId="68182F3B">
      <w:pPr>
        <w:spacing w:line="360" w:lineRule="auto"/>
        <w:ind w:firstLine="420" w:firstLineChars="200"/>
        <w:rPr>
          <w:kern w:val="13"/>
          <w:szCs w:val="21"/>
        </w:rPr>
      </w:pPr>
      <w:r>
        <w:rPr>
          <w:kern w:val="13"/>
          <w:szCs w:val="21"/>
        </w:rPr>
        <w:t>Afin de créer un environnement social externe harmonieux et stable, de normaliser le travail de maintien des relations publiques sociales pour toutes les unités contractantes participant au projet, d'établir un mécanisme à long terme, de prévenir et de réduire divers litiges liés aux relations communautaires, et d'assurer le bon déroulement des travaux de construction et d'exploitation, compte tenu des circonstances réelles du projet de développement de l'aluminium en Guinée de SPIC, les parties au contrat, après concertation, conviennent de l'accord suivant sur la gestion et le maintien des relations communautaires et s'engagent à le mettre en œuvre strictement :</w:t>
      </w:r>
    </w:p>
    <w:p w14:paraId="02D8DD87">
      <w:pPr>
        <w:spacing w:line="360" w:lineRule="auto"/>
        <w:ind w:firstLine="420" w:firstLineChars="200"/>
        <w:rPr>
          <w:kern w:val="13"/>
          <w:szCs w:val="21"/>
        </w:rPr>
      </w:pPr>
      <w:r>
        <w:rPr>
          <w:kern w:val="13"/>
          <w:szCs w:val="21"/>
        </w:rPr>
        <w:t>A. Statut de l'Accord</w:t>
      </w:r>
      <w:r>
        <w:rPr>
          <w:kern w:val="13"/>
          <w:szCs w:val="21"/>
        </w:rPr>
        <w:br w:type="textWrapping"/>
      </w:r>
      <w:r>
        <w:rPr>
          <w:kern w:val="13"/>
          <w:szCs w:val="21"/>
        </w:rPr>
        <w:t>Le présent accord constitue une annexe au contrat XXXXXXXX (numéro : XXX, ci-après dénommé "Contrat Principal") et a la même force juridique que le Contrat Principal.</w:t>
      </w:r>
    </w:p>
    <w:p w14:paraId="54B73785">
      <w:pPr>
        <w:spacing w:line="360" w:lineRule="auto"/>
        <w:ind w:left="420" w:leftChars="200"/>
        <w:rPr>
          <w:kern w:val="13"/>
          <w:szCs w:val="21"/>
        </w:rPr>
      </w:pPr>
      <w:r>
        <w:rPr>
          <w:kern w:val="13"/>
          <w:szCs w:val="21"/>
        </w:rPr>
        <w:t>B. Objectifs de la Gestion et du Maintien des Relations Communautaires</w:t>
      </w:r>
      <w:r>
        <w:rPr>
          <w:kern w:val="13"/>
          <w:szCs w:val="21"/>
        </w:rPr>
        <w:br w:type="textWrapping"/>
      </w:r>
      <w:r>
        <w:rPr>
          <w:kern w:val="13"/>
          <w:szCs w:val="21"/>
        </w:rPr>
        <w:t>1.1 Éviter et contrôler les événements généraux d'obstruction des travaux et de grève ;</w:t>
      </w:r>
      <w:r>
        <w:rPr>
          <w:kern w:val="13"/>
          <w:szCs w:val="21"/>
        </w:rPr>
        <w:br w:type="textWrapping"/>
      </w:r>
      <w:r>
        <w:rPr>
          <w:kern w:val="13"/>
          <w:szCs w:val="21"/>
        </w:rPr>
        <w:t>1.2 Éliminer l'occurrence d'incidents de groupe violents ;</w:t>
      </w:r>
      <w:r>
        <w:rPr>
          <w:kern w:val="13"/>
          <w:szCs w:val="21"/>
        </w:rPr>
        <w:br w:type="textWrapping"/>
      </w:r>
      <w:r>
        <w:rPr>
          <w:kern w:val="13"/>
          <w:szCs w:val="21"/>
        </w:rPr>
        <w:t>1.3 Éliminer l'occurrence de tout événement nuisible à l'image du projet ;</w:t>
      </w:r>
      <w:r>
        <w:rPr>
          <w:kern w:val="13"/>
          <w:szCs w:val="21"/>
        </w:rPr>
        <w:br w:type="textWrapping"/>
      </w:r>
      <w:r>
        <w:rPr>
          <w:kern w:val="13"/>
          <w:szCs w:val="21"/>
        </w:rPr>
        <w:t>1.4 Éliminer l'occurrence d'événements faisant l'objet de notifications par les autorités gouvernementales locales ;</w:t>
      </w:r>
      <w:r>
        <w:rPr>
          <w:kern w:val="13"/>
          <w:szCs w:val="21"/>
        </w:rPr>
        <w:br w:type="textWrapping"/>
      </w:r>
      <w:r>
        <w:rPr>
          <w:kern w:val="13"/>
          <w:szCs w:val="21"/>
        </w:rPr>
        <w:t>1.5 Créer des relations sociales externes harmonieuses et stables.</w:t>
      </w:r>
    </w:p>
    <w:p w14:paraId="13D9BAFE">
      <w:pPr>
        <w:spacing w:line="360" w:lineRule="auto"/>
        <w:ind w:firstLine="420" w:firstLineChars="200"/>
        <w:rPr>
          <w:kern w:val="13"/>
          <w:szCs w:val="21"/>
        </w:rPr>
      </w:pPr>
      <w:r>
        <w:rPr>
          <w:kern w:val="13"/>
          <w:szCs w:val="21"/>
        </w:rPr>
        <w:t>C. Périmètre des Travaux et du Contenu Contractuels :</w:t>
      </w:r>
      <w:r>
        <w:rPr>
          <w:kern w:val="13"/>
          <w:szCs w:val="21"/>
        </w:rPr>
        <w:br w:type="textWrapping"/>
      </w:r>
      <w:r>
        <w:rPr>
          <w:kern w:val="13"/>
          <w:szCs w:val="21"/>
        </w:rPr>
        <w:t>Voir les détails concernant le contenu et le périmètre des travaux contractuels dans le Contrat Principal.</w:t>
      </w:r>
    </w:p>
    <w:p w14:paraId="22E76C4E">
      <w:pPr>
        <w:spacing w:line="360" w:lineRule="auto"/>
        <w:ind w:firstLine="420" w:firstLineChars="200"/>
        <w:rPr>
          <w:kern w:val="13"/>
          <w:szCs w:val="21"/>
        </w:rPr>
      </w:pPr>
      <w:r>
        <w:rPr>
          <w:kern w:val="13"/>
          <w:szCs w:val="21"/>
        </w:rPr>
        <w:t>D. Responsabilités et Obligations des Parties</w:t>
      </w:r>
      <w:r>
        <w:rPr>
          <w:kern w:val="13"/>
          <w:szCs w:val="21"/>
        </w:rPr>
        <w:br w:type="textWrapping"/>
      </w:r>
      <w:r>
        <w:rPr>
          <w:kern w:val="13"/>
          <w:szCs w:val="21"/>
        </w:rPr>
        <w:t>1. Responsabilités et Obligations de la Partie A (Maître d'Ouvrage)</w:t>
      </w:r>
    </w:p>
    <w:p w14:paraId="2332B17F">
      <w:pPr>
        <w:spacing w:line="360" w:lineRule="auto"/>
        <w:ind w:firstLine="420" w:firstLineChars="200"/>
        <w:rPr>
          <w:kern w:val="13"/>
          <w:szCs w:val="21"/>
        </w:rPr>
      </w:pPr>
      <w:r>
        <w:rPr>
          <w:kern w:val="13"/>
          <w:szCs w:val="21"/>
        </w:rPr>
        <w:t>Assurer l'examen de la gestion du maintien des relations communautaires par l'Entrepreneur, incluant : l'établissement ou non d'une équipe de gestion des relations communautaires, la structure organisationnelle du personnel de gestion des relations communautaires et les méthodes de maintien des relations communautaires.</w:t>
      </w:r>
    </w:p>
    <w:p w14:paraId="6AD021B6">
      <w:pPr>
        <w:spacing w:line="360" w:lineRule="auto"/>
        <w:ind w:firstLine="420" w:firstLineChars="200"/>
        <w:rPr>
          <w:kern w:val="13"/>
          <w:szCs w:val="21"/>
        </w:rPr>
      </w:pPr>
      <w:r>
        <w:rPr>
          <w:kern w:val="13"/>
          <w:szCs w:val="21"/>
        </w:rPr>
        <w:t>Avant le début des travaux, conformément au mécanisme de coordination et de gestion unifiée des relations communautaires et aux méthodes de maintien de ces relations, informer le responsable de l'Entrepreneur et l'équipe de gestion des relations communautaires des règlements internes du Maître d'Ouvrage en matière de gestion et de maintien des relations communautaires, et effectuer une transmission détaillée des tâches de gestion des relations communautaires dans le contexte guinéen à l'Entrepreneur.</w:t>
      </w:r>
    </w:p>
    <w:p w14:paraId="4DAA3562">
      <w:pPr>
        <w:spacing w:line="360" w:lineRule="auto"/>
        <w:ind w:firstLine="420" w:firstLineChars="200"/>
        <w:rPr>
          <w:kern w:val="13"/>
          <w:szCs w:val="21"/>
        </w:rPr>
      </w:pPr>
      <w:r>
        <w:rPr>
          <w:kern w:val="13"/>
          <w:szCs w:val="21"/>
        </w:rPr>
        <w:t>Examiner les méthodes de maintien des relations communautaires et les plans d'intervention d'urgence élaborés par l'Entrepreneur, et superviser leur mise en œuvre après approbation.</w:t>
      </w:r>
    </w:p>
    <w:p w14:paraId="15CECA98">
      <w:pPr>
        <w:spacing w:line="360" w:lineRule="auto"/>
        <w:ind w:firstLine="420" w:firstLineChars="200"/>
        <w:rPr>
          <w:kern w:val="13"/>
          <w:szCs w:val="21"/>
        </w:rPr>
      </w:pPr>
      <w:r>
        <w:rPr>
          <w:kern w:val="13"/>
          <w:szCs w:val="21"/>
        </w:rPr>
        <w:t>Garantir, conformément au contrat et en l'absence de tout litige, l'exécution des accords de paiement pertinents à la réception par étapes ou finale des travaux, ou aux échéances convenues.</w:t>
      </w:r>
    </w:p>
    <w:p w14:paraId="393EE277">
      <w:pPr>
        <w:spacing w:line="360" w:lineRule="auto"/>
        <w:ind w:firstLine="420" w:firstLineChars="200"/>
        <w:rPr>
          <w:kern w:val="13"/>
          <w:szCs w:val="21"/>
        </w:rPr>
      </w:pPr>
      <w:r>
        <w:rPr>
          <w:kern w:val="13"/>
          <w:szCs w:val="21"/>
        </w:rPr>
        <w:t>Assurer la coordination et la gestion globale, avoir le droit de corriger ou d'arrêter immédiatement tout comportement inapproprié survenant dans le maintien des relations communautaires. Avoir le droit de résilier le contrat et d'exiger le retrait dans un délai imparti pour tout entrepreneur refusant de se conformer à la gestion, violant gravement les lois et règlements, ou dont la gestion est chaotique.</w:t>
      </w:r>
    </w:p>
    <w:p w14:paraId="3C82C061">
      <w:pPr>
        <w:spacing w:line="360" w:lineRule="auto"/>
        <w:ind w:firstLine="420" w:firstLineChars="200"/>
        <w:rPr>
          <w:kern w:val="13"/>
          <w:szCs w:val="21"/>
        </w:rPr>
      </w:pPr>
      <w:r>
        <w:rPr>
          <w:kern w:val="13"/>
          <w:szCs w:val="21"/>
        </w:rPr>
        <w:t>Pour les litiges communautaires causés par l'Entrepreneur, si celui-ci refuse de mettre en œuvre les corrections demandées dans un avis de rectification dans les délais impartis, le Maître d'Ouvrage a le droit d'intervenir, les coûts engagés étant à la charge de l'Entrepreneur.</w:t>
      </w:r>
    </w:p>
    <w:p w14:paraId="7F1B1836">
      <w:pPr>
        <w:spacing w:line="360" w:lineRule="auto"/>
        <w:ind w:firstLine="420" w:firstLineChars="200"/>
        <w:rPr>
          <w:kern w:val="13"/>
          <w:szCs w:val="21"/>
        </w:rPr>
      </w:pPr>
      <w:r>
        <w:rPr>
          <w:kern w:val="13"/>
          <w:szCs w:val="21"/>
        </w:rPr>
        <w:t>Concernant la retenue de garantie du projet, après l'achèvement et le transfert des travaux, et après examen par la Société :</w:t>
      </w:r>
      <w:r>
        <w:rPr>
          <w:kern w:val="13"/>
          <w:szCs w:val="21"/>
        </w:rPr>
        <w:br w:type="textWrapping"/>
      </w:r>
      <w:r>
        <w:rPr>
          <w:kern w:val="13"/>
          <w:szCs w:val="21"/>
        </w:rPr>
        <w:t>① Si aucun litige résiduel n'est survenu, la garantie est restituée (sauf déduction des amendes pour infractions) ;</w:t>
      </w:r>
      <w:r>
        <w:rPr>
          <w:kern w:val="13"/>
          <w:szCs w:val="21"/>
        </w:rPr>
        <w:br w:type="textWrapping"/>
      </w:r>
      <w:r>
        <w:rPr>
          <w:kern w:val="13"/>
          <w:szCs w:val="21"/>
        </w:rPr>
        <w:t>② Si un litige communautaire survient, n'est pas traité et que l'Entrepreneur refuse de coopérer au traitement, le Maître d'Ouvrage intervient, puis le solde est restitué (sauf déduction des amendes pour infractions).</w:t>
      </w:r>
    </w:p>
    <w:p w14:paraId="4D7CBAB0">
      <w:pPr>
        <w:spacing w:line="360" w:lineRule="auto"/>
        <w:ind w:firstLine="420" w:firstLineChars="200"/>
        <w:rPr>
          <w:kern w:val="13"/>
          <w:szCs w:val="21"/>
        </w:rPr>
      </w:pPr>
      <w:r>
        <w:rPr>
          <w:kern w:val="13"/>
          <w:szCs w:val="21"/>
        </w:rPr>
        <w:t>Si l'Entrepreneur viole les dispositions pertinentes des méthodes de maintien des relations communautaires de la Société du Maître d'Ouvrage dans le cadre du présent projet, le Maître d'Ouvrage a le droit d'imposer des sanctions financières conformément auxdites méthodes, déduites des paiements d'avancement des travaux, le surplus étant déduit de la garantie. Les critères d'évaluation sont les suivants :</w:t>
      </w:r>
    </w:p>
    <w:p w14:paraId="4512E181">
      <w:pPr>
        <w:spacing w:line="360" w:lineRule="auto"/>
        <w:ind w:firstLine="420" w:firstLineChars="200"/>
        <w:rPr>
          <w:kern w:val="13"/>
          <w:szCs w:val="21"/>
        </w:rPr>
      </w:pPr>
      <w:r>
        <w:rPr>
          <w:kern w:val="13"/>
          <w:szCs w:val="21"/>
        </w:rPr>
        <w:t>Si des insuffisances ou une inaction de l'Entrepreneur dans la gestion du maintien des relations communautaires entraînent un impact social négatif ou nuisent à l'image du projet, une sanction financière sera infligée à l'Entrepreneur concerné, comprise entre 20 000 et 100 000 RMB par incident.</w:t>
      </w:r>
    </w:p>
    <w:p w14:paraId="0061FD77">
      <w:pPr>
        <w:spacing w:line="360" w:lineRule="auto"/>
        <w:ind w:firstLine="420" w:firstLineChars="200"/>
        <w:rPr>
          <w:kern w:val="13"/>
          <w:szCs w:val="21"/>
        </w:rPr>
      </w:pPr>
      <w:r>
        <w:rPr>
          <w:kern w:val="13"/>
          <w:szCs w:val="21"/>
        </w:rPr>
        <w:t>Pour les incidents causant des pertes économiques graves au projet ; impliquant des blessures graves ou des décès ; ayant donné lieu à des sanctions ou critiques officielles des autorités locales ; des incidents de groupe violents ayant nécessité l'intervention des forces de l'ordre/armée ; ou des événements communautaires considérés comme extrêmement préjudiciables par SPIC Guinée. Une sanction financière sera infligée à l'Entrepreneur concerné, comprise entre 100 000 et 300 000 RMB par incident.</w:t>
      </w:r>
    </w:p>
    <w:p w14:paraId="4A456B69">
      <w:pPr>
        <w:spacing w:line="360" w:lineRule="auto"/>
        <w:ind w:firstLine="420" w:firstLineChars="200"/>
        <w:rPr>
          <w:kern w:val="13"/>
          <w:szCs w:val="21"/>
        </w:rPr>
      </w:pPr>
      <w:r>
        <w:rPr>
          <w:kern w:val="13"/>
          <w:szCs w:val="21"/>
        </w:rPr>
        <w:t>Les sanctions financières n'incluent pas les frais supplémentaires liés au traitement des litiges, tels que les frais de déplacement des fonctionnaires, les frais de déploiement des forces de l'ordre/armée, les amendes gouvernementales, etc.</w:t>
      </w:r>
    </w:p>
    <w:p w14:paraId="6436894A">
      <w:pPr>
        <w:spacing w:line="360" w:lineRule="auto"/>
        <w:ind w:firstLine="420" w:firstLineChars="200"/>
        <w:rPr>
          <w:kern w:val="13"/>
          <w:szCs w:val="21"/>
        </w:rPr>
      </w:pPr>
      <w:r>
        <w:rPr>
          <w:kern w:val="13"/>
          <w:szCs w:val="21"/>
        </w:rPr>
        <w:t>Si l'Entrepreneur sanctionné refuse de coopérer à la mise en œuvre des corrections dans les délais impartis, une amende supplémentaire sera infligée et l'arrêt des travaux pour rectification sera ordonné. La reprise des travaux nécessitera un rapport sur les corrections effectuées et la fourniture de documents justificatifs pour approbation.</w:t>
      </w:r>
    </w:p>
    <w:p w14:paraId="1B3DC48F">
      <w:pPr>
        <w:spacing w:line="360" w:lineRule="auto"/>
        <w:ind w:firstLine="420" w:firstLineChars="200"/>
        <w:rPr>
          <w:kern w:val="13"/>
          <w:szCs w:val="21"/>
        </w:rPr>
      </w:pPr>
      <w:r>
        <w:rPr>
          <w:kern w:val="13"/>
          <w:szCs w:val="21"/>
        </w:rPr>
        <w:t>Le plafond cumulé des amendes ne dépassera pas 10% de la valeur du contrat, incluant le cas échéant les contrats complémentaires.</w:t>
      </w:r>
    </w:p>
    <w:p w14:paraId="2BAA7246">
      <w:pPr>
        <w:spacing w:line="360" w:lineRule="auto"/>
        <w:ind w:firstLine="420" w:firstLineChars="200"/>
        <w:rPr>
          <w:kern w:val="13"/>
          <w:szCs w:val="21"/>
        </w:rPr>
      </w:pPr>
      <w:r>
        <w:rPr>
          <w:kern w:val="13"/>
          <w:szCs w:val="21"/>
        </w:rPr>
        <w:t>2. Responsabilités et Obligations de la Partie B (Entrepreneur)</w:t>
      </w:r>
    </w:p>
    <w:p w14:paraId="44EEB67B">
      <w:pPr>
        <w:spacing w:line="360" w:lineRule="auto"/>
        <w:ind w:firstLine="420" w:firstLineChars="200"/>
        <w:rPr>
          <w:kern w:val="13"/>
          <w:szCs w:val="21"/>
        </w:rPr>
      </w:pPr>
      <w:r>
        <w:rPr>
          <w:kern w:val="13"/>
          <w:szCs w:val="21"/>
        </w:rPr>
        <w:t>Fournir au Maître d'Ouvrage des documents valides et authentiques relatifs à la gestion du maintien des relations communautaires, incluant la structure organisationnelle de l'équipe de gestion des relations communautaires et les méthodes de maintien de ces relations.</w:t>
      </w:r>
    </w:p>
    <w:p w14:paraId="14DB585D">
      <w:pPr>
        <w:spacing w:line="360" w:lineRule="auto"/>
        <w:ind w:firstLine="420" w:firstLineChars="200"/>
        <w:rPr>
          <w:kern w:val="13"/>
          <w:szCs w:val="21"/>
        </w:rPr>
      </w:pPr>
      <w:r>
        <w:rPr>
          <w:kern w:val="13"/>
          <w:szCs w:val="21"/>
        </w:rPr>
        <w:t>Informer par écrit le Maître d'Ouvrage pour enregistrement de tout changement dans le personnel de gestion des relations communautaires dû à des mutations, des congés de retour au pays, etc.</w:t>
      </w:r>
    </w:p>
    <w:p w14:paraId="3DD9ACCB">
      <w:pPr>
        <w:spacing w:line="360" w:lineRule="auto"/>
        <w:ind w:firstLine="420" w:firstLineChars="200"/>
        <w:rPr>
          <w:kern w:val="13"/>
          <w:szCs w:val="21"/>
        </w:rPr>
      </w:pPr>
      <w:r>
        <w:rPr>
          <w:kern w:val="13"/>
          <w:szCs w:val="21"/>
        </w:rPr>
        <w:t>Conformément au mécanisme de coordination unifiée des relations communautaires et aux méthodes de maintien de ces relations, constituer une équipe de gestion et de maintien des relations communautaires pour le projet, dotée d'un personnel qualifié et maîtrisant la langue locale, établir et renforcer tous les systèmes de gestion et de supervision liés au maintien des relations communautaires, et les appliquer strictement.</w:t>
      </w:r>
    </w:p>
    <w:p w14:paraId="62C6CCBF">
      <w:pPr>
        <w:spacing w:line="360" w:lineRule="auto"/>
        <w:ind w:firstLine="420" w:firstLineChars="200"/>
        <w:rPr>
          <w:kern w:val="13"/>
          <w:szCs w:val="21"/>
        </w:rPr>
      </w:pPr>
      <w:r>
        <w:rPr>
          <w:kern w:val="13"/>
          <w:szCs w:val="21"/>
        </w:rPr>
        <w:t>Élaborer les méthodes de maintien des relations communautaires et un plan d'intervention d'urgence, à exécuter après examen et approbation par le Maître d'Ouvrage. L'Entrepreneur doit mettre en œuvre sérieusement les mesures approuvées et les règlements applicables, en les appliquant à chaque étape du processus de construction.</w:t>
      </w:r>
    </w:p>
    <w:p w14:paraId="7FA9B5E4">
      <w:pPr>
        <w:spacing w:line="360" w:lineRule="auto"/>
        <w:ind w:firstLine="420" w:firstLineChars="200"/>
        <w:rPr>
          <w:kern w:val="13"/>
          <w:szCs w:val="21"/>
        </w:rPr>
      </w:pPr>
      <w:r>
        <w:rPr>
          <w:kern w:val="13"/>
          <w:szCs w:val="21"/>
        </w:rPr>
        <w:t>Avant le début des travaux, organiser une session d'apprentissage sur le mécanisme de coordination et de gestion unifiée des relations communautaires et les méthodes de maintien de ces relations pour l'ensemble du personnel du projet, effectuer une transmission détaillée des tâches de gestion des relations communautaires dans le contexte guinéen. Maîtriser les méthodes de gestion des relations communautaires en Guinée, transmettre et mettre en œuvre les exigences de la transmission du Maître d'Ouvrage, et conserver des traces écrites.</w:t>
      </w:r>
    </w:p>
    <w:p w14:paraId="2CB3EB5C">
      <w:pPr>
        <w:spacing w:line="360" w:lineRule="auto"/>
        <w:ind w:firstLine="420" w:firstLineChars="200"/>
        <w:rPr>
          <w:kern w:val="13"/>
          <w:szCs w:val="21"/>
        </w:rPr>
      </w:pPr>
      <w:r>
        <w:rPr>
          <w:kern w:val="13"/>
          <w:szCs w:val="21"/>
        </w:rPr>
        <w:t>Respecter strictement les politiques, lois et règlements du pays d'accueil du projet, respecter les règlements internes du Maître d'Ouvrage et de son organe supérieur en matière de gestion des relations communautaires, accepter volontairement les inspections et la supervision du Maître d'Ouvrage, et traiter en boucle fermée les problèmes identifiés lors des inspections.</w:t>
      </w:r>
    </w:p>
    <w:p w14:paraId="0D58E1E5">
      <w:pPr>
        <w:spacing w:line="360" w:lineRule="auto"/>
        <w:ind w:firstLine="420" w:firstLineChars="200"/>
        <w:rPr>
          <w:kern w:val="13"/>
          <w:szCs w:val="21"/>
        </w:rPr>
      </w:pPr>
      <w:r>
        <w:rPr>
          <w:kern w:val="13"/>
          <w:szCs w:val="21"/>
        </w:rPr>
        <w:t>Le responsable des relations communautaires de l'Entrepreneur doit participer aux réunions mensuelles du Maître d'Ouvrage comme requis, rendre compte régulièrement des progrès, comprendre les objectifs, évolutions et exigences du Maître d'Ouvrage, et organiser en temps utile leur transmission et mise en œuvre.</w:t>
      </w:r>
    </w:p>
    <w:p w14:paraId="25DECDE2">
      <w:pPr>
        <w:spacing w:line="360" w:lineRule="auto"/>
        <w:ind w:firstLine="420" w:firstLineChars="200"/>
        <w:rPr>
          <w:kern w:val="13"/>
          <w:szCs w:val="21"/>
        </w:rPr>
      </w:pPr>
      <w:r>
        <w:rPr>
          <w:kern w:val="13"/>
          <w:szCs w:val="21"/>
        </w:rPr>
        <w:t>Participer aux activités de gestion des relations communautaires organisées par le Maître d'Ouvrage (apprentissages, campagnes de sensibilisation, mois/semaine de la sécurité, visites communautaires, etc.) et y répondre activement lorsqu'elles sont lancées.</w:t>
      </w:r>
    </w:p>
    <w:p w14:paraId="6F8D19B6">
      <w:pPr>
        <w:spacing w:line="360" w:lineRule="auto"/>
        <w:ind w:firstLine="420" w:firstLineChars="200"/>
        <w:rPr>
          <w:kern w:val="13"/>
          <w:szCs w:val="21"/>
        </w:rPr>
      </w:pPr>
      <w:r>
        <w:rPr>
          <w:kern w:val="13"/>
          <w:szCs w:val="21"/>
        </w:rPr>
        <w:t>Assumer toutes les pertes économiques et responsabilités découlant de litiges communautaires causés par l'Entrepreneur.</w:t>
      </w:r>
    </w:p>
    <w:p w14:paraId="13204751">
      <w:pPr>
        <w:spacing w:line="360" w:lineRule="auto"/>
        <w:ind w:firstLine="420" w:firstLineChars="200"/>
        <w:rPr>
          <w:kern w:val="13"/>
          <w:szCs w:val="21"/>
        </w:rPr>
      </w:pPr>
      <w:r>
        <w:rPr>
          <w:kern w:val="13"/>
          <w:szCs w:val="21"/>
        </w:rPr>
        <w:t>Pour tout litige communautaire causé par l'Entrepreneur, celui-ci doit le traiter activement et rapidement, en rendre compte conformément aux règlements, et est strictement interdit de falsifier des informations ou de dissimuler des faits. Outre le rapport immédiat à sa hiérarchie, l'Entrepreneur doit informer rapidement le Maître d'Ouvrage. Tout retard ou dissimulation ayant des conséquences sera de la responsabilité de l'Entrepreneur.</w:t>
      </w:r>
    </w:p>
    <w:p w14:paraId="585CACFD">
      <w:pPr>
        <w:spacing w:line="360" w:lineRule="auto"/>
        <w:ind w:firstLine="420" w:firstLineChars="200"/>
        <w:rPr>
          <w:kern w:val="13"/>
          <w:szCs w:val="21"/>
        </w:rPr>
      </w:pPr>
      <w:r>
        <w:rPr>
          <w:kern w:val="13"/>
          <w:szCs w:val="21"/>
        </w:rPr>
        <w:t>En cas de sous-traitance, la gestion du maintien des relations communautaires des sous-traitants relève de la responsabilité de l'organe de gestion des relations communautaires de l'Entrepreneur, qui en assure la gestion unifiée. L'Entrepreneur assume toutes les responsabilités et conséquences. Il est strictement interdit de se décharger de sa responsabilité de gestion par la seule sous-traitance.</w:t>
      </w:r>
    </w:p>
    <w:p w14:paraId="76655972">
      <w:pPr>
        <w:spacing w:line="360" w:lineRule="auto"/>
        <w:ind w:firstLine="420" w:firstLineChars="200"/>
        <w:rPr>
          <w:kern w:val="13"/>
          <w:szCs w:val="21"/>
        </w:rPr>
      </w:pPr>
      <w:r>
        <w:rPr>
          <w:kern w:val="13"/>
          <w:szCs w:val="21"/>
        </w:rPr>
        <w:t>E. Exécution de l'Accord</w:t>
      </w:r>
      <w:r>
        <w:rPr>
          <w:kern w:val="13"/>
          <w:szCs w:val="21"/>
        </w:rPr>
        <w:br w:type="textWrapping"/>
      </w:r>
      <w:r>
        <w:rPr>
          <w:kern w:val="13"/>
          <w:szCs w:val="21"/>
        </w:rPr>
        <w:t>Les deux parties doivent exécuter de bonne foi les clauses du présent accord. Si l'Entrepreneur n'exécute pas ou n'exécute pas sérieusement les clauses stipulées, et persiste après avertissement, le Maître d'Ouvrage a le droit d'émettre un avertissement, d'infliger une amende, voire de résilier le contrat.</w:t>
      </w:r>
    </w:p>
    <w:p w14:paraId="29256E11">
      <w:pPr>
        <w:spacing w:line="360" w:lineRule="auto"/>
        <w:ind w:firstLine="420" w:firstLineChars="200"/>
        <w:rPr>
          <w:kern w:val="13"/>
          <w:szCs w:val="21"/>
        </w:rPr>
      </w:pPr>
      <w:r>
        <w:rPr>
          <w:kern w:val="13"/>
          <w:szCs w:val="21"/>
        </w:rPr>
        <w:t>F. Applicabilité</w:t>
      </w:r>
      <w:r>
        <w:rPr>
          <w:kern w:val="13"/>
          <w:szCs w:val="21"/>
        </w:rPr>
        <w:br w:type="textWrapping"/>
      </w:r>
      <w:r>
        <w:rPr>
          <w:kern w:val="13"/>
          <w:szCs w:val="21"/>
        </w:rPr>
        <w:t>Le présent accord s'applique également aux travaux supplémentaires réalisés dans le cadre du Contrat Principal.</w:t>
      </w:r>
    </w:p>
    <w:p w14:paraId="1BFC3B33">
      <w:pPr>
        <w:spacing w:line="360" w:lineRule="auto"/>
        <w:ind w:firstLine="420" w:firstLineChars="200"/>
        <w:rPr>
          <w:kern w:val="13"/>
          <w:szCs w:val="21"/>
        </w:rPr>
      </w:pPr>
      <w:r>
        <w:rPr>
          <w:kern w:val="13"/>
          <w:szCs w:val="21"/>
        </w:rPr>
        <w:t>G. Règlement</w:t>
      </w:r>
      <w:r>
        <w:rPr>
          <w:kern w:val="13"/>
          <w:szCs w:val="21"/>
        </w:rPr>
        <w:br w:type="textWrapping"/>
      </w:r>
      <w:r>
        <w:rPr>
          <w:kern w:val="13"/>
          <w:szCs w:val="21"/>
        </w:rPr>
        <w:t>À l'expiration du contrat, le présent accord doit être présenté. Le règlement ne pourra être effectué qu'après que le service de gestion des relations communautaires aura délivré, conformément aux clauses précédentes, une attestation confirmant l'absence de litige résiduel. Dans le cas contraire, aucune procédure de règlement ne sera engagée.</w:t>
      </w:r>
    </w:p>
    <w:p w14:paraId="3677CFC5">
      <w:pPr>
        <w:spacing w:line="360" w:lineRule="auto"/>
        <w:ind w:firstLine="420" w:firstLineChars="200"/>
        <w:rPr>
          <w:kern w:val="13"/>
          <w:szCs w:val="21"/>
        </w:rPr>
      </w:pPr>
      <w:r>
        <w:rPr>
          <w:kern w:val="13"/>
          <w:szCs w:val="21"/>
        </w:rPr>
        <w:t>H. Questions Non Précisées</w:t>
      </w:r>
      <w:r>
        <w:rPr>
          <w:kern w:val="13"/>
          <w:szCs w:val="21"/>
        </w:rPr>
        <w:br w:type="textWrapping"/>
      </w:r>
      <w:r>
        <w:rPr>
          <w:kern w:val="13"/>
          <w:szCs w:val="21"/>
        </w:rPr>
        <w:t>Les questions non prévues par le présent accord seront résolues par les deux parties par voie de négociation, conformément aux dispositions pertinentes de l'État.</w:t>
      </w:r>
    </w:p>
    <w:p w14:paraId="2D6A93E8">
      <w:pPr>
        <w:spacing w:line="360" w:lineRule="auto"/>
        <w:ind w:firstLine="420" w:firstLineChars="200"/>
        <w:rPr>
          <w:kern w:val="13"/>
          <w:szCs w:val="21"/>
        </w:rPr>
      </w:pPr>
      <w:r>
        <w:rPr>
          <w:kern w:val="13"/>
          <w:szCs w:val="21"/>
        </w:rPr>
        <w:t>I. Exemplaires</w:t>
      </w:r>
      <w:r>
        <w:rPr>
          <w:kern w:val="13"/>
          <w:szCs w:val="21"/>
        </w:rPr>
        <w:br w:type="textWrapping"/>
      </w:r>
      <w:r>
        <w:rPr>
          <w:kern w:val="13"/>
          <w:szCs w:val="21"/>
        </w:rPr>
        <w:t>Le présent accord est établi en six exemplaires, quatre pour la Partie A et deux pour la Partie B.</w:t>
      </w:r>
    </w:p>
    <w:p w14:paraId="6CB8EEDD">
      <w:pPr>
        <w:spacing w:line="360" w:lineRule="auto"/>
        <w:ind w:firstLine="420" w:firstLineChars="200"/>
        <w:rPr>
          <w:kern w:val="13"/>
          <w:szCs w:val="21"/>
        </w:rPr>
      </w:pPr>
      <w:r>
        <w:rPr>
          <w:kern w:val="13"/>
          <w:szCs w:val="21"/>
        </w:rPr>
        <w:t>J. Durée de Validité</w:t>
      </w:r>
      <w:r>
        <w:rPr>
          <w:kern w:val="13"/>
          <w:szCs w:val="21"/>
        </w:rPr>
        <w:br w:type="textWrapping"/>
      </w:r>
      <w:r>
        <w:rPr>
          <w:kern w:val="13"/>
          <w:szCs w:val="21"/>
        </w:rPr>
        <w:t>Le présent accord entre en vigueur simultanément avec le Contrat Principal et expire après la réception finale des travaux contractuels du Contrat Principal.</w:t>
      </w:r>
    </w:p>
    <w:p w14:paraId="0DB08E59">
      <w:pPr>
        <w:rPr>
          <w:b/>
          <w:kern w:val="0"/>
          <w:sz w:val="24"/>
          <w:szCs w:val="24"/>
        </w:rPr>
      </w:pPr>
    </w:p>
    <w:p w14:paraId="49519BC3">
      <w:pPr>
        <w:rPr>
          <w:b/>
          <w:kern w:val="0"/>
          <w:sz w:val="24"/>
          <w:szCs w:val="24"/>
        </w:rPr>
      </w:pPr>
    </w:p>
    <w:p w14:paraId="5AD160DA">
      <w:pPr>
        <w:rPr>
          <w:b/>
          <w:kern w:val="0"/>
          <w:sz w:val="24"/>
          <w:szCs w:val="24"/>
        </w:rPr>
      </w:pPr>
    </w:p>
    <w:p w14:paraId="2D7D834F">
      <w:pPr>
        <w:spacing w:line="360" w:lineRule="auto"/>
        <w:rPr>
          <w:b/>
          <w:kern w:val="0"/>
          <w:sz w:val="24"/>
          <w:szCs w:val="24"/>
        </w:rPr>
      </w:pPr>
    </w:p>
    <w:p w14:paraId="432327B2">
      <w:pPr>
        <w:spacing w:line="360" w:lineRule="auto"/>
        <w:rPr>
          <w:b/>
          <w:kern w:val="0"/>
          <w:sz w:val="24"/>
          <w:szCs w:val="24"/>
        </w:rPr>
      </w:pPr>
    </w:p>
    <w:p w14:paraId="36B6A1C5">
      <w:pPr>
        <w:rPr>
          <w:b/>
          <w:kern w:val="0"/>
          <w:sz w:val="24"/>
          <w:szCs w:val="24"/>
        </w:rPr>
      </w:pPr>
    </w:p>
    <w:p w14:paraId="1768CEB2">
      <w:pPr>
        <w:rPr>
          <w:b/>
          <w:kern w:val="0"/>
          <w:sz w:val="24"/>
          <w:szCs w:val="24"/>
        </w:rPr>
      </w:pPr>
    </w:p>
    <w:p w14:paraId="2ACE4B1F">
      <w:pPr>
        <w:rPr>
          <w:b/>
          <w:kern w:val="0"/>
          <w:sz w:val="24"/>
          <w:szCs w:val="24"/>
        </w:rPr>
      </w:pPr>
    </w:p>
    <w:p w14:paraId="4724B08A">
      <w:pPr>
        <w:rPr>
          <w:b/>
          <w:kern w:val="0"/>
          <w:sz w:val="24"/>
          <w:szCs w:val="24"/>
        </w:rPr>
      </w:pPr>
    </w:p>
    <w:p w14:paraId="65957486">
      <w:pPr>
        <w:rPr>
          <w:b/>
          <w:kern w:val="0"/>
          <w:sz w:val="24"/>
          <w:szCs w:val="24"/>
        </w:rPr>
      </w:pPr>
    </w:p>
    <w:p w14:paraId="31A42314">
      <w:pPr>
        <w:rPr>
          <w:b/>
          <w:kern w:val="0"/>
          <w:sz w:val="24"/>
          <w:szCs w:val="24"/>
        </w:rPr>
      </w:pPr>
    </w:p>
    <w:p w14:paraId="00E28D69">
      <w:pPr>
        <w:rPr>
          <w:b/>
          <w:kern w:val="0"/>
          <w:sz w:val="24"/>
          <w:szCs w:val="24"/>
        </w:rPr>
      </w:pPr>
    </w:p>
    <w:p w14:paraId="0E57B224">
      <w:pPr>
        <w:rPr>
          <w:b/>
          <w:kern w:val="0"/>
          <w:sz w:val="24"/>
          <w:szCs w:val="24"/>
        </w:rPr>
      </w:pPr>
    </w:p>
    <w:p w14:paraId="5559BD02">
      <w:pPr>
        <w:rPr>
          <w:b/>
          <w:kern w:val="0"/>
          <w:sz w:val="24"/>
          <w:szCs w:val="24"/>
        </w:rPr>
      </w:pPr>
    </w:p>
    <w:p w14:paraId="6EB4E854">
      <w:pPr>
        <w:rPr>
          <w:b/>
          <w:kern w:val="0"/>
          <w:sz w:val="24"/>
          <w:szCs w:val="24"/>
        </w:rPr>
      </w:pPr>
    </w:p>
    <w:p w14:paraId="2D41C492">
      <w:pPr>
        <w:rPr>
          <w:b/>
          <w:kern w:val="0"/>
          <w:sz w:val="24"/>
          <w:szCs w:val="24"/>
        </w:rPr>
      </w:pPr>
    </w:p>
    <w:p w14:paraId="4F1ED7CD">
      <w:pPr>
        <w:rPr>
          <w:b/>
          <w:kern w:val="0"/>
          <w:sz w:val="24"/>
          <w:szCs w:val="24"/>
        </w:rPr>
      </w:pPr>
    </w:p>
    <w:p w14:paraId="6D49A73D">
      <w:pPr>
        <w:keepNext/>
        <w:widowControl/>
        <w:autoSpaceDE w:val="0"/>
        <w:autoSpaceDN w:val="0"/>
        <w:spacing w:line="360" w:lineRule="auto"/>
        <w:jc w:val="left"/>
        <w:outlineLvl w:val="0"/>
        <w:rPr>
          <w:b/>
          <w:kern w:val="0"/>
          <w:sz w:val="24"/>
          <w:szCs w:val="24"/>
        </w:rPr>
      </w:pPr>
      <w:r>
        <w:rPr>
          <w:rFonts w:hint="eastAsia"/>
          <w:b/>
          <w:kern w:val="0"/>
          <w:sz w:val="24"/>
          <w:szCs w:val="24"/>
        </w:rPr>
        <w:t>合同附件</w:t>
      </w:r>
      <w:r>
        <w:rPr>
          <w:rFonts w:hint="eastAsia"/>
          <w:b/>
          <w:kern w:val="0"/>
          <w:sz w:val="24"/>
          <w:szCs w:val="24"/>
          <w:lang w:val="en-US"/>
        </w:rPr>
        <w:t>6</w:t>
      </w:r>
      <w:r>
        <w:rPr>
          <w:rFonts w:hint="eastAsia"/>
          <w:b/>
          <w:kern w:val="0"/>
          <w:sz w:val="24"/>
          <w:szCs w:val="24"/>
        </w:rPr>
        <w:t>：</w:t>
      </w:r>
    </w:p>
    <w:p w14:paraId="3DA1D236">
      <w:pPr>
        <w:spacing w:line="360" w:lineRule="auto"/>
        <w:rPr>
          <w:b/>
          <w:bCs/>
        </w:rPr>
      </w:pPr>
      <w:r>
        <w:rPr>
          <w:b/>
          <w:kern w:val="0"/>
          <w:sz w:val="24"/>
          <w:szCs w:val="24"/>
        </w:rPr>
        <w:t xml:space="preserve">Annexe </w:t>
      </w:r>
      <w:r>
        <w:rPr>
          <w:rFonts w:hint="eastAsia"/>
          <w:b/>
          <w:kern w:val="0"/>
          <w:sz w:val="24"/>
          <w:szCs w:val="24"/>
          <w:lang w:val="en-US"/>
        </w:rPr>
        <w:t>6</w:t>
      </w:r>
    </w:p>
    <w:p w14:paraId="040A2F9F">
      <w:pPr>
        <w:rPr>
          <w:b/>
          <w:kern w:val="0"/>
          <w:sz w:val="24"/>
          <w:szCs w:val="24"/>
        </w:rPr>
      </w:pPr>
    </w:p>
    <w:tbl>
      <w:tblPr>
        <w:tblStyle w:val="34"/>
        <w:tblpPr w:leftFromText="141" w:rightFromText="141" w:vertAnchor="page" w:horzAnchor="margin" w:tblpY="3264"/>
        <w:tblW w:w="5000" w:type="pct"/>
        <w:tblInd w:w="0" w:type="dxa"/>
        <w:tblLayout w:type="fixed"/>
        <w:tblCellMar>
          <w:top w:w="0" w:type="dxa"/>
          <w:left w:w="108" w:type="dxa"/>
          <w:bottom w:w="0" w:type="dxa"/>
          <w:right w:w="108" w:type="dxa"/>
        </w:tblCellMar>
      </w:tblPr>
      <w:tblGrid>
        <w:gridCol w:w="596"/>
        <w:gridCol w:w="1277"/>
        <w:gridCol w:w="3081"/>
        <w:gridCol w:w="908"/>
        <w:gridCol w:w="646"/>
        <w:gridCol w:w="620"/>
        <w:gridCol w:w="945"/>
        <w:gridCol w:w="1487"/>
        <w:gridCol w:w="11"/>
      </w:tblGrid>
      <w:tr w14:paraId="25984204">
        <w:tblPrEx>
          <w:tblCellMar>
            <w:top w:w="0" w:type="dxa"/>
            <w:left w:w="108" w:type="dxa"/>
            <w:bottom w:w="0" w:type="dxa"/>
            <w:right w:w="108" w:type="dxa"/>
          </w:tblCellMar>
        </w:tblPrEx>
        <w:trPr>
          <w:trHeight w:val="873" w:hRule="atLeast"/>
        </w:trPr>
        <w:tc>
          <w:tcPr>
            <w:tcW w:w="9571" w:type="dxa"/>
            <w:gridSpan w:val="9"/>
            <w:tcBorders>
              <w:top w:val="single" w:color="auto" w:sz="4" w:space="0"/>
              <w:left w:val="single" w:color="auto" w:sz="4" w:space="0"/>
              <w:bottom w:val="single" w:color="auto" w:sz="4" w:space="0"/>
              <w:right w:val="single" w:color="000000" w:sz="4" w:space="0"/>
            </w:tcBorders>
            <w:vAlign w:val="center"/>
          </w:tcPr>
          <w:p w14:paraId="15D19D9D">
            <w:pPr>
              <w:widowControl/>
              <w:jc w:val="center"/>
              <w:rPr>
                <w:rFonts w:eastAsia="等线"/>
                <w:b/>
                <w:bCs/>
                <w:kern w:val="0"/>
                <w:sz w:val="18"/>
                <w:szCs w:val="18"/>
              </w:rPr>
            </w:pPr>
            <w:r>
              <w:rPr>
                <w:rFonts w:eastAsia="等线"/>
                <w:b/>
                <w:bCs/>
                <w:kern w:val="0"/>
                <w:sz w:val="18"/>
                <w:szCs w:val="18"/>
              </w:rPr>
              <w:t>202</w:t>
            </w:r>
            <w:r>
              <w:rPr>
                <w:rFonts w:hint="eastAsia" w:eastAsia="等线"/>
                <w:b/>
                <w:bCs/>
                <w:kern w:val="0"/>
                <w:sz w:val="18"/>
                <w:szCs w:val="18"/>
              </w:rPr>
              <w:t>6</w:t>
            </w:r>
            <w:r>
              <w:rPr>
                <w:rFonts w:hint="eastAsia" w:ascii="宋体" w:hAnsi="宋体"/>
                <w:b/>
                <w:bCs/>
                <w:kern w:val="0"/>
                <w:sz w:val="18"/>
                <w:szCs w:val="18"/>
                <w:lang w:val="en-US"/>
              </w:rPr>
              <w:t>年《支持当地社区发展规划》</w:t>
            </w:r>
            <w:r>
              <w:rPr>
                <w:rFonts w:eastAsia="等线"/>
                <w:b/>
                <w:bCs/>
                <w:kern w:val="0"/>
                <w:sz w:val="18"/>
                <w:szCs w:val="18"/>
              </w:rPr>
              <w:t xml:space="preserve"> </w:t>
            </w:r>
            <w:r>
              <w:rPr>
                <w:rFonts w:hint="eastAsia" w:ascii="宋体" w:hAnsi="宋体"/>
                <w:b/>
                <w:bCs/>
                <w:kern w:val="0"/>
                <w:sz w:val="18"/>
                <w:szCs w:val="18"/>
                <w:lang w:val="en-US"/>
              </w:rPr>
              <w:t>修缮类项目工程量及报价单</w:t>
            </w:r>
            <w:r>
              <w:rPr>
                <w:rFonts w:hint="eastAsia" w:ascii="宋体" w:hAnsi="宋体"/>
                <w:b/>
                <w:bCs/>
                <w:kern w:val="0"/>
                <w:sz w:val="18"/>
                <w:szCs w:val="18"/>
              </w:rPr>
              <w:br w:type="textWrapping"/>
            </w:r>
            <w:r>
              <w:rPr>
                <w:rFonts w:eastAsia="等线"/>
                <w:b/>
                <w:bCs/>
                <w:kern w:val="0"/>
                <w:sz w:val="18"/>
                <w:szCs w:val="18"/>
              </w:rPr>
              <w:t>Quantités et devis pour les projets de réhabilitation</w:t>
            </w:r>
          </w:p>
        </w:tc>
      </w:tr>
      <w:tr w14:paraId="0DE7A11B">
        <w:tblPrEx>
          <w:tblCellMar>
            <w:top w:w="0" w:type="dxa"/>
            <w:left w:w="108" w:type="dxa"/>
            <w:bottom w:w="0" w:type="dxa"/>
            <w:right w:w="108" w:type="dxa"/>
          </w:tblCellMar>
        </w:tblPrEx>
        <w:trPr>
          <w:gridAfter w:val="1"/>
          <w:wAfter w:w="6" w:type="pct"/>
          <w:trHeight w:val="384" w:hRule="atLeast"/>
        </w:trPr>
        <w:tc>
          <w:tcPr>
            <w:tcW w:w="9558" w:type="dxa"/>
            <w:gridSpan w:val="8"/>
            <w:tcBorders>
              <w:top w:val="nil"/>
              <w:left w:val="single" w:color="auto" w:sz="4" w:space="0"/>
              <w:bottom w:val="single" w:color="auto" w:sz="4" w:space="0"/>
              <w:right w:val="single" w:color="auto" w:sz="4" w:space="0"/>
            </w:tcBorders>
            <w:vAlign w:val="center"/>
          </w:tcPr>
          <w:p w14:paraId="5D294CD9">
            <w:r>
              <w:rPr>
                <w:rFonts w:hint="eastAsia" w:eastAsia="等线"/>
                <w:b/>
                <w:bCs/>
                <w:kern w:val="0"/>
                <w:sz w:val="18"/>
                <w:szCs w:val="18"/>
                <w:lang w:val="en-US"/>
              </w:rPr>
              <w:t>修复项目区域内社区道路</w:t>
            </w:r>
            <w:r>
              <w:rPr>
                <w:rFonts w:eastAsia="等线"/>
                <w:b/>
                <w:bCs/>
                <w:kern w:val="0"/>
                <w:sz w:val="18"/>
                <w:szCs w:val="18"/>
              </w:rPr>
              <w:t xml:space="preserve">Réhabilitations des routes d’accès aux villages dans la zone du projet     </w:t>
            </w:r>
          </w:p>
          <w:p w14:paraId="1475FFEB">
            <w:pPr>
              <w:widowControl/>
              <w:jc w:val="center"/>
              <w:rPr>
                <w:rFonts w:ascii="宋体" w:hAnsi="宋体" w:cs="宋体"/>
                <w:b/>
                <w:bCs/>
                <w:kern w:val="0"/>
                <w:sz w:val="18"/>
                <w:szCs w:val="18"/>
              </w:rPr>
            </w:pPr>
          </w:p>
        </w:tc>
      </w:tr>
      <w:tr w14:paraId="76CF62C2">
        <w:tblPrEx>
          <w:tblCellMar>
            <w:top w:w="0" w:type="dxa"/>
            <w:left w:w="108" w:type="dxa"/>
            <w:bottom w:w="0" w:type="dxa"/>
            <w:right w:w="108" w:type="dxa"/>
          </w:tblCellMar>
        </w:tblPrEx>
        <w:trPr>
          <w:gridAfter w:val="1"/>
          <w:wAfter w:w="6" w:type="pct"/>
          <w:trHeight w:val="384" w:hRule="atLeast"/>
        </w:trPr>
        <w:tc>
          <w:tcPr>
            <w:tcW w:w="597" w:type="dxa"/>
            <w:tcBorders>
              <w:top w:val="nil"/>
              <w:left w:val="single" w:color="auto" w:sz="4" w:space="0"/>
              <w:bottom w:val="single" w:color="auto" w:sz="4" w:space="0"/>
              <w:right w:val="single" w:color="auto" w:sz="4" w:space="0"/>
            </w:tcBorders>
            <w:vAlign w:val="center"/>
          </w:tcPr>
          <w:p w14:paraId="0A1C4E45">
            <w:pPr>
              <w:widowControl/>
              <w:jc w:val="center"/>
              <w:rPr>
                <w:rFonts w:eastAsia="等线"/>
                <w:b/>
                <w:bCs/>
                <w:kern w:val="0"/>
                <w:sz w:val="18"/>
                <w:szCs w:val="18"/>
                <w:lang w:val="en-US"/>
              </w:rPr>
            </w:pPr>
            <w:r>
              <w:rPr>
                <w:rFonts w:hint="eastAsia" w:ascii="宋体" w:hAnsi="宋体" w:cs="宋体"/>
                <w:b/>
                <w:bCs/>
                <w:kern w:val="0"/>
                <w:sz w:val="18"/>
                <w:szCs w:val="18"/>
                <w:lang w:val="en-US"/>
              </w:rPr>
              <w:t>序号</w:t>
            </w:r>
          </w:p>
        </w:tc>
        <w:tc>
          <w:tcPr>
            <w:tcW w:w="1278" w:type="dxa"/>
            <w:tcBorders>
              <w:top w:val="nil"/>
              <w:left w:val="nil"/>
              <w:bottom w:val="single" w:color="auto" w:sz="4" w:space="0"/>
              <w:right w:val="single" w:color="auto" w:sz="4" w:space="0"/>
            </w:tcBorders>
            <w:vAlign w:val="center"/>
          </w:tcPr>
          <w:p w14:paraId="7AF36F26">
            <w:pPr>
              <w:widowControl/>
              <w:jc w:val="center"/>
              <w:rPr>
                <w:rFonts w:eastAsia="等线"/>
                <w:b/>
                <w:bCs/>
                <w:kern w:val="0"/>
                <w:sz w:val="18"/>
                <w:szCs w:val="18"/>
                <w:lang w:val="en-US"/>
              </w:rPr>
            </w:pPr>
            <w:r>
              <w:rPr>
                <w:rFonts w:hint="eastAsia" w:ascii="宋体" w:hAnsi="宋体" w:cs="宋体"/>
                <w:b/>
                <w:bCs/>
                <w:kern w:val="0"/>
                <w:sz w:val="18"/>
                <w:szCs w:val="18"/>
                <w:lang w:val="en-US"/>
              </w:rPr>
              <w:t>项目名称</w:t>
            </w:r>
          </w:p>
        </w:tc>
        <w:tc>
          <w:tcPr>
            <w:tcW w:w="3083" w:type="dxa"/>
            <w:vMerge w:val="restart"/>
            <w:tcBorders>
              <w:top w:val="nil"/>
              <w:left w:val="single" w:color="auto" w:sz="4" w:space="0"/>
              <w:bottom w:val="single" w:color="auto" w:sz="4" w:space="0"/>
              <w:right w:val="single" w:color="auto" w:sz="4" w:space="0"/>
            </w:tcBorders>
            <w:vAlign w:val="center"/>
          </w:tcPr>
          <w:p w14:paraId="67FC0CF3">
            <w:pPr>
              <w:widowControl/>
              <w:jc w:val="left"/>
              <w:rPr>
                <w:rFonts w:eastAsia="等线"/>
                <w:b/>
                <w:bCs/>
                <w:kern w:val="0"/>
                <w:sz w:val="18"/>
                <w:szCs w:val="18"/>
                <w:lang w:val="en-US"/>
              </w:rPr>
            </w:pPr>
            <w:r>
              <w:rPr>
                <w:rFonts w:hint="eastAsia" w:ascii="宋体" w:hAnsi="宋体"/>
                <w:b/>
                <w:bCs/>
                <w:kern w:val="0"/>
                <w:sz w:val="18"/>
                <w:szCs w:val="18"/>
                <w:lang w:val="en-US"/>
              </w:rPr>
              <w:t>工作内容</w:t>
            </w:r>
            <w:r>
              <w:rPr>
                <w:rFonts w:eastAsia="等线"/>
                <w:b/>
                <w:bCs/>
                <w:kern w:val="0"/>
                <w:sz w:val="18"/>
                <w:szCs w:val="18"/>
                <w:lang w:val="en-US"/>
              </w:rPr>
              <w:t xml:space="preserve">    Travaux spécifiques</w:t>
            </w:r>
          </w:p>
        </w:tc>
        <w:tc>
          <w:tcPr>
            <w:tcW w:w="908" w:type="dxa"/>
            <w:tcBorders>
              <w:top w:val="nil"/>
              <w:left w:val="single" w:color="auto" w:sz="4" w:space="0"/>
              <w:bottom w:val="single" w:color="auto" w:sz="4" w:space="0"/>
              <w:right w:val="single" w:color="auto" w:sz="4" w:space="0"/>
            </w:tcBorders>
            <w:vAlign w:val="center"/>
          </w:tcPr>
          <w:p w14:paraId="4B89A1C4">
            <w:pPr>
              <w:widowControl/>
              <w:jc w:val="center"/>
            </w:pPr>
            <w:r>
              <w:rPr>
                <w:rFonts w:hint="eastAsia" w:ascii="宋体" w:hAnsi="宋体" w:cs="宋体"/>
                <w:b/>
                <w:bCs/>
                <w:kern w:val="0"/>
                <w:sz w:val="18"/>
                <w:szCs w:val="18"/>
                <w:lang w:val="en-US"/>
              </w:rPr>
              <w:t>工程量</w:t>
            </w:r>
          </w:p>
        </w:tc>
        <w:tc>
          <w:tcPr>
            <w:tcW w:w="646" w:type="dxa"/>
            <w:tcBorders>
              <w:top w:val="nil"/>
              <w:left w:val="nil"/>
              <w:bottom w:val="single" w:color="auto" w:sz="4" w:space="0"/>
              <w:right w:val="single" w:color="auto" w:sz="4" w:space="0"/>
            </w:tcBorders>
            <w:vAlign w:val="center"/>
          </w:tcPr>
          <w:p w14:paraId="7A0FADB9">
            <w:pPr>
              <w:widowControl/>
              <w:jc w:val="center"/>
              <w:rPr>
                <w:rFonts w:eastAsia="等线"/>
                <w:b/>
                <w:bCs/>
                <w:kern w:val="0"/>
                <w:sz w:val="18"/>
                <w:szCs w:val="18"/>
                <w:lang w:val="en-US"/>
              </w:rPr>
            </w:pPr>
            <w:r>
              <w:rPr>
                <w:rFonts w:hint="eastAsia" w:ascii="宋体" w:hAnsi="宋体" w:cs="宋体"/>
                <w:b/>
                <w:bCs/>
                <w:kern w:val="0"/>
                <w:sz w:val="18"/>
                <w:szCs w:val="18"/>
                <w:lang w:val="en-US"/>
              </w:rPr>
              <w:t>单位</w:t>
            </w:r>
          </w:p>
        </w:tc>
        <w:tc>
          <w:tcPr>
            <w:tcW w:w="620" w:type="dxa"/>
            <w:tcBorders>
              <w:top w:val="nil"/>
              <w:left w:val="nil"/>
              <w:bottom w:val="single" w:color="auto" w:sz="4" w:space="0"/>
              <w:right w:val="single" w:color="auto" w:sz="4" w:space="0"/>
            </w:tcBorders>
            <w:vAlign w:val="center"/>
          </w:tcPr>
          <w:p w14:paraId="46888406">
            <w:pPr>
              <w:widowControl/>
              <w:jc w:val="center"/>
            </w:pPr>
            <w:r>
              <w:rPr>
                <w:rFonts w:hint="eastAsia" w:ascii="宋体" w:hAnsi="宋体" w:cs="宋体"/>
                <w:b/>
                <w:bCs/>
                <w:kern w:val="0"/>
                <w:sz w:val="18"/>
                <w:szCs w:val="18"/>
                <w:lang w:val="en-US"/>
              </w:rPr>
              <w:t>单价</w:t>
            </w:r>
          </w:p>
        </w:tc>
        <w:tc>
          <w:tcPr>
            <w:tcW w:w="945" w:type="dxa"/>
            <w:tcBorders>
              <w:top w:val="nil"/>
              <w:left w:val="nil"/>
              <w:bottom w:val="single" w:color="auto" w:sz="4" w:space="0"/>
              <w:right w:val="single" w:color="auto" w:sz="4" w:space="0"/>
            </w:tcBorders>
            <w:vAlign w:val="center"/>
          </w:tcPr>
          <w:p w14:paraId="7E3DB0B8">
            <w:pPr>
              <w:widowControl/>
              <w:jc w:val="center"/>
              <w:rPr>
                <w:rFonts w:eastAsia="等线"/>
                <w:b/>
                <w:bCs/>
                <w:kern w:val="0"/>
                <w:sz w:val="18"/>
                <w:szCs w:val="18"/>
                <w:lang w:val="en-US"/>
              </w:rPr>
            </w:pPr>
            <w:r>
              <w:rPr>
                <w:rFonts w:hint="eastAsia" w:ascii="宋体" w:hAnsi="宋体" w:cs="宋体"/>
                <w:b/>
                <w:bCs/>
                <w:kern w:val="0"/>
                <w:sz w:val="18"/>
                <w:szCs w:val="18"/>
                <w:lang w:val="en-US"/>
              </w:rPr>
              <w:t>合价</w:t>
            </w:r>
          </w:p>
        </w:tc>
        <w:tc>
          <w:tcPr>
            <w:tcW w:w="1481" w:type="dxa"/>
            <w:tcBorders>
              <w:top w:val="nil"/>
              <w:left w:val="nil"/>
              <w:bottom w:val="single" w:color="auto" w:sz="4" w:space="0"/>
              <w:right w:val="single" w:color="auto" w:sz="4" w:space="0"/>
            </w:tcBorders>
            <w:vAlign w:val="center"/>
          </w:tcPr>
          <w:p w14:paraId="1FB17B2E">
            <w:pPr>
              <w:widowControl/>
              <w:jc w:val="center"/>
              <w:rPr>
                <w:rFonts w:eastAsia="等线"/>
                <w:b/>
                <w:bCs/>
                <w:kern w:val="0"/>
                <w:sz w:val="18"/>
                <w:szCs w:val="18"/>
                <w:lang w:val="en-US"/>
              </w:rPr>
            </w:pPr>
            <w:r>
              <w:rPr>
                <w:rFonts w:hint="eastAsia" w:ascii="宋体" w:hAnsi="宋体" w:cs="宋体"/>
                <w:b/>
                <w:bCs/>
                <w:kern w:val="0"/>
                <w:sz w:val="18"/>
                <w:szCs w:val="18"/>
                <w:lang w:val="en-US"/>
              </w:rPr>
              <w:t>备注</w:t>
            </w:r>
          </w:p>
        </w:tc>
      </w:tr>
      <w:tr w14:paraId="08BDDFEA">
        <w:tblPrEx>
          <w:tblCellMar>
            <w:top w:w="0" w:type="dxa"/>
            <w:left w:w="108" w:type="dxa"/>
            <w:bottom w:w="0" w:type="dxa"/>
            <w:right w:w="108" w:type="dxa"/>
          </w:tblCellMar>
        </w:tblPrEx>
        <w:trPr>
          <w:gridAfter w:val="1"/>
          <w:wAfter w:w="6" w:type="pct"/>
          <w:trHeight w:val="1237" w:hRule="atLeast"/>
        </w:trPr>
        <w:tc>
          <w:tcPr>
            <w:tcW w:w="597" w:type="dxa"/>
            <w:tcBorders>
              <w:top w:val="nil"/>
              <w:left w:val="single" w:color="auto" w:sz="4" w:space="0"/>
              <w:bottom w:val="single" w:color="auto" w:sz="4" w:space="0"/>
              <w:right w:val="single" w:color="auto" w:sz="4" w:space="0"/>
            </w:tcBorders>
            <w:vAlign w:val="center"/>
          </w:tcPr>
          <w:p w14:paraId="0D0C9E85">
            <w:pPr>
              <w:widowControl/>
              <w:jc w:val="center"/>
              <w:rPr>
                <w:rFonts w:eastAsia="等线"/>
                <w:kern w:val="0"/>
                <w:sz w:val="18"/>
                <w:szCs w:val="18"/>
                <w:lang w:val="en-US"/>
              </w:rPr>
            </w:pPr>
            <w:r>
              <w:rPr>
                <w:rFonts w:eastAsia="等线"/>
                <w:b/>
                <w:bCs/>
                <w:kern w:val="0"/>
                <w:sz w:val="18"/>
                <w:szCs w:val="18"/>
                <w:lang w:val="en-US"/>
              </w:rPr>
              <w:t>N</w:t>
            </w:r>
            <w:r>
              <w:rPr>
                <w:rFonts w:hint="eastAsia" w:ascii="宋体" w:hAnsi="宋体"/>
                <w:b/>
                <w:bCs/>
                <w:kern w:val="0"/>
                <w:sz w:val="18"/>
                <w:szCs w:val="18"/>
                <w:lang w:val="en-US"/>
              </w:rPr>
              <w:t>°</w:t>
            </w:r>
          </w:p>
        </w:tc>
        <w:tc>
          <w:tcPr>
            <w:tcW w:w="1278" w:type="dxa"/>
            <w:tcBorders>
              <w:top w:val="nil"/>
              <w:left w:val="single" w:color="auto" w:sz="4" w:space="0"/>
              <w:bottom w:val="single" w:color="auto" w:sz="4" w:space="0"/>
              <w:right w:val="single" w:color="auto" w:sz="4" w:space="0"/>
            </w:tcBorders>
            <w:vAlign w:val="center"/>
          </w:tcPr>
          <w:p w14:paraId="382A197A">
            <w:pPr>
              <w:widowControl/>
              <w:jc w:val="center"/>
              <w:rPr>
                <w:rFonts w:eastAsia="等线"/>
                <w:b/>
                <w:bCs/>
                <w:kern w:val="0"/>
                <w:sz w:val="18"/>
                <w:szCs w:val="18"/>
                <w:lang w:val="en-US"/>
              </w:rPr>
            </w:pPr>
            <w:r>
              <w:rPr>
                <w:rFonts w:eastAsia="等线"/>
                <w:b/>
                <w:bCs/>
                <w:kern w:val="0"/>
                <w:sz w:val="18"/>
                <w:szCs w:val="18"/>
                <w:lang w:val="en-US"/>
              </w:rPr>
              <w:t>Nom du travail</w:t>
            </w:r>
          </w:p>
        </w:tc>
        <w:tc>
          <w:tcPr>
            <w:tcW w:w="3083" w:type="dxa"/>
            <w:vMerge w:val="continue"/>
            <w:tcBorders>
              <w:top w:val="nil"/>
              <w:left w:val="nil"/>
              <w:bottom w:val="single" w:color="auto" w:sz="4" w:space="0"/>
              <w:right w:val="single" w:color="auto" w:sz="4" w:space="0"/>
            </w:tcBorders>
            <w:vAlign w:val="center"/>
          </w:tcPr>
          <w:p w14:paraId="422029E6">
            <w:pPr>
              <w:widowControl/>
              <w:jc w:val="left"/>
              <w:rPr>
                <w:rFonts w:eastAsia="等线"/>
                <w:kern w:val="0"/>
                <w:sz w:val="18"/>
                <w:szCs w:val="18"/>
                <w:lang w:val="en-US"/>
              </w:rPr>
            </w:pPr>
          </w:p>
        </w:tc>
        <w:tc>
          <w:tcPr>
            <w:tcW w:w="908" w:type="dxa"/>
            <w:tcBorders>
              <w:top w:val="nil"/>
              <w:left w:val="nil"/>
              <w:bottom w:val="single" w:color="auto" w:sz="4" w:space="0"/>
              <w:right w:val="single" w:color="auto" w:sz="4" w:space="0"/>
            </w:tcBorders>
            <w:vAlign w:val="center"/>
          </w:tcPr>
          <w:p w14:paraId="66F42874">
            <w:pPr>
              <w:widowControl/>
              <w:jc w:val="center"/>
            </w:pPr>
            <w:r>
              <w:rPr>
                <w:rFonts w:hint="eastAsia" w:eastAsia="等线"/>
                <w:b/>
                <w:bCs/>
                <w:kern w:val="0"/>
                <w:sz w:val="18"/>
                <w:szCs w:val="18"/>
                <w:lang w:val="en-US"/>
              </w:rPr>
              <w:t>V</w:t>
            </w:r>
            <w:r>
              <w:rPr>
                <w:rFonts w:eastAsia="等线"/>
                <w:b/>
                <w:bCs/>
                <w:kern w:val="0"/>
                <w:sz w:val="18"/>
                <w:szCs w:val="18"/>
                <w:lang w:val="en-US"/>
              </w:rPr>
              <w:t>olumes</w:t>
            </w:r>
          </w:p>
        </w:tc>
        <w:tc>
          <w:tcPr>
            <w:tcW w:w="646" w:type="dxa"/>
            <w:tcBorders>
              <w:top w:val="nil"/>
              <w:left w:val="nil"/>
              <w:bottom w:val="single" w:color="auto" w:sz="4" w:space="0"/>
              <w:right w:val="single" w:color="auto" w:sz="4" w:space="0"/>
            </w:tcBorders>
            <w:vAlign w:val="center"/>
          </w:tcPr>
          <w:p w14:paraId="3FC0EA6B">
            <w:pPr>
              <w:widowControl/>
              <w:jc w:val="center"/>
              <w:rPr>
                <w:rFonts w:eastAsia="等线"/>
                <w:kern w:val="0"/>
                <w:sz w:val="18"/>
                <w:szCs w:val="18"/>
                <w:lang w:val="en-US"/>
              </w:rPr>
            </w:pPr>
            <w:r>
              <w:rPr>
                <w:rFonts w:hint="eastAsia" w:eastAsia="等线"/>
                <w:b/>
                <w:bCs/>
                <w:kern w:val="0"/>
                <w:sz w:val="18"/>
                <w:szCs w:val="18"/>
                <w:lang w:val="en-US"/>
              </w:rPr>
              <w:t>U</w:t>
            </w:r>
            <w:r>
              <w:rPr>
                <w:rFonts w:eastAsia="等线"/>
                <w:b/>
                <w:bCs/>
                <w:kern w:val="0"/>
                <w:sz w:val="18"/>
                <w:szCs w:val="18"/>
                <w:lang w:val="en-US"/>
              </w:rPr>
              <w:t>nité</w:t>
            </w:r>
          </w:p>
        </w:tc>
        <w:tc>
          <w:tcPr>
            <w:tcW w:w="620" w:type="dxa"/>
            <w:tcBorders>
              <w:top w:val="nil"/>
              <w:left w:val="nil"/>
              <w:bottom w:val="single" w:color="auto" w:sz="4" w:space="0"/>
              <w:right w:val="single" w:color="auto" w:sz="4" w:space="0"/>
            </w:tcBorders>
            <w:vAlign w:val="center"/>
          </w:tcPr>
          <w:p w14:paraId="66EDE382">
            <w:pPr>
              <w:widowControl/>
            </w:pPr>
            <w:r>
              <w:rPr>
                <w:rFonts w:hint="eastAsia" w:eastAsia="等线"/>
                <w:b/>
                <w:bCs/>
                <w:kern w:val="0"/>
                <w:sz w:val="18"/>
                <w:szCs w:val="18"/>
                <w:lang w:val="en-US"/>
              </w:rPr>
              <w:t>P</w:t>
            </w:r>
            <w:r>
              <w:rPr>
                <w:rFonts w:eastAsia="等线"/>
                <w:b/>
                <w:bCs/>
                <w:kern w:val="0"/>
                <w:sz w:val="18"/>
                <w:szCs w:val="18"/>
                <w:lang w:val="en-US"/>
              </w:rPr>
              <w:t>rix</w:t>
            </w:r>
          </w:p>
        </w:tc>
        <w:tc>
          <w:tcPr>
            <w:tcW w:w="945" w:type="dxa"/>
            <w:tcBorders>
              <w:top w:val="nil"/>
              <w:left w:val="nil"/>
              <w:bottom w:val="single" w:color="auto" w:sz="4" w:space="0"/>
              <w:right w:val="single" w:color="auto" w:sz="4" w:space="0"/>
            </w:tcBorders>
            <w:vAlign w:val="center"/>
          </w:tcPr>
          <w:p w14:paraId="4F3DEDDC">
            <w:pPr>
              <w:widowControl/>
              <w:rPr>
                <w:rFonts w:ascii="宋体" w:hAnsi="宋体" w:cs="宋体"/>
                <w:kern w:val="0"/>
                <w:sz w:val="18"/>
                <w:szCs w:val="18"/>
                <w:lang w:val="en-US"/>
              </w:rPr>
            </w:pPr>
            <w:r>
              <w:rPr>
                <w:rFonts w:eastAsia="等线"/>
                <w:b/>
                <w:bCs/>
                <w:kern w:val="0"/>
                <w:sz w:val="18"/>
                <w:szCs w:val="18"/>
                <w:lang w:val="en-US"/>
              </w:rPr>
              <w:t>Montant</w:t>
            </w:r>
          </w:p>
        </w:tc>
        <w:tc>
          <w:tcPr>
            <w:tcW w:w="1481" w:type="dxa"/>
            <w:tcBorders>
              <w:top w:val="nil"/>
              <w:left w:val="nil"/>
              <w:bottom w:val="single" w:color="auto" w:sz="4" w:space="0"/>
              <w:right w:val="single" w:color="auto" w:sz="4" w:space="0"/>
            </w:tcBorders>
            <w:noWrap/>
            <w:vAlign w:val="center"/>
          </w:tcPr>
          <w:p w14:paraId="15DADF86">
            <w:pPr>
              <w:widowControl/>
              <w:jc w:val="center"/>
              <w:rPr>
                <w:rFonts w:eastAsia="等线"/>
                <w:kern w:val="0"/>
                <w:sz w:val="18"/>
                <w:szCs w:val="18"/>
                <w:lang w:val="en-US"/>
              </w:rPr>
            </w:pPr>
            <w:r>
              <w:rPr>
                <w:rStyle w:val="37"/>
                <w:rFonts w:ascii="Segoe UI" w:hAnsi="Segoe UI" w:eastAsia="Segoe UI" w:cs="Segoe UI"/>
                <w:sz w:val="16"/>
                <w:szCs w:val="16"/>
                <w:shd w:val="clear" w:color="auto" w:fill="FFFFFF"/>
              </w:rPr>
              <w:t>Notes</w:t>
            </w:r>
          </w:p>
        </w:tc>
      </w:tr>
      <w:tr w14:paraId="4DD5FF18">
        <w:tblPrEx>
          <w:tblCellMar>
            <w:top w:w="0" w:type="dxa"/>
            <w:left w:w="108" w:type="dxa"/>
            <w:bottom w:w="0" w:type="dxa"/>
            <w:right w:w="108" w:type="dxa"/>
          </w:tblCellMar>
        </w:tblPrEx>
        <w:trPr>
          <w:gridAfter w:val="1"/>
          <w:wAfter w:w="6" w:type="pct"/>
          <w:trHeight w:val="838" w:hRule="atLeast"/>
        </w:trPr>
        <w:tc>
          <w:tcPr>
            <w:tcW w:w="597" w:type="dxa"/>
            <w:vMerge w:val="restart"/>
            <w:tcBorders>
              <w:top w:val="nil"/>
              <w:left w:val="single" w:color="auto" w:sz="4" w:space="0"/>
              <w:bottom w:val="single" w:color="auto" w:sz="4" w:space="0"/>
              <w:right w:val="single" w:color="auto" w:sz="4" w:space="0"/>
            </w:tcBorders>
            <w:vAlign w:val="center"/>
          </w:tcPr>
          <w:p w14:paraId="7743CB60">
            <w:pPr>
              <w:widowControl/>
              <w:jc w:val="center"/>
              <w:rPr>
                <w:rFonts w:eastAsia="等线"/>
                <w:kern w:val="0"/>
                <w:sz w:val="18"/>
                <w:szCs w:val="18"/>
                <w:lang w:val="en-US"/>
              </w:rPr>
            </w:pPr>
            <w:r>
              <w:rPr>
                <w:rFonts w:hint="eastAsia" w:eastAsia="等线"/>
                <w:kern w:val="0"/>
                <w:sz w:val="18"/>
                <w:szCs w:val="18"/>
                <w:lang w:val="en-US"/>
              </w:rPr>
              <w:t>1</w:t>
            </w:r>
          </w:p>
        </w:tc>
        <w:tc>
          <w:tcPr>
            <w:tcW w:w="1278" w:type="dxa"/>
            <w:vMerge w:val="restart"/>
            <w:tcBorders>
              <w:top w:val="nil"/>
              <w:left w:val="single" w:color="auto" w:sz="4" w:space="0"/>
              <w:bottom w:val="single" w:color="auto" w:sz="4" w:space="0"/>
              <w:right w:val="single" w:color="auto" w:sz="4" w:space="0"/>
            </w:tcBorders>
            <w:vAlign w:val="center"/>
          </w:tcPr>
          <w:p w14:paraId="7EDE2AFE">
            <w:pPr>
              <w:widowControl/>
              <w:jc w:val="center"/>
              <w:rPr>
                <w:szCs w:val="21"/>
              </w:rPr>
            </w:pPr>
            <w:r>
              <w:rPr>
                <w:rFonts w:eastAsia="等线"/>
                <w:kern w:val="0"/>
                <w:sz w:val="18"/>
                <w:szCs w:val="18"/>
              </w:rPr>
              <w:t>Thimmewi - Konsatamy Centre</w:t>
            </w:r>
            <w:r>
              <w:rPr>
                <w:rFonts w:hint="eastAsia"/>
                <w:szCs w:val="21"/>
              </w:rPr>
              <w:t>专区政府道路修复</w:t>
            </w:r>
          </w:p>
          <w:p w14:paraId="2C243BB3">
            <w:pPr>
              <w:widowControl/>
              <w:jc w:val="center"/>
              <w:rPr>
                <w:rFonts w:eastAsia="等线"/>
                <w:b/>
                <w:bCs/>
                <w:kern w:val="0"/>
                <w:sz w:val="18"/>
                <w:szCs w:val="18"/>
                <w:lang w:val="en-US"/>
              </w:rPr>
            </w:pPr>
            <w:r>
              <w:rPr>
                <w:rFonts w:eastAsia="等线"/>
                <w:kern w:val="0"/>
                <w:sz w:val="18"/>
                <w:szCs w:val="18"/>
                <w:lang w:val="en-US"/>
              </w:rPr>
              <w:t>Réhabilitation de la route de la préfecture Thimmewi - Konsatamy Centre</w:t>
            </w:r>
          </w:p>
        </w:tc>
        <w:tc>
          <w:tcPr>
            <w:tcW w:w="3083" w:type="dxa"/>
            <w:tcBorders>
              <w:top w:val="nil"/>
              <w:left w:val="nil"/>
              <w:bottom w:val="single" w:color="auto" w:sz="4" w:space="0"/>
              <w:right w:val="single" w:color="auto" w:sz="4" w:space="0"/>
            </w:tcBorders>
            <w:vAlign w:val="center"/>
          </w:tcPr>
          <w:p w14:paraId="05130B63">
            <w:pPr>
              <w:widowControl/>
              <w:jc w:val="left"/>
              <w:rPr>
                <w:rFonts w:eastAsia="等线"/>
                <w:kern w:val="0"/>
                <w:sz w:val="18"/>
                <w:szCs w:val="18"/>
                <w:lang w:val="en-US"/>
              </w:rPr>
            </w:pPr>
            <w:r>
              <w:rPr>
                <w:rFonts w:hint="eastAsia" w:ascii="宋体" w:hAnsi="宋体"/>
                <w:kern w:val="0"/>
                <w:sz w:val="18"/>
                <w:szCs w:val="18"/>
                <w:lang w:val="en-US"/>
              </w:rPr>
              <w:t>基层作业面清理（对原有路面进行平整、作业面两侧的杂草、及植被清理）</w:t>
            </w:r>
            <w:r>
              <w:rPr>
                <w:rFonts w:hint="eastAsia" w:ascii="宋体" w:hAnsi="宋体"/>
                <w:kern w:val="0"/>
                <w:sz w:val="18"/>
                <w:szCs w:val="18"/>
                <w:lang w:val="en-US"/>
              </w:rPr>
              <w:br w:type="textWrapping"/>
            </w:r>
            <w:r>
              <w:rPr>
                <w:rFonts w:eastAsia="等线"/>
                <w:kern w:val="0"/>
                <w:sz w:val="18"/>
                <w:szCs w:val="18"/>
                <w:lang w:val="en-US"/>
              </w:rPr>
              <w:t>Nivelage de la surface initiale de la route, enlèvement des mauvaises herbes et de la végétation de part et d’autre de la surface de travail.</w:t>
            </w:r>
          </w:p>
        </w:tc>
        <w:tc>
          <w:tcPr>
            <w:tcW w:w="908" w:type="dxa"/>
            <w:tcBorders>
              <w:top w:val="nil"/>
              <w:left w:val="nil"/>
              <w:bottom w:val="single" w:color="auto" w:sz="4" w:space="0"/>
              <w:right w:val="single" w:color="auto" w:sz="4" w:space="0"/>
            </w:tcBorders>
            <w:vAlign w:val="center"/>
          </w:tcPr>
          <w:p w14:paraId="46A881C6">
            <w:pPr>
              <w:widowControl/>
              <w:jc w:val="center"/>
            </w:pPr>
            <w:r>
              <w:rPr>
                <w:rFonts w:hint="eastAsia" w:eastAsia="等线"/>
                <w:kern w:val="0"/>
                <w:sz w:val="18"/>
                <w:szCs w:val="18"/>
                <w:lang w:val="en-US"/>
              </w:rPr>
              <w:t>12500</w:t>
            </w:r>
          </w:p>
        </w:tc>
        <w:tc>
          <w:tcPr>
            <w:tcW w:w="646" w:type="dxa"/>
            <w:tcBorders>
              <w:top w:val="nil"/>
              <w:left w:val="nil"/>
              <w:bottom w:val="single" w:color="auto" w:sz="4" w:space="0"/>
              <w:right w:val="single" w:color="auto" w:sz="4" w:space="0"/>
            </w:tcBorders>
            <w:vAlign w:val="center"/>
          </w:tcPr>
          <w:p w14:paraId="4987543B">
            <w:pPr>
              <w:widowControl/>
              <w:jc w:val="center"/>
              <w:rPr>
                <w:rFonts w:eastAsia="等线"/>
                <w:kern w:val="0"/>
                <w:sz w:val="18"/>
                <w:szCs w:val="18"/>
                <w:lang w:val="en-US"/>
              </w:rPr>
            </w:pPr>
            <w:r>
              <w:rPr>
                <w:rFonts w:hint="eastAsia" w:eastAsia="等线"/>
                <w:kern w:val="0"/>
                <w:sz w:val="18"/>
                <w:szCs w:val="18"/>
                <w:lang w:val="en-US"/>
              </w:rPr>
              <w:t>m</w:t>
            </w:r>
          </w:p>
        </w:tc>
        <w:tc>
          <w:tcPr>
            <w:tcW w:w="620" w:type="dxa"/>
            <w:tcBorders>
              <w:top w:val="nil"/>
              <w:left w:val="nil"/>
              <w:bottom w:val="single" w:color="auto" w:sz="4" w:space="0"/>
              <w:right w:val="single" w:color="auto" w:sz="4" w:space="0"/>
            </w:tcBorders>
            <w:vAlign w:val="bottom"/>
          </w:tcPr>
          <w:p w14:paraId="67B74A53">
            <w:pPr>
              <w:widowControl/>
              <w:jc w:val="left"/>
            </w:pPr>
          </w:p>
        </w:tc>
        <w:tc>
          <w:tcPr>
            <w:tcW w:w="945" w:type="dxa"/>
            <w:tcBorders>
              <w:top w:val="nil"/>
              <w:left w:val="nil"/>
              <w:bottom w:val="single" w:color="auto" w:sz="4" w:space="0"/>
              <w:right w:val="single" w:color="auto" w:sz="4" w:space="0"/>
            </w:tcBorders>
            <w:vAlign w:val="bottom"/>
          </w:tcPr>
          <w:p w14:paraId="7DAB4BC2">
            <w:pPr>
              <w:widowControl/>
              <w:jc w:val="left"/>
              <w:rPr>
                <w:rFonts w:ascii="宋体" w:hAnsi="宋体" w:cs="宋体"/>
                <w:kern w:val="0"/>
                <w:sz w:val="18"/>
                <w:szCs w:val="18"/>
                <w:lang w:val="en-US"/>
              </w:rPr>
            </w:pPr>
          </w:p>
        </w:tc>
        <w:tc>
          <w:tcPr>
            <w:tcW w:w="1481" w:type="dxa"/>
            <w:tcBorders>
              <w:top w:val="nil"/>
              <w:left w:val="nil"/>
              <w:bottom w:val="single" w:color="auto" w:sz="4" w:space="0"/>
              <w:right w:val="single" w:color="auto" w:sz="4" w:space="0"/>
            </w:tcBorders>
            <w:noWrap/>
            <w:vAlign w:val="bottom"/>
          </w:tcPr>
          <w:p w14:paraId="2F864A1D">
            <w:pPr>
              <w:widowControl/>
              <w:jc w:val="left"/>
              <w:rPr>
                <w:rFonts w:eastAsia="等线"/>
                <w:kern w:val="0"/>
                <w:sz w:val="18"/>
                <w:szCs w:val="18"/>
                <w:lang w:val="en-US"/>
              </w:rPr>
            </w:pPr>
            <w:r>
              <w:rPr>
                <w:rFonts w:eastAsia="等线"/>
                <w:kern w:val="0"/>
                <w:sz w:val="18"/>
                <w:szCs w:val="18"/>
                <w:lang w:val="en-US"/>
              </w:rPr>
              <w:t xml:space="preserve">  </w:t>
            </w:r>
          </w:p>
        </w:tc>
      </w:tr>
      <w:tr w14:paraId="0C08708A">
        <w:tblPrEx>
          <w:tblCellMar>
            <w:top w:w="0" w:type="dxa"/>
            <w:left w:w="108" w:type="dxa"/>
            <w:bottom w:w="0" w:type="dxa"/>
            <w:right w:w="108" w:type="dxa"/>
          </w:tblCellMar>
        </w:tblPrEx>
        <w:trPr>
          <w:gridAfter w:val="1"/>
          <w:wAfter w:w="6" w:type="pct"/>
          <w:trHeight w:val="618" w:hRule="atLeast"/>
        </w:trPr>
        <w:tc>
          <w:tcPr>
            <w:tcW w:w="597" w:type="dxa"/>
            <w:vMerge w:val="continue"/>
            <w:tcBorders>
              <w:top w:val="nil"/>
              <w:left w:val="single" w:color="auto" w:sz="4" w:space="0"/>
              <w:bottom w:val="single" w:color="auto" w:sz="4" w:space="0"/>
              <w:right w:val="single" w:color="auto" w:sz="4" w:space="0"/>
            </w:tcBorders>
            <w:vAlign w:val="center"/>
          </w:tcPr>
          <w:p w14:paraId="25A81D47">
            <w:pPr>
              <w:widowControl/>
              <w:jc w:val="left"/>
              <w:rPr>
                <w:rFonts w:eastAsia="等线"/>
                <w:kern w:val="0"/>
                <w:sz w:val="18"/>
                <w:szCs w:val="18"/>
                <w:lang w:val="en-US"/>
              </w:rPr>
            </w:pPr>
          </w:p>
        </w:tc>
        <w:tc>
          <w:tcPr>
            <w:tcW w:w="1278" w:type="dxa"/>
            <w:vMerge w:val="continue"/>
            <w:tcBorders>
              <w:top w:val="nil"/>
              <w:left w:val="single" w:color="auto" w:sz="4" w:space="0"/>
              <w:bottom w:val="single" w:color="auto" w:sz="4" w:space="0"/>
              <w:right w:val="single" w:color="auto" w:sz="4" w:space="0"/>
            </w:tcBorders>
            <w:vAlign w:val="center"/>
          </w:tcPr>
          <w:p w14:paraId="3D77F34D">
            <w:pPr>
              <w:widowControl/>
              <w:jc w:val="left"/>
              <w:rPr>
                <w:rFonts w:eastAsia="等线"/>
                <w:b/>
                <w:bCs/>
                <w:kern w:val="0"/>
                <w:sz w:val="18"/>
                <w:szCs w:val="18"/>
                <w:lang w:val="en-US"/>
              </w:rPr>
            </w:pPr>
          </w:p>
        </w:tc>
        <w:tc>
          <w:tcPr>
            <w:tcW w:w="3083" w:type="dxa"/>
            <w:tcBorders>
              <w:top w:val="nil"/>
              <w:left w:val="nil"/>
              <w:bottom w:val="single" w:color="auto" w:sz="4" w:space="0"/>
              <w:right w:val="single" w:color="auto" w:sz="4" w:space="0"/>
            </w:tcBorders>
            <w:vAlign w:val="center"/>
          </w:tcPr>
          <w:p w14:paraId="3DBDA7E4">
            <w:pPr>
              <w:widowControl/>
              <w:rPr>
                <w:rFonts w:ascii="宋体" w:hAnsi="宋体"/>
                <w:kern w:val="0"/>
                <w:sz w:val="18"/>
                <w:szCs w:val="18"/>
                <w:lang w:val="en-US"/>
              </w:rPr>
            </w:pPr>
            <w:r>
              <w:rPr>
                <w:rFonts w:hint="eastAsia" w:ascii="宋体" w:hAnsi="宋体"/>
                <w:kern w:val="0"/>
                <w:sz w:val="18"/>
                <w:szCs w:val="18"/>
                <w:lang w:val="en-US"/>
              </w:rPr>
              <w:t>路面采用红土粒料摊铺、整平、压实，平均厚度不小于</w:t>
            </w:r>
            <w:r>
              <w:rPr>
                <w:rFonts w:hint="eastAsia" w:eastAsia="等线"/>
                <w:kern w:val="0"/>
                <w:sz w:val="18"/>
                <w:szCs w:val="18"/>
                <w:lang w:val="en-US"/>
              </w:rPr>
              <w:t>30</w:t>
            </w:r>
            <w:r>
              <w:rPr>
                <w:rFonts w:eastAsia="等线"/>
                <w:kern w:val="0"/>
                <w:sz w:val="18"/>
                <w:szCs w:val="18"/>
                <w:lang w:val="en-US"/>
              </w:rPr>
              <w:t>cm</w:t>
            </w:r>
            <w:r>
              <w:rPr>
                <w:rFonts w:eastAsia="等线"/>
                <w:kern w:val="0"/>
                <w:sz w:val="18"/>
                <w:szCs w:val="18"/>
                <w:lang w:val="en-US"/>
              </w:rPr>
              <w:br w:type="textWrapping"/>
            </w:r>
            <w:r>
              <w:rPr>
                <w:rFonts w:eastAsia="等线"/>
                <w:kern w:val="0"/>
                <w:sz w:val="18"/>
                <w:szCs w:val="18"/>
                <w:lang w:val="en-US"/>
              </w:rPr>
              <w:t>La surface de la route est pavée, nivelée et compactée avec des granulats latéritiques, pour obtenir une couche compactée d’épaisseur moyenne non inférieure à 10 cm.</w:t>
            </w:r>
          </w:p>
        </w:tc>
        <w:tc>
          <w:tcPr>
            <w:tcW w:w="908" w:type="dxa"/>
            <w:tcBorders>
              <w:top w:val="nil"/>
              <w:left w:val="nil"/>
              <w:bottom w:val="single" w:color="auto" w:sz="4" w:space="0"/>
              <w:right w:val="single" w:color="auto" w:sz="4" w:space="0"/>
            </w:tcBorders>
            <w:vAlign w:val="center"/>
          </w:tcPr>
          <w:p w14:paraId="2FDEA448">
            <w:pPr>
              <w:widowControl/>
              <w:jc w:val="center"/>
            </w:pPr>
            <w:r>
              <w:rPr>
                <w:rFonts w:hint="eastAsia" w:eastAsia="等线"/>
                <w:kern w:val="0"/>
                <w:sz w:val="18"/>
                <w:szCs w:val="18"/>
                <w:lang w:val="en-US"/>
              </w:rPr>
              <w:t>30000</w:t>
            </w:r>
          </w:p>
        </w:tc>
        <w:tc>
          <w:tcPr>
            <w:tcW w:w="646" w:type="dxa"/>
            <w:tcBorders>
              <w:top w:val="nil"/>
              <w:left w:val="nil"/>
              <w:bottom w:val="single" w:color="auto" w:sz="4" w:space="0"/>
              <w:right w:val="single" w:color="auto" w:sz="4" w:space="0"/>
            </w:tcBorders>
            <w:vAlign w:val="center"/>
          </w:tcPr>
          <w:p w14:paraId="0B511874">
            <w:pPr>
              <w:widowControl/>
              <w:jc w:val="center"/>
              <w:rPr>
                <w:rFonts w:eastAsia="等线"/>
                <w:kern w:val="0"/>
                <w:sz w:val="18"/>
                <w:szCs w:val="18"/>
                <w:lang w:val="en-US"/>
              </w:rPr>
            </w:pPr>
            <w:r>
              <w:rPr>
                <w:rFonts w:hint="eastAsia" w:ascii="宋体" w:hAnsi="宋体" w:cs="宋体"/>
                <w:kern w:val="0"/>
                <w:sz w:val="20"/>
                <w:lang w:val="en-US"/>
              </w:rPr>
              <w:t>m</w:t>
            </w:r>
            <w:r>
              <w:rPr>
                <w:rFonts w:hint="eastAsia" w:ascii="宋体" w:hAnsi="宋体" w:cs="宋体"/>
                <w:kern w:val="0"/>
                <w:sz w:val="20"/>
                <w:vertAlign w:val="superscript"/>
                <w:lang w:val="en-US"/>
              </w:rPr>
              <w:t>3</w:t>
            </w:r>
          </w:p>
        </w:tc>
        <w:tc>
          <w:tcPr>
            <w:tcW w:w="620" w:type="dxa"/>
            <w:tcBorders>
              <w:top w:val="nil"/>
              <w:left w:val="nil"/>
              <w:bottom w:val="single" w:color="auto" w:sz="4" w:space="0"/>
              <w:right w:val="single" w:color="auto" w:sz="4" w:space="0"/>
            </w:tcBorders>
            <w:vAlign w:val="bottom"/>
          </w:tcPr>
          <w:p w14:paraId="4123D9C1">
            <w:pPr>
              <w:widowControl/>
              <w:jc w:val="left"/>
            </w:pPr>
          </w:p>
        </w:tc>
        <w:tc>
          <w:tcPr>
            <w:tcW w:w="945" w:type="dxa"/>
            <w:tcBorders>
              <w:top w:val="nil"/>
              <w:left w:val="nil"/>
              <w:bottom w:val="single" w:color="auto" w:sz="4" w:space="0"/>
              <w:right w:val="single" w:color="auto" w:sz="4" w:space="0"/>
            </w:tcBorders>
            <w:vAlign w:val="bottom"/>
          </w:tcPr>
          <w:p w14:paraId="1765A31F">
            <w:pPr>
              <w:widowControl/>
              <w:jc w:val="left"/>
              <w:rPr>
                <w:rFonts w:ascii="宋体" w:hAnsi="宋体" w:cs="宋体"/>
                <w:kern w:val="0"/>
                <w:sz w:val="18"/>
                <w:szCs w:val="18"/>
                <w:lang w:val="en-US"/>
              </w:rPr>
            </w:pPr>
          </w:p>
        </w:tc>
        <w:tc>
          <w:tcPr>
            <w:tcW w:w="1481" w:type="dxa"/>
            <w:tcBorders>
              <w:top w:val="nil"/>
              <w:left w:val="nil"/>
              <w:bottom w:val="single" w:color="auto" w:sz="4" w:space="0"/>
              <w:right w:val="single" w:color="auto" w:sz="4" w:space="0"/>
            </w:tcBorders>
            <w:noWrap/>
            <w:vAlign w:val="bottom"/>
          </w:tcPr>
          <w:p w14:paraId="312FA638">
            <w:pPr>
              <w:widowControl/>
              <w:jc w:val="center"/>
              <w:rPr>
                <w:rFonts w:eastAsia="等线"/>
                <w:kern w:val="0"/>
                <w:sz w:val="18"/>
                <w:szCs w:val="18"/>
                <w:lang w:val="en-US"/>
              </w:rPr>
            </w:pPr>
            <w:r>
              <w:rPr>
                <w:rFonts w:hint="eastAsia" w:eastAsia="等线"/>
                <w:kern w:val="0"/>
                <w:sz w:val="18"/>
                <w:szCs w:val="18"/>
                <w:lang w:val="en-US"/>
              </w:rPr>
              <w:t>暂定工程量（Les V</w:t>
            </w:r>
            <w:r>
              <w:rPr>
                <w:rFonts w:eastAsia="等线"/>
                <w:kern w:val="0"/>
                <w:sz w:val="18"/>
                <w:szCs w:val="18"/>
                <w:lang w:val="en-US"/>
              </w:rPr>
              <w:t>olumes</w:t>
            </w:r>
            <w:r>
              <w:rPr>
                <w:rFonts w:hint="eastAsia" w:eastAsia="等线"/>
                <w:kern w:val="0"/>
                <w:sz w:val="18"/>
                <w:szCs w:val="18"/>
                <w:lang w:val="en-US"/>
              </w:rPr>
              <w:t xml:space="preserve"> sont </w:t>
            </w:r>
            <w:r>
              <w:rPr>
                <w:rFonts w:ascii="Segoe UI" w:hAnsi="Segoe UI" w:eastAsia="Segoe UI" w:cs="Segoe UI"/>
                <w:sz w:val="16"/>
                <w:szCs w:val="16"/>
                <w:shd w:val="clear" w:color="auto" w:fill="FFFFFF"/>
              </w:rPr>
              <w:t>provisoire</w:t>
            </w:r>
            <w:r>
              <w:rPr>
                <w:rFonts w:hint="eastAsia" w:ascii="Segoe UI" w:hAnsi="Segoe UI" w:cs="Segoe UI"/>
                <w:sz w:val="16"/>
                <w:szCs w:val="16"/>
                <w:shd w:val="clear" w:color="auto" w:fill="FFFFFF"/>
                <w:lang w:val="en-US"/>
              </w:rPr>
              <w:t>s</w:t>
            </w:r>
            <w:r>
              <w:rPr>
                <w:rFonts w:hint="eastAsia" w:eastAsia="等线"/>
                <w:kern w:val="0"/>
                <w:sz w:val="18"/>
                <w:szCs w:val="18"/>
                <w:lang w:val="en-US"/>
              </w:rPr>
              <w:t>）</w:t>
            </w:r>
          </w:p>
        </w:tc>
      </w:tr>
      <w:tr w14:paraId="11F9F434">
        <w:tblPrEx>
          <w:tblCellMar>
            <w:top w:w="0" w:type="dxa"/>
            <w:left w:w="108" w:type="dxa"/>
            <w:bottom w:w="0" w:type="dxa"/>
            <w:right w:w="108" w:type="dxa"/>
          </w:tblCellMar>
        </w:tblPrEx>
        <w:trPr>
          <w:gridAfter w:val="1"/>
          <w:wAfter w:w="6" w:type="pct"/>
          <w:trHeight w:val="618" w:hRule="atLeast"/>
        </w:trPr>
        <w:tc>
          <w:tcPr>
            <w:tcW w:w="597" w:type="dxa"/>
            <w:vMerge w:val="continue"/>
            <w:tcBorders>
              <w:top w:val="nil"/>
              <w:left w:val="single" w:color="auto" w:sz="4" w:space="0"/>
              <w:bottom w:val="single" w:color="auto" w:sz="4" w:space="0"/>
              <w:right w:val="single" w:color="auto" w:sz="4" w:space="0"/>
            </w:tcBorders>
            <w:vAlign w:val="center"/>
          </w:tcPr>
          <w:p w14:paraId="3AD20878">
            <w:pPr>
              <w:widowControl/>
              <w:jc w:val="left"/>
              <w:rPr>
                <w:rFonts w:eastAsia="等线"/>
                <w:kern w:val="0"/>
                <w:sz w:val="18"/>
                <w:szCs w:val="18"/>
                <w:lang w:val="en-US"/>
              </w:rPr>
            </w:pPr>
          </w:p>
        </w:tc>
        <w:tc>
          <w:tcPr>
            <w:tcW w:w="1278" w:type="dxa"/>
            <w:vMerge w:val="continue"/>
            <w:tcBorders>
              <w:top w:val="nil"/>
              <w:left w:val="single" w:color="auto" w:sz="4" w:space="0"/>
              <w:bottom w:val="single" w:color="auto" w:sz="4" w:space="0"/>
              <w:right w:val="single" w:color="auto" w:sz="4" w:space="0"/>
            </w:tcBorders>
            <w:vAlign w:val="center"/>
          </w:tcPr>
          <w:p w14:paraId="269BAF20">
            <w:pPr>
              <w:widowControl/>
              <w:jc w:val="left"/>
              <w:rPr>
                <w:rFonts w:eastAsia="等线"/>
                <w:b/>
                <w:bCs/>
                <w:kern w:val="0"/>
                <w:sz w:val="18"/>
                <w:szCs w:val="18"/>
                <w:lang w:val="en-US"/>
              </w:rPr>
            </w:pPr>
          </w:p>
        </w:tc>
        <w:tc>
          <w:tcPr>
            <w:tcW w:w="3083" w:type="dxa"/>
            <w:tcBorders>
              <w:top w:val="nil"/>
              <w:left w:val="nil"/>
              <w:bottom w:val="single" w:color="auto" w:sz="4" w:space="0"/>
              <w:right w:val="single" w:color="auto" w:sz="4" w:space="0"/>
            </w:tcBorders>
            <w:vAlign w:val="center"/>
          </w:tcPr>
          <w:p w14:paraId="3D9A15B3">
            <w:pPr>
              <w:widowControl/>
              <w:jc w:val="left"/>
              <w:rPr>
                <w:rFonts w:eastAsia="等线"/>
                <w:kern w:val="0"/>
                <w:sz w:val="18"/>
                <w:szCs w:val="18"/>
              </w:rPr>
            </w:pPr>
            <w:r>
              <w:rPr>
                <w:rFonts w:hint="eastAsia" w:ascii="宋体" w:hAnsi="宋体"/>
                <w:kern w:val="0"/>
                <w:sz w:val="18"/>
                <w:szCs w:val="18"/>
                <w:lang w:val="en-US"/>
              </w:rPr>
              <w:t>道路两侧排水沟进行修整（宽1m 深0.5cm）</w:t>
            </w:r>
            <w:r>
              <w:rPr>
                <w:rFonts w:hint="eastAsia" w:ascii="宋体" w:hAnsi="宋体"/>
                <w:kern w:val="0"/>
                <w:sz w:val="18"/>
                <w:szCs w:val="18"/>
                <w:lang w:val="en-US"/>
              </w:rPr>
              <w:br w:type="textWrapping"/>
            </w:r>
            <w:r>
              <w:rPr>
                <w:rFonts w:eastAsia="等线"/>
                <w:kern w:val="0"/>
                <w:sz w:val="18"/>
                <w:szCs w:val="18"/>
                <w:lang w:val="en-US"/>
              </w:rPr>
              <w:t>Réhabilitation des fossés de drainage  (largeur : 40 cm, profondeur : 30 cm)</w:t>
            </w:r>
            <w:r>
              <w:rPr>
                <w:rFonts w:hint="eastAsia" w:eastAsia="等线"/>
                <w:kern w:val="0"/>
                <w:sz w:val="18"/>
                <w:szCs w:val="18"/>
                <w:lang w:val="en-US"/>
              </w:rPr>
              <w:t xml:space="preserve"> </w:t>
            </w:r>
            <w:r>
              <w:rPr>
                <w:rFonts w:eastAsia="等线"/>
                <w:kern w:val="0"/>
                <w:sz w:val="18"/>
                <w:szCs w:val="18"/>
                <w:lang w:val="en-US"/>
              </w:rPr>
              <w:t>des deux côtés de la route</w:t>
            </w:r>
          </w:p>
        </w:tc>
        <w:tc>
          <w:tcPr>
            <w:tcW w:w="908" w:type="dxa"/>
            <w:tcBorders>
              <w:top w:val="nil"/>
              <w:left w:val="nil"/>
              <w:bottom w:val="single" w:color="auto" w:sz="4" w:space="0"/>
              <w:right w:val="single" w:color="auto" w:sz="4" w:space="0"/>
            </w:tcBorders>
            <w:vAlign w:val="center"/>
          </w:tcPr>
          <w:p w14:paraId="5B3F3AE8">
            <w:pPr>
              <w:widowControl/>
              <w:jc w:val="center"/>
            </w:pPr>
            <w:r>
              <w:rPr>
                <w:rFonts w:hint="eastAsia" w:eastAsia="等线"/>
                <w:kern w:val="0"/>
                <w:sz w:val="18"/>
                <w:szCs w:val="18"/>
                <w:lang w:val="en-US"/>
              </w:rPr>
              <w:t>12500</w:t>
            </w:r>
          </w:p>
        </w:tc>
        <w:tc>
          <w:tcPr>
            <w:tcW w:w="646" w:type="dxa"/>
            <w:tcBorders>
              <w:top w:val="nil"/>
              <w:left w:val="nil"/>
              <w:bottom w:val="single" w:color="auto" w:sz="4" w:space="0"/>
              <w:right w:val="single" w:color="auto" w:sz="4" w:space="0"/>
            </w:tcBorders>
            <w:vAlign w:val="center"/>
          </w:tcPr>
          <w:p w14:paraId="23C3D00B">
            <w:pPr>
              <w:widowControl/>
              <w:jc w:val="center"/>
              <w:rPr>
                <w:rFonts w:eastAsia="等线"/>
                <w:kern w:val="0"/>
                <w:sz w:val="18"/>
                <w:szCs w:val="18"/>
                <w:lang w:val="en-US"/>
              </w:rPr>
            </w:pPr>
            <w:r>
              <w:rPr>
                <w:rFonts w:hint="eastAsia" w:eastAsia="等线"/>
                <w:kern w:val="0"/>
                <w:sz w:val="18"/>
                <w:szCs w:val="18"/>
                <w:lang w:val="en-US"/>
              </w:rPr>
              <w:t>m</w:t>
            </w:r>
          </w:p>
        </w:tc>
        <w:tc>
          <w:tcPr>
            <w:tcW w:w="620" w:type="dxa"/>
            <w:tcBorders>
              <w:top w:val="nil"/>
              <w:left w:val="nil"/>
              <w:bottom w:val="single" w:color="auto" w:sz="4" w:space="0"/>
              <w:right w:val="single" w:color="auto" w:sz="4" w:space="0"/>
            </w:tcBorders>
            <w:vAlign w:val="bottom"/>
          </w:tcPr>
          <w:p w14:paraId="2A10EFD8">
            <w:pPr>
              <w:widowControl/>
              <w:jc w:val="left"/>
            </w:pPr>
          </w:p>
        </w:tc>
        <w:tc>
          <w:tcPr>
            <w:tcW w:w="945" w:type="dxa"/>
            <w:tcBorders>
              <w:top w:val="nil"/>
              <w:left w:val="nil"/>
              <w:bottom w:val="single" w:color="auto" w:sz="4" w:space="0"/>
              <w:right w:val="single" w:color="auto" w:sz="4" w:space="0"/>
            </w:tcBorders>
            <w:vAlign w:val="bottom"/>
          </w:tcPr>
          <w:p w14:paraId="66CDEDA2">
            <w:pPr>
              <w:widowControl/>
              <w:jc w:val="left"/>
              <w:rPr>
                <w:rFonts w:eastAsia="等线"/>
                <w:kern w:val="0"/>
                <w:sz w:val="18"/>
                <w:szCs w:val="18"/>
                <w:lang w:val="en-US"/>
              </w:rPr>
            </w:pPr>
          </w:p>
        </w:tc>
        <w:tc>
          <w:tcPr>
            <w:tcW w:w="1481" w:type="dxa"/>
            <w:tcBorders>
              <w:top w:val="nil"/>
              <w:left w:val="nil"/>
              <w:bottom w:val="single" w:color="auto" w:sz="4" w:space="0"/>
              <w:right w:val="single" w:color="auto" w:sz="4" w:space="0"/>
            </w:tcBorders>
            <w:noWrap/>
            <w:vAlign w:val="bottom"/>
          </w:tcPr>
          <w:p w14:paraId="05225A97">
            <w:pPr>
              <w:widowControl/>
              <w:jc w:val="left"/>
              <w:rPr>
                <w:rFonts w:eastAsia="等线"/>
                <w:kern w:val="0"/>
                <w:sz w:val="18"/>
                <w:szCs w:val="18"/>
                <w:lang w:val="en-US"/>
              </w:rPr>
            </w:pPr>
            <w:r>
              <w:rPr>
                <w:rFonts w:eastAsia="等线"/>
                <w:kern w:val="0"/>
                <w:sz w:val="18"/>
                <w:szCs w:val="18"/>
                <w:lang w:val="en-US"/>
              </w:rPr>
              <w:t xml:space="preserve">          -   </w:t>
            </w:r>
          </w:p>
        </w:tc>
      </w:tr>
      <w:tr w14:paraId="07206F38">
        <w:tblPrEx>
          <w:tblCellMar>
            <w:top w:w="0" w:type="dxa"/>
            <w:left w:w="108" w:type="dxa"/>
            <w:bottom w:w="0" w:type="dxa"/>
            <w:right w:w="108" w:type="dxa"/>
          </w:tblCellMar>
        </w:tblPrEx>
        <w:trPr>
          <w:trHeight w:val="301" w:hRule="atLeast"/>
        </w:trPr>
        <w:tc>
          <w:tcPr>
            <w:tcW w:w="597" w:type="dxa"/>
            <w:vMerge w:val="continue"/>
            <w:tcBorders>
              <w:top w:val="single" w:color="auto" w:sz="4" w:space="0"/>
              <w:left w:val="single" w:color="auto" w:sz="4" w:space="0"/>
              <w:bottom w:val="single" w:color="auto" w:sz="4" w:space="0"/>
              <w:right w:val="single" w:color="auto" w:sz="4" w:space="0"/>
            </w:tcBorders>
            <w:shd w:val="clear" w:color="000000" w:fill="BDD7EE"/>
            <w:vAlign w:val="center"/>
          </w:tcPr>
          <w:p w14:paraId="3D1A1BD9">
            <w:pPr>
              <w:widowControl/>
              <w:jc w:val="center"/>
              <w:rPr>
                <w:rFonts w:eastAsia="等线"/>
                <w:kern w:val="0"/>
                <w:sz w:val="18"/>
                <w:szCs w:val="18"/>
                <w:lang w:val="en-US"/>
              </w:rPr>
            </w:pPr>
          </w:p>
        </w:tc>
        <w:tc>
          <w:tcPr>
            <w:tcW w:w="1278" w:type="dxa"/>
            <w:vMerge w:val="continue"/>
            <w:tcBorders>
              <w:top w:val="single" w:color="auto" w:sz="4" w:space="0"/>
              <w:left w:val="single" w:color="auto" w:sz="4" w:space="0"/>
              <w:bottom w:val="single" w:color="auto" w:sz="4" w:space="0"/>
              <w:right w:val="single" w:color="auto" w:sz="4" w:space="0"/>
            </w:tcBorders>
            <w:shd w:val="clear" w:color="000000" w:fill="BDD7EE"/>
            <w:vAlign w:val="center"/>
          </w:tcPr>
          <w:p w14:paraId="2DAB2D13">
            <w:pPr>
              <w:widowControl/>
              <w:jc w:val="center"/>
            </w:pPr>
          </w:p>
        </w:tc>
        <w:tc>
          <w:tcPr>
            <w:tcW w:w="3083" w:type="dxa"/>
            <w:tcBorders>
              <w:top w:val="single" w:color="auto" w:sz="4" w:space="0"/>
              <w:left w:val="single" w:color="auto" w:sz="4" w:space="0"/>
              <w:bottom w:val="single" w:color="auto" w:sz="4" w:space="0"/>
              <w:right w:val="single" w:color="auto" w:sz="4" w:space="0"/>
            </w:tcBorders>
            <w:shd w:val="clear" w:color="000000" w:fill="BDD7EE"/>
            <w:vAlign w:val="center"/>
          </w:tcPr>
          <w:p w14:paraId="1AECF232">
            <w:pPr>
              <w:widowControl/>
              <w:rPr>
                <w:rFonts w:eastAsia="等线"/>
                <w:kern w:val="0"/>
                <w:sz w:val="18"/>
                <w:szCs w:val="18"/>
                <w:lang w:val="en-US"/>
              </w:rPr>
            </w:pPr>
            <w:r>
              <w:rPr>
                <w:rFonts w:hint="eastAsia" w:eastAsia="等线"/>
                <w:kern w:val="0"/>
                <w:sz w:val="18"/>
                <w:szCs w:val="18"/>
                <w:lang w:val="en-US"/>
              </w:rPr>
              <w:t>其他工程费用及行政手续费（含社区协调费用）</w:t>
            </w:r>
          </w:p>
          <w:p w14:paraId="0F1415CC">
            <w:pPr>
              <w:widowControl/>
            </w:pPr>
            <w:r>
              <w:rPr>
                <w:rFonts w:eastAsia="等线"/>
                <w:kern w:val="0"/>
                <w:sz w:val="18"/>
                <w:szCs w:val="18"/>
              </w:rPr>
              <w:t>Frais divers de travaux et frais administratifs</w:t>
            </w:r>
            <w:r>
              <w:rPr>
                <w:rFonts w:hint="eastAsia" w:eastAsia="等线"/>
                <w:kern w:val="0"/>
                <w:sz w:val="18"/>
                <w:szCs w:val="18"/>
              </w:rPr>
              <w:t xml:space="preserve"> </w:t>
            </w:r>
            <w:r>
              <w:rPr>
                <w:rFonts w:eastAsia="等线"/>
                <w:kern w:val="0"/>
                <w:sz w:val="18"/>
                <w:szCs w:val="18"/>
              </w:rPr>
              <w:t> (incluant les frais de coordination communautaire)</w:t>
            </w:r>
          </w:p>
        </w:tc>
        <w:tc>
          <w:tcPr>
            <w:tcW w:w="908" w:type="dxa"/>
            <w:tcBorders>
              <w:top w:val="single" w:color="auto" w:sz="4" w:space="0"/>
              <w:left w:val="single" w:color="auto" w:sz="4" w:space="0"/>
              <w:bottom w:val="single" w:color="auto" w:sz="4" w:space="0"/>
              <w:right w:val="single" w:color="auto" w:sz="4" w:space="0"/>
            </w:tcBorders>
            <w:shd w:val="clear" w:color="000000" w:fill="BDD7EE"/>
            <w:vAlign w:val="center"/>
          </w:tcPr>
          <w:p w14:paraId="1094FE57">
            <w:pPr>
              <w:widowControl/>
              <w:jc w:val="center"/>
            </w:pPr>
            <w:r>
              <w:rPr>
                <w:rFonts w:hint="eastAsia" w:eastAsia="等线"/>
                <w:kern w:val="0"/>
                <w:sz w:val="18"/>
                <w:szCs w:val="18"/>
              </w:rPr>
              <w:t>1</w:t>
            </w:r>
          </w:p>
        </w:tc>
        <w:tc>
          <w:tcPr>
            <w:tcW w:w="646" w:type="dxa"/>
            <w:tcBorders>
              <w:top w:val="single" w:color="auto" w:sz="4" w:space="0"/>
              <w:left w:val="single" w:color="auto" w:sz="4" w:space="0"/>
              <w:bottom w:val="single" w:color="auto" w:sz="4" w:space="0"/>
              <w:right w:val="single" w:color="auto" w:sz="4" w:space="0"/>
            </w:tcBorders>
            <w:shd w:val="clear" w:color="000000" w:fill="BDD7EE"/>
            <w:vAlign w:val="center"/>
          </w:tcPr>
          <w:p w14:paraId="3EEE112B">
            <w:pPr>
              <w:widowControl/>
              <w:jc w:val="center"/>
            </w:pPr>
            <w:r>
              <w:rPr>
                <w:rFonts w:eastAsia="等线"/>
                <w:kern w:val="0"/>
                <w:sz w:val="20"/>
                <w:lang w:val="en-US"/>
              </w:rPr>
              <w:t>uinté</w:t>
            </w:r>
          </w:p>
        </w:tc>
        <w:tc>
          <w:tcPr>
            <w:tcW w:w="620" w:type="dxa"/>
            <w:tcBorders>
              <w:top w:val="single" w:color="auto" w:sz="4" w:space="0"/>
              <w:left w:val="single" w:color="auto" w:sz="4" w:space="0"/>
              <w:bottom w:val="single" w:color="auto" w:sz="4" w:space="0"/>
              <w:right w:val="single" w:color="auto" w:sz="4" w:space="0"/>
            </w:tcBorders>
            <w:shd w:val="clear" w:color="000000" w:fill="BDD7EE"/>
            <w:vAlign w:val="bottom"/>
          </w:tcPr>
          <w:p w14:paraId="4E1575FD">
            <w:pPr>
              <w:widowControl/>
              <w:jc w:val="left"/>
            </w:pPr>
          </w:p>
        </w:tc>
        <w:tc>
          <w:tcPr>
            <w:tcW w:w="945" w:type="dxa"/>
            <w:tcBorders>
              <w:top w:val="nil"/>
              <w:left w:val="nil"/>
              <w:bottom w:val="single" w:color="auto" w:sz="4" w:space="0"/>
              <w:right w:val="single" w:color="auto" w:sz="4" w:space="0"/>
            </w:tcBorders>
            <w:shd w:val="clear" w:color="000000" w:fill="BDD7EE"/>
            <w:noWrap/>
            <w:vAlign w:val="bottom"/>
          </w:tcPr>
          <w:p w14:paraId="285C3CCF">
            <w:pPr>
              <w:widowControl/>
              <w:jc w:val="left"/>
              <w:rPr>
                <w:rFonts w:eastAsia="等线"/>
                <w:kern w:val="0"/>
                <w:sz w:val="18"/>
                <w:szCs w:val="18"/>
                <w:lang w:val="en-US"/>
              </w:rPr>
            </w:pPr>
          </w:p>
        </w:tc>
        <w:tc>
          <w:tcPr>
            <w:tcW w:w="1494" w:type="dxa"/>
            <w:gridSpan w:val="2"/>
            <w:tcBorders>
              <w:top w:val="nil"/>
              <w:left w:val="nil"/>
              <w:bottom w:val="single" w:color="auto" w:sz="4" w:space="0"/>
              <w:right w:val="single" w:color="auto" w:sz="4" w:space="0"/>
            </w:tcBorders>
            <w:shd w:val="clear" w:color="000000" w:fill="BDD7EE"/>
            <w:noWrap/>
            <w:vAlign w:val="bottom"/>
          </w:tcPr>
          <w:p w14:paraId="75959921">
            <w:pPr>
              <w:widowControl/>
              <w:jc w:val="left"/>
              <w:rPr>
                <w:rFonts w:eastAsia="等线"/>
                <w:kern w:val="0"/>
                <w:sz w:val="18"/>
                <w:szCs w:val="18"/>
                <w:lang w:val="en-US"/>
              </w:rPr>
            </w:pPr>
          </w:p>
        </w:tc>
      </w:tr>
      <w:tr w14:paraId="6BB35090">
        <w:tblPrEx>
          <w:tblCellMar>
            <w:top w:w="0" w:type="dxa"/>
            <w:left w:w="108" w:type="dxa"/>
            <w:bottom w:w="0" w:type="dxa"/>
            <w:right w:w="108" w:type="dxa"/>
          </w:tblCellMar>
        </w:tblPrEx>
        <w:trPr>
          <w:trHeight w:val="275" w:hRule="atLeast"/>
        </w:trPr>
        <w:tc>
          <w:tcPr>
            <w:tcW w:w="9571" w:type="dxa"/>
            <w:gridSpan w:val="9"/>
            <w:tcBorders>
              <w:top w:val="single" w:color="auto" w:sz="4" w:space="0"/>
              <w:left w:val="single" w:color="auto" w:sz="4" w:space="0"/>
              <w:bottom w:val="single" w:color="auto" w:sz="4" w:space="0"/>
              <w:right w:val="single" w:color="auto" w:sz="4" w:space="0"/>
            </w:tcBorders>
            <w:shd w:val="clear" w:color="000000" w:fill="FCE4D6"/>
            <w:vAlign w:val="center"/>
          </w:tcPr>
          <w:p w14:paraId="02575DF0">
            <w:r>
              <w:rPr>
                <w:rFonts w:eastAsia="等线"/>
                <w:kern w:val="0"/>
                <w:sz w:val="18"/>
                <w:szCs w:val="18"/>
              </w:rPr>
              <w:t xml:space="preserve"> </w:t>
            </w:r>
            <w:r>
              <w:rPr>
                <w:rFonts w:hint="eastAsia" w:ascii="宋体" w:hAnsi="宋体"/>
                <w:kern w:val="0"/>
                <w:sz w:val="18"/>
                <w:szCs w:val="18"/>
                <w:lang w:val="en-US"/>
              </w:rPr>
              <w:t xml:space="preserve">小计(不含税价) </w:t>
            </w:r>
            <w:r>
              <w:rPr>
                <w:rFonts w:eastAsia="等线"/>
                <w:kern w:val="0"/>
                <w:sz w:val="18"/>
                <w:szCs w:val="18"/>
                <w:lang w:val="en-US"/>
              </w:rPr>
              <w:t>Sous-total</w:t>
            </w:r>
            <w:r>
              <w:rPr>
                <w:rFonts w:hint="eastAsia" w:eastAsia="等线"/>
                <w:kern w:val="0"/>
                <w:sz w:val="18"/>
                <w:szCs w:val="18"/>
                <w:lang w:val="en-US"/>
              </w:rPr>
              <w:t xml:space="preserve"> (</w:t>
            </w:r>
            <w:r>
              <w:rPr>
                <w:rFonts w:ascii="Segoe UI" w:hAnsi="Segoe UI" w:eastAsia="Segoe UI" w:cs="Segoe UI"/>
                <w:sz w:val="16"/>
                <w:szCs w:val="16"/>
                <w:shd w:val="clear" w:color="auto" w:fill="FFFFFF"/>
              </w:rPr>
              <w:t>Prix hors taxes</w:t>
            </w:r>
            <w:r>
              <w:rPr>
                <w:rFonts w:hint="eastAsia" w:eastAsia="等线"/>
                <w:kern w:val="0"/>
                <w:sz w:val="18"/>
                <w:szCs w:val="18"/>
                <w:lang w:val="en-US"/>
              </w:rPr>
              <w:t>)</w:t>
            </w:r>
          </w:p>
          <w:p w14:paraId="6CBB6234">
            <w:pPr>
              <w:widowControl/>
              <w:jc w:val="center"/>
              <w:rPr>
                <w:rFonts w:eastAsia="等线"/>
                <w:kern w:val="0"/>
                <w:sz w:val="18"/>
                <w:szCs w:val="18"/>
                <w:lang w:val="en-US"/>
              </w:rPr>
            </w:pPr>
          </w:p>
        </w:tc>
      </w:tr>
      <w:tr w14:paraId="384EC70C">
        <w:tblPrEx>
          <w:tblCellMar>
            <w:top w:w="0" w:type="dxa"/>
            <w:left w:w="108" w:type="dxa"/>
            <w:bottom w:w="0" w:type="dxa"/>
            <w:right w:w="108" w:type="dxa"/>
          </w:tblCellMar>
        </w:tblPrEx>
        <w:trPr>
          <w:gridAfter w:val="1"/>
          <w:wAfter w:w="6" w:type="pct"/>
          <w:trHeight w:val="261" w:hRule="atLeast"/>
        </w:trPr>
        <w:tc>
          <w:tcPr>
            <w:tcW w:w="9558" w:type="dxa"/>
            <w:gridSpan w:val="8"/>
            <w:tcBorders>
              <w:top w:val="nil"/>
              <w:left w:val="single" w:color="auto" w:sz="4" w:space="0"/>
              <w:bottom w:val="single" w:color="auto" w:sz="4" w:space="0"/>
              <w:right w:val="single" w:color="auto" w:sz="4" w:space="0"/>
            </w:tcBorders>
            <w:vAlign w:val="center"/>
          </w:tcPr>
          <w:p w14:paraId="592695D4">
            <w:pPr>
              <w:widowControl/>
              <w:numPr>
                <w:ilvl w:val="255"/>
                <w:numId w:val="0"/>
              </w:numPr>
              <w:jc w:val="center"/>
              <w:rPr>
                <w:rFonts w:eastAsia="等线"/>
                <w:b/>
                <w:bCs/>
                <w:kern w:val="0"/>
                <w:sz w:val="18"/>
                <w:szCs w:val="18"/>
                <w:lang w:val="en-US"/>
              </w:rPr>
            </w:pPr>
            <w:r>
              <w:rPr>
                <w:rFonts w:hint="eastAsia" w:ascii="宋体" w:hAnsi="宋体"/>
                <w:b/>
                <w:bCs/>
                <w:kern w:val="0"/>
                <w:sz w:val="18"/>
                <w:szCs w:val="18"/>
                <w:lang w:val="en-US"/>
              </w:rPr>
              <w:t>足球场修缮</w:t>
            </w:r>
            <w:r>
              <w:rPr>
                <w:rFonts w:eastAsia="等线"/>
                <w:b/>
                <w:bCs/>
                <w:kern w:val="0"/>
                <w:sz w:val="18"/>
                <w:szCs w:val="18"/>
                <w:lang w:val="en-US"/>
              </w:rPr>
              <w:t>Réhabilitation des terrains de football</w:t>
            </w:r>
          </w:p>
        </w:tc>
      </w:tr>
      <w:tr w14:paraId="34DB0216">
        <w:tblPrEx>
          <w:tblCellMar>
            <w:top w:w="0" w:type="dxa"/>
            <w:left w:w="108" w:type="dxa"/>
            <w:bottom w:w="0" w:type="dxa"/>
            <w:right w:w="108" w:type="dxa"/>
          </w:tblCellMar>
        </w:tblPrEx>
        <w:trPr>
          <w:gridAfter w:val="1"/>
          <w:wAfter w:w="6" w:type="pct"/>
          <w:trHeight w:val="511" w:hRule="atLeast"/>
        </w:trPr>
        <w:tc>
          <w:tcPr>
            <w:tcW w:w="597" w:type="dxa"/>
            <w:tcBorders>
              <w:top w:val="nil"/>
              <w:left w:val="single" w:color="auto" w:sz="4" w:space="0"/>
              <w:bottom w:val="single" w:color="auto" w:sz="4" w:space="0"/>
              <w:right w:val="single" w:color="auto" w:sz="4" w:space="0"/>
            </w:tcBorders>
            <w:vAlign w:val="center"/>
          </w:tcPr>
          <w:p w14:paraId="4136F9D1">
            <w:pPr>
              <w:widowControl/>
              <w:jc w:val="center"/>
              <w:rPr>
                <w:rFonts w:eastAsia="等线"/>
                <w:b/>
                <w:bCs/>
                <w:kern w:val="0"/>
                <w:sz w:val="18"/>
                <w:szCs w:val="18"/>
                <w:lang w:val="en-US"/>
              </w:rPr>
            </w:pPr>
            <w:r>
              <w:rPr>
                <w:rFonts w:hint="eastAsia" w:ascii="宋体" w:hAnsi="宋体" w:cs="宋体"/>
                <w:b/>
                <w:bCs/>
                <w:kern w:val="0"/>
                <w:sz w:val="18"/>
                <w:szCs w:val="18"/>
                <w:lang w:val="en-US"/>
              </w:rPr>
              <w:t>序号</w:t>
            </w:r>
          </w:p>
        </w:tc>
        <w:tc>
          <w:tcPr>
            <w:tcW w:w="1278" w:type="dxa"/>
            <w:tcBorders>
              <w:top w:val="nil"/>
              <w:left w:val="nil"/>
              <w:bottom w:val="single" w:color="auto" w:sz="4" w:space="0"/>
              <w:right w:val="single" w:color="auto" w:sz="4" w:space="0"/>
            </w:tcBorders>
            <w:vAlign w:val="center"/>
          </w:tcPr>
          <w:p w14:paraId="751A9453">
            <w:pPr>
              <w:widowControl/>
              <w:jc w:val="center"/>
              <w:rPr>
                <w:rFonts w:eastAsia="等线"/>
                <w:b/>
                <w:bCs/>
                <w:kern w:val="0"/>
                <w:sz w:val="18"/>
                <w:szCs w:val="18"/>
                <w:lang w:val="en-US"/>
              </w:rPr>
            </w:pPr>
            <w:r>
              <w:rPr>
                <w:rFonts w:hint="eastAsia" w:ascii="宋体" w:hAnsi="宋体" w:cs="宋体"/>
                <w:b/>
                <w:bCs/>
                <w:kern w:val="0"/>
                <w:sz w:val="18"/>
                <w:szCs w:val="18"/>
                <w:lang w:val="en-US"/>
              </w:rPr>
              <w:t>项目名称</w:t>
            </w:r>
          </w:p>
        </w:tc>
        <w:tc>
          <w:tcPr>
            <w:tcW w:w="3083" w:type="dxa"/>
            <w:vMerge w:val="restart"/>
            <w:tcBorders>
              <w:top w:val="nil"/>
              <w:left w:val="single" w:color="auto" w:sz="4" w:space="0"/>
              <w:bottom w:val="single" w:color="auto" w:sz="4" w:space="0"/>
              <w:right w:val="single" w:color="auto" w:sz="4" w:space="0"/>
            </w:tcBorders>
            <w:vAlign w:val="center"/>
          </w:tcPr>
          <w:p w14:paraId="17B92659">
            <w:pPr>
              <w:widowControl/>
              <w:jc w:val="left"/>
              <w:rPr>
                <w:rFonts w:eastAsia="等线"/>
                <w:b/>
                <w:bCs/>
                <w:kern w:val="0"/>
                <w:sz w:val="18"/>
                <w:szCs w:val="18"/>
                <w:lang w:val="en-US"/>
              </w:rPr>
            </w:pPr>
            <w:r>
              <w:rPr>
                <w:rFonts w:hint="eastAsia" w:ascii="宋体" w:hAnsi="宋体"/>
                <w:b/>
                <w:bCs/>
                <w:kern w:val="0"/>
                <w:sz w:val="18"/>
                <w:szCs w:val="18"/>
                <w:lang w:val="en-US"/>
              </w:rPr>
              <w:t>工作内容</w:t>
            </w:r>
            <w:r>
              <w:rPr>
                <w:rFonts w:eastAsia="等线"/>
                <w:b/>
                <w:bCs/>
                <w:kern w:val="0"/>
                <w:sz w:val="18"/>
                <w:szCs w:val="18"/>
                <w:lang w:val="en-US"/>
              </w:rPr>
              <w:t xml:space="preserve">    Travaux spécifiques</w:t>
            </w:r>
          </w:p>
        </w:tc>
        <w:tc>
          <w:tcPr>
            <w:tcW w:w="908" w:type="dxa"/>
            <w:tcBorders>
              <w:top w:val="nil"/>
              <w:left w:val="single" w:color="auto" w:sz="4" w:space="0"/>
              <w:bottom w:val="single" w:color="auto" w:sz="4" w:space="0"/>
              <w:right w:val="single" w:color="auto" w:sz="4" w:space="0"/>
            </w:tcBorders>
            <w:vAlign w:val="center"/>
          </w:tcPr>
          <w:p w14:paraId="3500D0EA">
            <w:pPr>
              <w:widowControl/>
              <w:jc w:val="center"/>
            </w:pPr>
            <w:r>
              <w:rPr>
                <w:rFonts w:hint="eastAsia" w:ascii="宋体" w:hAnsi="宋体" w:cs="宋体"/>
                <w:b/>
                <w:bCs/>
                <w:kern w:val="0"/>
                <w:sz w:val="18"/>
                <w:szCs w:val="18"/>
                <w:lang w:val="en-US"/>
              </w:rPr>
              <w:t>工程量</w:t>
            </w:r>
          </w:p>
        </w:tc>
        <w:tc>
          <w:tcPr>
            <w:tcW w:w="646" w:type="dxa"/>
            <w:tcBorders>
              <w:top w:val="nil"/>
              <w:left w:val="nil"/>
              <w:bottom w:val="single" w:color="auto" w:sz="4" w:space="0"/>
              <w:right w:val="single" w:color="auto" w:sz="4" w:space="0"/>
            </w:tcBorders>
            <w:vAlign w:val="center"/>
          </w:tcPr>
          <w:p w14:paraId="7B5B7DC4">
            <w:pPr>
              <w:widowControl/>
              <w:jc w:val="center"/>
              <w:rPr>
                <w:rFonts w:eastAsia="等线"/>
                <w:b/>
                <w:bCs/>
                <w:kern w:val="0"/>
                <w:sz w:val="18"/>
                <w:szCs w:val="18"/>
                <w:lang w:val="en-US"/>
              </w:rPr>
            </w:pPr>
            <w:r>
              <w:rPr>
                <w:rFonts w:hint="eastAsia" w:ascii="宋体" w:hAnsi="宋体" w:cs="宋体"/>
                <w:b/>
                <w:bCs/>
                <w:kern w:val="0"/>
                <w:sz w:val="18"/>
                <w:szCs w:val="18"/>
                <w:lang w:val="en-US"/>
              </w:rPr>
              <w:t>单位</w:t>
            </w:r>
          </w:p>
        </w:tc>
        <w:tc>
          <w:tcPr>
            <w:tcW w:w="620" w:type="dxa"/>
            <w:tcBorders>
              <w:top w:val="nil"/>
              <w:left w:val="nil"/>
              <w:bottom w:val="single" w:color="auto" w:sz="4" w:space="0"/>
              <w:right w:val="single" w:color="auto" w:sz="4" w:space="0"/>
            </w:tcBorders>
            <w:vAlign w:val="center"/>
          </w:tcPr>
          <w:p w14:paraId="7FF4C375">
            <w:pPr>
              <w:widowControl/>
              <w:jc w:val="center"/>
            </w:pPr>
            <w:r>
              <w:rPr>
                <w:rFonts w:eastAsia="等线"/>
                <w:b/>
                <w:bCs/>
                <w:kern w:val="0"/>
                <w:sz w:val="18"/>
                <w:szCs w:val="18"/>
                <w:lang w:val="en-US"/>
              </w:rPr>
              <w:t xml:space="preserve"> 单价 </w:t>
            </w:r>
          </w:p>
        </w:tc>
        <w:tc>
          <w:tcPr>
            <w:tcW w:w="945" w:type="dxa"/>
            <w:tcBorders>
              <w:top w:val="nil"/>
              <w:left w:val="nil"/>
              <w:bottom w:val="single" w:color="auto" w:sz="4" w:space="0"/>
              <w:right w:val="single" w:color="auto" w:sz="4" w:space="0"/>
            </w:tcBorders>
            <w:vAlign w:val="center"/>
          </w:tcPr>
          <w:p w14:paraId="6BFB5810">
            <w:pPr>
              <w:widowControl/>
              <w:jc w:val="center"/>
              <w:rPr>
                <w:rFonts w:eastAsia="等线"/>
                <w:b/>
                <w:bCs/>
                <w:kern w:val="0"/>
                <w:sz w:val="18"/>
                <w:szCs w:val="18"/>
                <w:lang w:val="en-US"/>
              </w:rPr>
            </w:pPr>
            <w:r>
              <w:rPr>
                <w:rFonts w:eastAsia="等线"/>
                <w:b/>
                <w:bCs/>
                <w:kern w:val="0"/>
                <w:sz w:val="18"/>
                <w:szCs w:val="18"/>
                <w:lang w:val="en-US"/>
              </w:rPr>
              <w:t xml:space="preserve">合价 </w:t>
            </w:r>
          </w:p>
        </w:tc>
        <w:tc>
          <w:tcPr>
            <w:tcW w:w="1481" w:type="dxa"/>
            <w:tcBorders>
              <w:top w:val="nil"/>
              <w:left w:val="nil"/>
              <w:bottom w:val="single" w:color="auto" w:sz="4" w:space="0"/>
              <w:right w:val="single" w:color="auto" w:sz="4" w:space="0"/>
            </w:tcBorders>
            <w:vAlign w:val="center"/>
          </w:tcPr>
          <w:p w14:paraId="246E41B2">
            <w:pPr>
              <w:widowControl/>
              <w:jc w:val="center"/>
              <w:rPr>
                <w:rFonts w:eastAsia="等线"/>
                <w:b/>
                <w:bCs/>
                <w:kern w:val="0"/>
                <w:sz w:val="18"/>
                <w:szCs w:val="18"/>
                <w:lang w:val="en-US"/>
              </w:rPr>
            </w:pPr>
          </w:p>
        </w:tc>
      </w:tr>
      <w:tr w14:paraId="50FF20B1">
        <w:tblPrEx>
          <w:tblCellMar>
            <w:top w:w="0" w:type="dxa"/>
            <w:left w:w="108" w:type="dxa"/>
            <w:bottom w:w="0" w:type="dxa"/>
            <w:right w:w="108" w:type="dxa"/>
          </w:tblCellMar>
        </w:tblPrEx>
        <w:trPr>
          <w:gridAfter w:val="1"/>
          <w:wAfter w:w="6" w:type="pct"/>
          <w:trHeight w:val="659" w:hRule="atLeast"/>
        </w:trPr>
        <w:tc>
          <w:tcPr>
            <w:tcW w:w="597" w:type="dxa"/>
            <w:tcBorders>
              <w:top w:val="nil"/>
              <w:left w:val="single" w:color="auto" w:sz="4" w:space="0"/>
              <w:bottom w:val="single" w:color="auto" w:sz="4" w:space="0"/>
              <w:right w:val="single" w:color="auto" w:sz="4" w:space="0"/>
            </w:tcBorders>
            <w:vAlign w:val="center"/>
          </w:tcPr>
          <w:p w14:paraId="50EBD737">
            <w:pPr>
              <w:widowControl/>
              <w:jc w:val="center"/>
              <w:rPr>
                <w:rFonts w:eastAsia="等线"/>
                <w:kern w:val="0"/>
                <w:sz w:val="18"/>
                <w:szCs w:val="18"/>
                <w:lang w:val="en-US"/>
              </w:rPr>
            </w:pPr>
            <w:r>
              <w:rPr>
                <w:rFonts w:eastAsia="等线"/>
                <w:b/>
                <w:bCs/>
                <w:kern w:val="0"/>
                <w:sz w:val="18"/>
                <w:szCs w:val="18"/>
                <w:lang w:val="en-US"/>
              </w:rPr>
              <w:t>N</w:t>
            </w:r>
            <w:r>
              <w:rPr>
                <w:rFonts w:hint="eastAsia" w:ascii="宋体" w:hAnsi="宋体"/>
                <w:b/>
                <w:bCs/>
                <w:kern w:val="0"/>
                <w:sz w:val="18"/>
                <w:szCs w:val="18"/>
                <w:lang w:val="en-US"/>
              </w:rPr>
              <w:t>°</w:t>
            </w:r>
          </w:p>
        </w:tc>
        <w:tc>
          <w:tcPr>
            <w:tcW w:w="1278" w:type="dxa"/>
            <w:tcBorders>
              <w:top w:val="nil"/>
              <w:left w:val="single" w:color="auto" w:sz="4" w:space="0"/>
              <w:bottom w:val="single" w:color="000000" w:sz="4" w:space="0"/>
              <w:right w:val="single" w:color="auto" w:sz="4" w:space="0"/>
            </w:tcBorders>
            <w:vAlign w:val="center"/>
          </w:tcPr>
          <w:p w14:paraId="02AC2EED">
            <w:pPr>
              <w:widowControl/>
              <w:jc w:val="center"/>
              <w:rPr>
                <w:rFonts w:eastAsia="等线"/>
                <w:kern w:val="0"/>
                <w:sz w:val="18"/>
                <w:szCs w:val="18"/>
              </w:rPr>
            </w:pPr>
            <w:r>
              <w:rPr>
                <w:rFonts w:eastAsia="等线"/>
                <w:b/>
                <w:bCs/>
                <w:kern w:val="0"/>
                <w:sz w:val="18"/>
                <w:szCs w:val="18"/>
                <w:lang w:val="en-US"/>
              </w:rPr>
              <w:t>Nom du travail</w:t>
            </w:r>
          </w:p>
        </w:tc>
        <w:tc>
          <w:tcPr>
            <w:tcW w:w="3083" w:type="dxa"/>
            <w:vMerge w:val="continue"/>
            <w:tcBorders>
              <w:top w:val="nil"/>
              <w:left w:val="nil"/>
              <w:bottom w:val="single" w:color="auto" w:sz="4" w:space="0"/>
              <w:right w:val="single" w:color="auto" w:sz="4" w:space="0"/>
            </w:tcBorders>
            <w:vAlign w:val="center"/>
          </w:tcPr>
          <w:p w14:paraId="2290FAB0">
            <w:pPr>
              <w:widowControl/>
              <w:jc w:val="left"/>
              <w:rPr>
                <w:rFonts w:eastAsia="等线"/>
                <w:kern w:val="0"/>
                <w:sz w:val="18"/>
                <w:szCs w:val="18"/>
                <w:lang w:val="en-US"/>
              </w:rPr>
            </w:pPr>
          </w:p>
        </w:tc>
        <w:tc>
          <w:tcPr>
            <w:tcW w:w="908" w:type="dxa"/>
            <w:tcBorders>
              <w:top w:val="nil"/>
              <w:left w:val="nil"/>
              <w:bottom w:val="single" w:color="auto" w:sz="4" w:space="0"/>
              <w:right w:val="single" w:color="auto" w:sz="4" w:space="0"/>
            </w:tcBorders>
            <w:vAlign w:val="center"/>
          </w:tcPr>
          <w:p w14:paraId="2EEDFB72">
            <w:pPr>
              <w:widowControl/>
              <w:jc w:val="center"/>
            </w:pPr>
            <w:r>
              <w:rPr>
                <w:rFonts w:hint="eastAsia" w:eastAsia="等线"/>
                <w:b/>
                <w:bCs/>
                <w:kern w:val="0"/>
                <w:sz w:val="18"/>
                <w:szCs w:val="18"/>
                <w:lang w:val="en-US"/>
              </w:rPr>
              <w:t>V</w:t>
            </w:r>
            <w:r>
              <w:rPr>
                <w:rFonts w:eastAsia="等线"/>
                <w:b/>
                <w:bCs/>
                <w:kern w:val="0"/>
                <w:sz w:val="18"/>
                <w:szCs w:val="18"/>
                <w:lang w:val="en-US"/>
              </w:rPr>
              <w:t>olumes</w:t>
            </w:r>
          </w:p>
        </w:tc>
        <w:tc>
          <w:tcPr>
            <w:tcW w:w="646" w:type="dxa"/>
            <w:tcBorders>
              <w:top w:val="nil"/>
              <w:left w:val="nil"/>
              <w:bottom w:val="single" w:color="auto" w:sz="4" w:space="0"/>
              <w:right w:val="single" w:color="auto" w:sz="4" w:space="0"/>
            </w:tcBorders>
            <w:vAlign w:val="center"/>
          </w:tcPr>
          <w:p w14:paraId="7AD41628">
            <w:pPr>
              <w:widowControl/>
              <w:jc w:val="center"/>
              <w:rPr>
                <w:rFonts w:eastAsia="等线"/>
                <w:kern w:val="0"/>
                <w:sz w:val="18"/>
                <w:szCs w:val="18"/>
                <w:lang w:val="en-US"/>
              </w:rPr>
            </w:pPr>
            <w:r>
              <w:rPr>
                <w:rFonts w:hint="eastAsia" w:eastAsia="等线"/>
                <w:b/>
                <w:bCs/>
                <w:kern w:val="0"/>
                <w:sz w:val="18"/>
                <w:szCs w:val="18"/>
                <w:lang w:val="en-US"/>
              </w:rPr>
              <w:t>U</w:t>
            </w:r>
            <w:r>
              <w:rPr>
                <w:rFonts w:eastAsia="等线"/>
                <w:b/>
                <w:bCs/>
                <w:kern w:val="0"/>
                <w:sz w:val="18"/>
                <w:szCs w:val="18"/>
                <w:lang w:val="en-US"/>
              </w:rPr>
              <w:t>nité</w:t>
            </w:r>
          </w:p>
        </w:tc>
        <w:tc>
          <w:tcPr>
            <w:tcW w:w="620" w:type="dxa"/>
            <w:tcBorders>
              <w:top w:val="nil"/>
              <w:left w:val="nil"/>
              <w:bottom w:val="single" w:color="auto" w:sz="4" w:space="0"/>
              <w:right w:val="single" w:color="auto" w:sz="4" w:space="0"/>
            </w:tcBorders>
            <w:vAlign w:val="center"/>
          </w:tcPr>
          <w:p w14:paraId="35630341">
            <w:pPr>
              <w:widowControl/>
              <w:jc w:val="center"/>
            </w:pPr>
            <w:r>
              <w:rPr>
                <w:rFonts w:hint="eastAsia" w:eastAsia="等线"/>
                <w:b/>
                <w:bCs/>
                <w:kern w:val="0"/>
                <w:sz w:val="18"/>
                <w:szCs w:val="18"/>
                <w:lang w:val="en-US"/>
              </w:rPr>
              <w:t>P</w:t>
            </w:r>
            <w:r>
              <w:rPr>
                <w:rFonts w:eastAsia="等线"/>
                <w:b/>
                <w:bCs/>
                <w:kern w:val="0"/>
                <w:sz w:val="18"/>
                <w:szCs w:val="18"/>
                <w:lang w:val="en-US"/>
              </w:rPr>
              <w:t xml:space="preserve">rix </w:t>
            </w:r>
          </w:p>
        </w:tc>
        <w:tc>
          <w:tcPr>
            <w:tcW w:w="945" w:type="dxa"/>
            <w:tcBorders>
              <w:top w:val="nil"/>
              <w:left w:val="nil"/>
              <w:bottom w:val="single" w:color="auto" w:sz="4" w:space="0"/>
              <w:right w:val="single" w:color="auto" w:sz="4" w:space="0"/>
            </w:tcBorders>
            <w:vAlign w:val="center"/>
          </w:tcPr>
          <w:p w14:paraId="32809EDE">
            <w:pPr>
              <w:widowControl/>
              <w:jc w:val="center"/>
              <w:rPr>
                <w:rFonts w:ascii="宋体" w:hAnsi="宋体" w:cs="宋体"/>
                <w:kern w:val="0"/>
                <w:sz w:val="18"/>
                <w:szCs w:val="18"/>
                <w:lang w:val="en-US"/>
              </w:rPr>
            </w:pPr>
            <w:r>
              <w:rPr>
                <w:rFonts w:eastAsia="等线"/>
                <w:b/>
                <w:bCs/>
                <w:kern w:val="0"/>
                <w:sz w:val="18"/>
                <w:szCs w:val="18"/>
                <w:lang w:val="en-US"/>
              </w:rPr>
              <w:t xml:space="preserve">Montant </w:t>
            </w:r>
          </w:p>
        </w:tc>
        <w:tc>
          <w:tcPr>
            <w:tcW w:w="1481" w:type="dxa"/>
            <w:tcBorders>
              <w:top w:val="nil"/>
              <w:left w:val="nil"/>
              <w:bottom w:val="single" w:color="auto" w:sz="4" w:space="0"/>
              <w:right w:val="single" w:color="auto" w:sz="4" w:space="0"/>
            </w:tcBorders>
            <w:noWrap/>
            <w:vAlign w:val="center"/>
          </w:tcPr>
          <w:p w14:paraId="0B5B84B7">
            <w:pPr>
              <w:widowControl/>
              <w:jc w:val="center"/>
              <w:rPr>
                <w:rFonts w:eastAsia="等线"/>
                <w:kern w:val="0"/>
                <w:sz w:val="18"/>
                <w:szCs w:val="18"/>
                <w:lang w:val="en-US"/>
              </w:rPr>
            </w:pPr>
          </w:p>
        </w:tc>
      </w:tr>
      <w:tr w14:paraId="39C5245F">
        <w:tblPrEx>
          <w:tblCellMar>
            <w:top w:w="0" w:type="dxa"/>
            <w:left w:w="108" w:type="dxa"/>
            <w:bottom w:w="0" w:type="dxa"/>
            <w:right w:w="108" w:type="dxa"/>
          </w:tblCellMar>
        </w:tblPrEx>
        <w:trPr>
          <w:gridAfter w:val="1"/>
          <w:wAfter w:w="6" w:type="pct"/>
          <w:trHeight w:val="439" w:hRule="atLeast"/>
        </w:trPr>
        <w:tc>
          <w:tcPr>
            <w:tcW w:w="597" w:type="dxa"/>
            <w:vMerge w:val="restart"/>
            <w:tcBorders>
              <w:top w:val="nil"/>
              <w:left w:val="single" w:color="auto" w:sz="4" w:space="0"/>
              <w:bottom w:val="single" w:color="auto" w:sz="4" w:space="0"/>
              <w:right w:val="single" w:color="auto" w:sz="4" w:space="0"/>
            </w:tcBorders>
            <w:vAlign w:val="center"/>
          </w:tcPr>
          <w:p w14:paraId="669619B0">
            <w:pPr>
              <w:widowControl/>
              <w:jc w:val="center"/>
              <w:rPr>
                <w:rFonts w:eastAsia="等线"/>
                <w:kern w:val="0"/>
                <w:sz w:val="18"/>
                <w:szCs w:val="18"/>
                <w:lang w:val="en-US"/>
              </w:rPr>
            </w:pPr>
            <w:r>
              <w:rPr>
                <w:rFonts w:eastAsia="等线"/>
                <w:kern w:val="0"/>
                <w:sz w:val="18"/>
                <w:szCs w:val="18"/>
                <w:lang w:val="en-US"/>
              </w:rPr>
              <w:t>2</w:t>
            </w:r>
          </w:p>
        </w:tc>
        <w:tc>
          <w:tcPr>
            <w:tcW w:w="1278" w:type="dxa"/>
            <w:vMerge w:val="restart"/>
            <w:tcBorders>
              <w:top w:val="nil"/>
              <w:left w:val="single" w:color="auto" w:sz="4" w:space="0"/>
              <w:bottom w:val="single" w:color="000000" w:sz="4" w:space="0"/>
              <w:right w:val="single" w:color="auto" w:sz="4" w:space="0"/>
            </w:tcBorders>
            <w:vAlign w:val="center"/>
          </w:tcPr>
          <w:p w14:paraId="27646AA7">
            <w:pPr>
              <w:widowControl/>
              <w:jc w:val="center"/>
              <w:rPr>
                <w:rFonts w:eastAsia="等线"/>
                <w:kern w:val="0"/>
                <w:sz w:val="18"/>
                <w:szCs w:val="18"/>
              </w:rPr>
            </w:pPr>
            <w:r>
              <w:rPr>
                <w:rFonts w:eastAsia="等线"/>
                <w:kern w:val="0"/>
                <w:sz w:val="18"/>
                <w:szCs w:val="18"/>
              </w:rPr>
              <w:t>Konsatamy社区足球场</w:t>
            </w:r>
          </w:p>
          <w:p w14:paraId="525C49DB">
            <w:pPr>
              <w:widowControl/>
              <w:jc w:val="center"/>
              <w:rPr>
                <w:rFonts w:eastAsia="等线"/>
                <w:kern w:val="0"/>
                <w:sz w:val="18"/>
                <w:szCs w:val="18"/>
                <w:lang w:val="en-US"/>
              </w:rPr>
            </w:pPr>
            <w:r>
              <w:rPr>
                <w:rFonts w:hint="eastAsia" w:eastAsia="等线"/>
                <w:kern w:val="0"/>
                <w:sz w:val="18"/>
                <w:szCs w:val="18"/>
              </w:rPr>
              <w:t>T</w:t>
            </w:r>
            <w:r>
              <w:rPr>
                <w:rFonts w:eastAsia="等线"/>
                <w:kern w:val="0"/>
                <w:sz w:val="18"/>
                <w:szCs w:val="18"/>
              </w:rPr>
              <w:t>errain de football communautaire de Konsatamy</w:t>
            </w:r>
            <w:r>
              <w:rPr>
                <w:rFonts w:eastAsia="等线"/>
                <w:kern w:val="0"/>
                <w:sz w:val="18"/>
                <w:szCs w:val="18"/>
              </w:rPr>
              <w:br w:type="textWrapping"/>
            </w:r>
            <w:r>
              <w:rPr>
                <w:rFonts w:eastAsia="等线"/>
                <w:kern w:val="0"/>
                <w:sz w:val="18"/>
                <w:szCs w:val="18"/>
              </w:rPr>
              <w:t xml:space="preserve">  </w:t>
            </w:r>
            <w:r>
              <w:rPr>
                <w:rFonts w:hint="eastAsia" w:ascii="宋体" w:hAnsi="宋体"/>
                <w:kern w:val="0"/>
                <w:sz w:val="18"/>
                <w:szCs w:val="18"/>
              </w:rPr>
              <w:t>（</w:t>
            </w:r>
            <w:r>
              <w:rPr>
                <w:rFonts w:eastAsia="等线"/>
                <w:kern w:val="0"/>
                <w:sz w:val="18"/>
                <w:szCs w:val="18"/>
              </w:rPr>
              <w:t>S=8000</w:t>
            </w:r>
            <w:r>
              <w:rPr>
                <w:rFonts w:hint="eastAsia" w:ascii="宋体" w:hAnsi="宋体"/>
                <w:kern w:val="0"/>
                <w:sz w:val="18"/>
                <w:szCs w:val="18"/>
                <w:lang w:val="en-US"/>
              </w:rPr>
              <w:t>㎡</w:t>
            </w:r>
            <w:r>
              <w:rPr>
                <w:rFonts w:eastAsia="等线"/>
                <w:kern w:val="0"/>
                <w:sz w:val="18"/>
                <w:szCs w:val="18"/>
              </w:rPr>
              <w:t xml:space="preserve">  C=360m</w:t>
            </w:r>
            <w:r>
              <w:rPr>
                <w:rFonts w:hint="eastAsia" w:ascii="宋体" w:hAnsi="宋体"/>
                <w:kern w:val="0"/>
                <w:sz w:val="18"/>
                <w:szCs w:val="18"/>
              </w:rPr>
              <w:t>）</w:t>
            </w:r>
          </w:p>
        </w:tc>
        <w:tc>
          <w:tcPr>
            <w:tcW w:w="3083" w:type="dxa"/>
            <w:tcBorders>
              <w:top w:val="nil"/>
              <w:left w:val="nil"/>
              <w:bottom w:val="single" w:color="auto" w:sz="4" w:space="0"/>
              <w:right w:val="single" w:color="auto" w:sz="4" w:space="0"/>
            </w:tcBorders>
            <w:vAlign w:val="center"/>
          </w:tcPr>
          <w:p w14:paraId="398A3173">
            <w:pPr>
              <w:widowControl/>
              <w:rPr>
                <w:rFonts w:eastAsia="等线"/>
                <w:kern w:val="0"/>
                <w:sz w:val="18"/>
                <w:szCs w:val="18"/>
                <w:lang w:val="en-US"/>
              </w:rPr>
            </w:pPr>
            <w:r>
              <w:rPr>
                <w:rFonts w:hint="eastAsia" w:ascii="宋体" w:hAnsi="宋体"/>
                <w:kern w:val="0"/>
                <w:sz w:val="18"/>
                <w:szCs w:val="18"/>
                <w:lang w:val="en-US"/>
              </w:rPr>
              <w:t>基层作业面清理</w:t>
            </w:r>
            <w:r>
              <w:rPr>
                <w:rFonts w:eastAsia="等线"/>
                <w:kern w:val="0"/>
                <w:sz w:val="18"/>
                <w:szCs w:val="18"/>
                <w:lang w:val="en-US"/>
              </w:rPr>
              <w:t>Nettoyage de la surface originale du terrain de football</w:t>
            </w:r>
          </w:p>
        </w:tc>
        <w:tc>
          <w:tcPr>
            <w:tcW w:w="908" w:type="dxa"/>
            <w:tcBorders>
              <w:top w:val="nil"/>
              <w:left w:val="nil"/>
              <w:bottom w:val="single" w:color="auto" w:sz="4" w:space="0"/>
              <w:right w:val="single" w:color="auto" w:sz="4" w:space="0"/>
            </w:tcBorders>
            <w:vAlign w:val="center"/>
          </w:tcPr>
          <w:p w14:paraId="0597C8EB">
            <w:pPr>
              <w:widowControl/>
              <w:jc w:val="center"/>
            </w:pPr>
            <w:r>
              <w:rPr>
                <w:rFonts w:eastAsia="等线"/>
                <w:kern w:val="0"/>
                <w:sz w:val="18"/>
                <w:szCs w:val="18"/>
                <w:lang w:val="en-US"/>
              </w:rPr>
              <w:t>8000</w:t>
            </w:r>
          </w:p>
        </w:tc>
        <w:tc>
          <w:tcPr>
            <w:tcW w:w="646" w:type="dxa"/>
            <w:tcBorders>
              <w:top w:val="nil"/>
              <w:left w:val="nil"/>
              <w:bottom w:val="single" w:color="auto" w:sz="4" w:space="0"/>
              <w:right w:val="single" w:color="auto" w:sz="4" w:space="0"/>
            </w:tcBorders>
            <w:vAlign w:val="center"/>
          </w:tcPr>
          <w:p w14:paraId="2B03A56E">
            <w:pPr>
              <w:widowControl/>
              <w:jc w:val="center"/>
              <w:rPr>
                <w:rFonts w:eastAsia="等线"/>
                <w:kern w:val="0"/>
                <w:sz w:val="18"/>
                <w:szCs w:val="18"/>
                <w:lang w:val="en-US"/>
              </w:rPr>
            </w:pPr>
            <w:r>
              <w:rPr>
                <w:rFonts w:hint="eastAsia" w:ascii="宋体" w:hAnsi="宋体" w:cs="宋体"/>
                <w:kern w:val="0"/>
                <w:sz w:val="18"/>
                <w:szCs w:val="18"/>
                <w:lang w:val="en-US"/>
              </w:rPr>
              <w:t>㎡</w:t>
            </w:r>
          </w:p>
        </w:tc>
        <w:tc>
          <w:tcPr>
            <w:tcW w:w="620" w:type="dxa"/>
            <w:tcBorders>
              <w:top w:val="nil"/>
              <w:left w:val="nil"/>
              <w:bottom w:val="single" w:color="auto" w:sz="4" w:space="0"/>
              <w:right w:val="single" w:color="auto" w:sz="4" w:space="0"/>
            </w:tcBorders>
            <w:vAlign w:val="bottom"/>
          </w:tcPr>
          <w:p w14:paraId="45EE406E">
            <w:pPr>
              <w:widowControl/>
              <w:jc w:val="left"/>
            </w:pPr>
          </w:p>
        </w:tc>
        <w:tc>
          <w:tcPr>
            <w:tcW w:w="945" w:type="dxa"/>
            <w:tcBorders>
              <w:top w:val="nil"/>
              <w:left w:val="nil"/>
              <w:bottom w:val="single" w:color="auto" w:sz="4" w:space="0"/>
              <w:right w:val="single" w:color="auto" w:sz="4" w:space="0"/>
            </w:tcBorders>
            <w:vAlign w:val="bottom"/>
          </w:tcPr>
          <w:p w14:paraId="602AA323">
            <w:pPr>
              <w:widowControl/>
              <w:jc w:val="left"/>
              <w:rPr>
                <w:rFonts w:ascii="宋体" w:hAnsi="宋体" w:cs="宋体"/>
                <w:kern w:val="0"/>
                <w:sz w:val="18"/>
                <w:szCs w:val="18"/>
                <w:lang w:val="en-US"/>
              </w:rPr>
            </w:pPr>
          </w:p>
        </w:tc>
        <w:tc>
          <w:tcPr>
            <w:tcW w:w="1481" w:type="dxa"/>
            <w:tcBorders>
              <w:top w:val="nil"/>
              <w:left w:val="nil"/>
              <w:bottom w:val="single" w:color="auto" w:sz="4" w:space="0"/>
              <w:right w:val="single" w:color="auto" w:sz="4" w:space="0"/>
            </w:tcBorders>
            <w:noWrap/>
            <w:vAlign w:val="bottom"/>
          </w:tcPr>
          <w:p w14:paraId="5EC1541F">
            <w:pPr>
              <w:widowControl/>
              <w:jc w:val="center"/>
              <w:rPr>
                <w:rFonts w:eastAsia="等线"/>
                <w:kern w:val="0"/>
                <w:sz w:val="18"/>
                <w:szCs w:val="18"/>
                <w:lang w:val="en-US"/>
              </w:rPr>
            </w:pPr>
            <w:r>
              <w:rPr>
                <w:rFonts w:eastAsia="等线"/>
                <w:kern w:val="0"/>
                <w:sz w:val="18"/>
                <w:szCs w:val="18"/>
                <w:lang w:val="en-US"/>
              </w:rPr>
              <w:t xml:space="preserve">          -   </w:t>
            </w:r>
          </w:p>
        </w:tc>
      </w:tr>
      <w:tr w14:paraId="54958BDC">
        <w:tblPrEx>
          <w:tblCellMar>
            <w:top w:w="0" w:type="dxa"/>
            <w:left w:w="108" w:type="dxa"/>
            <w:bottom w:w="0" w:type="dxa"/>
            <w:right w:w="108" w:type="dxa"/>
          </w:tblCellMar>
        </w:tblPrEx>
        <w:trPr>
          <w:gridAfter w:val="1"/>
          <w:wAfter w:w="6" w:type="pct"/>
          <w:trHeight w:val="439" w:hRule="atLeast"/>
        </w:trPr>
        <w:tc>
          <w:tcPr>
            <w:tcW w:w="597" w:type="dxa"/>
            <w:vMerge w:val="continue"/>
            <w:tcBorders>
              <w:top w:val="nil"/>
              <w:left w:val="single" w:color="auto" w:sz="4" w:space="0"/>
              <w:bottom w:val="single" w:color="auto" w:sz="4" w:space="0"/>
              <w:right w:val="single" w:color="auto" w:sz="4" w:space="0"/>
            </w:tcBorders>
            <w:vAlign w:val="center"/>
          </w:tcPr>
          <w:p w14:paraId="5B1114B2">
            <w:pPr>
              <w:widowControl/>
              <w:jc w:val="center"/>
              <w:rPr>
                <w:rFonts w:eastAsia="等线"/>
                <w:kern w:val="0"/>
                <w:sz w:val="18"/>
                <w:szCs w:val="18"/>
                <w:lang w:val="en-US"/>
              </w:rPr>
            </w:pPr>
          </w:p>
        </w:tc>
        <w:tc>
          <w:tcPr>
            <w:tcW w:w="1278" w:type="dxa"/>
            <w:vMerge w:val="continue"/>
            <w:tcBorders>
              <w:top w:val="nil"/>
              <w:left w:val="single" w:color="auto" w:sz="4" w:space="0"/>
              <w:bottom w:val="single" w:color="000000" w:sz="4" w:space="0"/>
              <w:right w:val="single" w:color="auto" w:sz="4" w:space="0"/>
            </w:tcBorders>
            <w:vAlign w:val="center"/>
          </w:tcPr>
          <w:p w14:paraId="3953D5BE">
            <w:pPr>
              <w:widowControl/>
              <w:jc w:val="center"/>
              <w:rPr>
                <w:rFonts w:eastAsia="等线"/>
                <w:kern w:val="0"/>
                <w:sz w:val="18"/>
                <w:szCs w:val="18"/>
                <w:lang w:val="en-US"/>
              </w:rPr>
            </w:pPr>
          </w:p>
        </w:tc>
        <w:tc>
          <w:tcPr>
            <w:tcW w:w="3083" w:type="dxa"/>
            <w:tcBorders>
              <w:top w:val="nil"/>
              <w:left w:val="nil"/>
              <w:bottom w:val="single" w:color="auto" w:sz="4" w:space="0"/>
              <w:right w:val="single" w:color="auto" w:sz="4" w:space="0"/>
            </w:tcBorders>
            <w:vAlign w:val="center"/>
          </w:tcPr>
          <w:p w14:paraId="603BB522">
            <w:pPr>
              <w:widowControl/>
              <w:rPr>
                <w:rFonts w:eastAsia="等线"/>
                <w:kern w:val="0"/>
                <w:sz w:val="18"/>
                <w:szCs w:val="18"/>
                <w:lang w:val="en-US"/>
              </w:rPr>
            </w:pPr>
            <w:r>
              <w:rPr>
                <w:rFonts w:hint="eastAsia" w:ascii="宋体" w:hAnsi="宋体"/>
                <w:kern w:val="0"/>
                <w:sz w:val="18"/>
                <w:szCs w:val="18"/>
                <w:lang w:val="en-US"/>
              </w:rPr>
              <w:t>红土粒料摊铺、压实，厚度10cm</w:t>
            </w:r>
            <w:r>
              <w:rPr>
                <w:rFonts w:eastAsia="等线"/>
                <w:kern w:val="0"/>
                <w:sz w:val="18"/>
                <w:szCs w:val="18"/>
                <w:lang w:val="en-US"/>
              </w:rPr>
              <w:br w:type="textWrapping"/>
            </w:r>
            <w:r>
              <w:rPr>
                <w:rFonts w:eastAsia="等线"/>
                <w:kern w:val="0"/>
                <w:sz w:val="18"/>
                <w:szCs w:val="18"/>
                <w:lang w:val="en-US"/>
              </w:rPr>
              <w:t>Pose et compactage de granulés de latérite</w:t>
            </w:r>
          </w:p>
        </w:tc>
        <w:tc>
          <w:tcPr>
            <w:tcW w:w="908" w:type="dxa"/>
            <w:tcBorders>
              <w:top w:val="nil"/>
              <w:left w:val="nil"/>
              <w:bottom w:val="single" w:color="auto" w:sz="4" w:space="0"/>
              <w:right w:val="single" w:color="auto" w:sz="4" w:space="0"/>
            </w:tcBorders>
            <w:vAlign w:val="center"/>
          </w:tcPr>
          <w:p w14:paraId="6DA0D4C2">
            <w:pPr>
              <w:widowControl/>
              <w:jc w:val="center"/>
            </w:pPr>
            <w:r>
              <w:rPr>
                <w:rFonts w:hint="eastAsia" w:eastAsia="等线"/>
                <w:kern w:val="0"/>
                <w:sz w:val="18"/>
                <w:szCs w:val="18"/>
                <w:lang w:val="en-US"/>
              </w:rPr>
              <w:t>800</w:t>
            </w:r>
          </w:p>
        </w:tc>
        <w:tc>
          <w:tcPr>
            <w:tcW w:w="646" w:type="dxa"/>
            <w:tcBorders>
              <w:top w:val="nil"/>
              <w:left w:val="nil"/>
              <w:bottom w:val="single" w:color="auto" w:sz="4" w:space="0"/>
              <w:right w:val="single" w:color="auto" w:sz="4" w:space="0"/>
            </w:tcBorders>
            <w:vAlign w:val="center"/>
          </w:tcPr>
          <w:p w14:paraId="4E0EF689">
            <w:pPr>
              <w:widowControl/>
              <w:jc w:val="center"/>
              <w:rPr>
                <w:rFonts w:eastAsia="等线"/>
                <w:kern w:val="0"/>
                <w:sz w:val="18"/>
                <w:szCs w:val="18"/>
                <w:lang w:val="en-US"/>
              </w:rPr>
            </w:pPr>
            <w:r>
              <w:rPr>
                <w:rFonts w:hint="eastAsia" w:ascii="宋体" w:hAnsi="宋体" w:cs="宋体"/>
                <w:kern w:val="0"/>
                <w:sz w:val="18"/>
                <w:szCs w:val="18"/>
                <w:lang w:val="en-US"/>
              </w:rPr>
              <w:t>m</w:t>
            </w:r>
            <w:r>
              <w:rPr>
                <w:rFonts w:hint="eastAsia" w:ascii="宋体" w:hAnsi="宋体" w:cs="宋体"/>
                <w:kern w:val="0"/>
                <w:sz w:val="18"/>
                <w:szCs w:val="18"/>
                <w:vertAlign w:val="superscript"/>
                <w:lang w:val="en-US"/>
              </w:rPr>
              <w:t>3</w:t>
            </w:r>
          </w:p>
        </w:tc>
        <w:tc>
          <w:tcPr>
            <w:tcW w:w="620" w:type="dxa"/>
            <w:tcBorders>
              <w:top w:val="nil"/>
              <w:left w:val="nil"/>
              <w:bottom w:val="single" w:color="auto" w:sz="4" w:space="0"/>
              <w:right w:val="single" w:color="auto" w:sz="4" w:space="0"/>
            </w:tcBorders>
            <w:vAlign w:val="bottom"/>
          </w:tcPr>
          <w:p w14:paraId="2F14BA84">
            <w:pPr>
              <w:widowControl/>
              <w:jc w:val="left"/>
            </w:pPr>
          </w:p>
        </w:tc>
        <w:tc>
          <w:tcPr>
            <w:tcW w:w="945" w:type="dxa"/>
            <w:tcBorders>
              <w:top w:val="nil"/>
              <w:left w:val="nil"/>
              <w:bottom w:val="single" w:color="auto" w:sz="4" w:space="0"/>
              <w:right w:val="single" w:color="auto" w:sz="4" w:space="0"/>
            </w:tcBorders>
            <w:vAlign w:val="bottom"/>
          </w:tcPr>
          <w:p w14:paraId="49441E23">
            <w:pPr>
              <w:widowControl/>
              <w:jc w:val="left"/>
              <w:rPr>
                <w:rFonts w:eastAsia="等线"/>
                <w:kern w:val="0"/>
                <w:sz w:val="18"/>
                <w:szCs w:val="18"/>
                <w:lang w:val="en-US"/>
              </w:rPr>
            </w:pPr>
          </w:p>
        </w:tc>
        <w:tc>
          <w:tcPr>
            <w:tcW w:w="1481" w:type="dxa"/>
            <w:tcBorders>
              <w:top w:val="nil"/>
              <w:left w:val="nil"/>
              <w:bottom w:val="single" w:color="auto" w:sz="4" w:space="0"/>
              <w:right w:val="single" w:color="auto" w:sz="4" w:space="0"/>
            </w:tcBorders>
            <w:noWrap/>
            <w:vAlign w:val="bottom"/>
          </w:tcPr>
          <w:p w14:paraId="554509CB">
            <w:pPr>
              <w:widowControl/>
              <w:jc w:val="center"/>
              <w:rPr>
                <w:rFonts w:eastAsia="等线"/>
                <w:kern w:val="0"/>
                <w:sz w:val="18"/>
                <w:szCs w:val="18"/>
                <w:lang w:val="en-US"/>
              </w:rPr>
            </w:pPr>
            <w:r>
              <w:rPr>
                <w:rFonts w:hint="eastAsia" w:eastAsia="等线"/>
                <w:kern w:val="0"/>
                <w:sz w:val="18"/>
                <w:szCs w:val="18"/>
                <w:lang w:val="en-US"/>
              </w:rPr>
              <w:t>暂定工程量（Les V</w:t>
            </w:r>
            <w:r>
              <w:rPr>
                <w:rFonts w:eastAsia="等线"/>
                <w:kern w:val="0"/>
                <w:sz w:val="18"/>
                <w:szCs w:val="18"/>
                <w:lang w:val="en-US"/>
              </w:rPr>
              <w:t>olumes</w:t>
            </w:r>
            <w:r>
              <w:rPr>
                <w:rFonts w:hint="eastAsia" w:eastAsia="等线"/>
                <w:kern w:val="0"/>
                <w:sz w:val="18"/>
                <w:szCs w:val="18"/>
                <w:lang w:val="en-US"/>
              </w:rPr>
              <w:t xml:space="preserve"> sont </w:t>
            </w:r>
            <w:r>
              <w:rPr>
                <w:rFonts w:ascii="Segoe UI" w:hAnsi="Segoe UI" w:eastAsia="Segoe UI" w:cs="Segoe UI"/>
                <w:sz w:val="16"/>
                <w:szCs w:val="16"/>
                <w:shd w:val="clear" w:color="auto" w:fill="FFFFFF"/>
              </w:rPr>
              <w:t>provisoire</w:t>
            </w:r>
            <w:r>
              <w:rPr>
                <w:rFonts w:hint="eastAsia" w:ascii="Segoe UI" w:hAnsi="Segoe UI" w:cs="Segoe UI"/>
                <w:sz w:val="16"/>
                <w:szCs w:val="16"/>
                <w:shd w:val="clear" w:color="auto" w:fill="FFFFFF"/>
                <w:lang w:val="en-US"/>
              </w:rPr>
              <w:t>s</w:t>
            </w:r>
            <w:r>
              <w:rPr>
                <w:rFonts w:hint="eastAsia" w:eastAsia="等线"/>
                <w:kern w:val="0"/>
                <w:sz w:val="18"/>
                <w:szCs w:val="18"/>
                <w:lang w:val="en-US"/>
              </w:rPr>
              <w:t>）</w:t>
            </w:r>
          </w:p>
        </w:tc>
      </w:tr>
      <w:tr w14:paraId="7542F433">
        <w:tblPrEx>
          <w:tblCellMar>
            <w:top w:w="0" w:type="dxa"/>
            <w:left w:w="108" w:type="dxa"/>
            <w:bottom w:w="0" w:type="dxa"/>
            <w:right w:w="108" w:type="dxa"/>
          </w:tblCellMar>
        </w:tblPrEx>
        <w:trPr>
          <w:gridAfter w:val="1"/>
          <w:wAfter w:w="6" w:type="pct"/>
          <w:trHeight w:val="659" w:hRule="atLeast"/>
        </w:trPr>
        <w:tc>
          <w:tcPr>
            <w:tcW w:w="597" w:type="dxa"/>
            <w:vMerge w:val="continue"/>
            <w:tcBorders>
              <w:top w:val="nil"/>
              <w:left w:val="single" w:color="auto" w:sz="4" w:space="0"/>
              <w:bottom w:val="single" w:color="auto" w:sz="4" w:space="0"/>
              <w:right w:val="single" w:color="auto" w:sz="4" w:space="0"/>
            </w:tcBorders>
            <w:vAlign w:val="center"/>
          </w:tcPr>
          <w:p w14:paraId="08234BF8">
            <w:pPr>
              <w:widowControl/>
              <w:jc w:val="left"/>
              <w:rPr>
                <w:rFonts w:eastAsia="等线"/>
                <w:kern w:val="0"/>
                <w:sz w:val="18"/>
                <w:szCs w:val="18"/>
                <w:lang w:val="en-US"/>
              </w:rPr>
            </w:pPr>
          </w:p>
        </w:tc>
        <w:tc>
          <w:tcPr>
            <w:tcW w:w="1278" w:type="dxa"/>
            <w:vMerge w:val="continue"/>
            <w:tcBorders>
              <w:top w:val="nil"/>
              <w:left w:val="single" w:color="auto" w:sz="4" w:space="0"/>
              <w:bottom w:val="single" w:color="000000" w:sz="4" w:space="0"/>
              <w:right w:val="single" w:color="auto" w:sz="4" w:space="0"/>
            </w:tcBorders>
            <w:vAlign w:val="center"/>
          </w:tcPr>
          <w:p w14:paraId="4D2622CA">
            <w:pPr>
              <w:widowControl/>
              <w:jc w:val="left"/>
              <w:rPr>
                <w:rFonts w:eastAsia="等线"/>
                <w:kern w:val="0"/>
                <w:sz w:val="18"/>
                <w:szCs w:val="18"/>
                <w:lang w:val="en-US"/>
              </w:rPr>
            </w:pPr>
          </w:p>
        </w:tc>
        <w:tc>
          <w:tcPr>
            <w:tcW w:w="3083" w:type="dxa"/>
            <w:tcBorders>
              <w:top w:val="nil"/>
              <w:left w:val="nil"/>
              <w:bottom w:val="single" w:color="auto" w:sz="4" w:space="0"/>
              <w:right w:val="single" w:color="auto" w:sz="4" w:space="0"/>
            </w:tcBorders>
            <w:vAlign w:val="center"/>
          </w:tcPr>
          <w:p w14:paraId="4B1173FA">
            <w:pPr>
              <w:widowControl/>
              <w:rPr>
                <w:rFonts w:ascii="宋体" w:hAnsi="宋体"/>
                <w:kern w:val="0"/>
                <w:sz w:val="18"/>
                <w:szCs w:val="18"/>
                <w:lang w:val="en-US"/>
              </w:rPr>
            </w:pPr>
            <w:r>
              <w:rPr>
                <w:rFonts w:hint="eastAsia" w:ascii="宋体" w:hAnsi="宋体"/>
                <w:kern w:val="0"/>
                <w:sz w:val="18"/>
                <w:szCs w:val="18"/>
                <w:lang w:val="en-US"/>
              </w:rPr>
              <w:t>足球场四周排水沟进行修整</w:t>
            </w:r>
            <w:r>
              <w:rPr>
                <w:rFonts w:eastAsia="等线"/>
                <w:kern w:val="0"/>
                <w:sz w:val="18"/>
                <w:szCs w:val="18"/>
                <w:lang w:val="en-US"/>
              </w:rPr>
              <w:t xml:space="preserve"> </w:t>
            </w:r>
            <w:r>
              <w:rPr>
                <w:rFonts w:hint="eastAsia" w:ascii="宋体" w:hAnsi="宋体"/>
                <w:kern w:val="0"/>
                <w:sz w:val="18"/>
                <w:szCs w:val="18"/>
                <w:lang w:val="en-US"/>
              </w:rPr>
              <w:t>（宽40cm 深30cm）</w:t>
            </w:r>
            <w:r>
              <w:rPr>
                <w:rFonts w:eastAsia="等线"/>
                <w:kern w:val="0"/>
                <w:sz w:val="18"/>
                <w:szCs w:val="18"/>
                <w:lang w:val="en-US"/>
              </w:rPr>
              <w:br w:type="textWrapping"/>
            </w:r>
            <w:r>
              <w:rPr>
                <w:rFonts w:eastAsia="等线"/>
                <w:kern w:val="0"/>
                <w:sz w:val="18"/>
                <w:szCs w:val="18"/>
                <w:lang w:val="en-US"/>
              </w:rPr>
              <w:t>Réhabilitation des fossés de drainage  (largeur : 40 cm, profondeur : 30 cm)</w:t>
            </w:r>
            <w:r>
              <w:rPr>
                <w:rFonts w:hint="eastAsia" w:eastAsia="等线"/>
                <w:kern w:val="0"/>
                <w:sz w:val="18"/>
                <w:szCs w:val="18"/>
                <w:lang w:val="en-US"/>
              </w:rPr>
              <w:t xml:space="preserve"> </w:t>
            </w:r>
            <w:r>
              <w:rPr>
                <w:rFonts w:eastAsia="等线"/>
                <w:kern w:val="0"/>
                <w:sz w:val="18"/>
                <w:szCs w:val="18"/>
                <w:lang w:val="en-US"/>
              </w:rPr>
              <w:t>autour des terrains de football</w:t>
            </w:r>
          </w:p>
        </w:tc>
        <w:tc>
          <w:tcPr>
            <w:tcW w:w="908" w:type="dxa"/>
            <w:tcBorders>
              <w:top w:val="nil"/>
              <w:left w:val="nil"/>
              <w:bottom w:val="single" w:color="auto" w:sz="4" w:space="0"/>
              <w:right w:val="single" w:color="auto" w:sz="4" w:space="0"/>
            </w:tcBorders>
            <w:vAlign w:val="center"/>
          </w:tcPr>
          <w:p w14:paraId="779B1A6E">
            <w:pPr>
              <w:widowControl/>
              <w:jc w:val="center"/>
            </w:pPr>
            <w:r>
              <w:rPr>
                <w:rFonts w:eastAsia="等线"/>
                <w:kern w:val="0"/>
                <w:sz w:val="18"/>
                <w:szCs w:val="18"/>
                <w:lang w:val="en-US"/>
              </w:rPr>
              <w:t>360</w:t>
            </w:r>
          </w:p>
        </w:tc>
        <w:tc>
          <w:tcPr>
            <w:tcW w:w="646" w:type="dxa"/>
            <w:tcBorders>
              <w:top w:val="nil"/>
              <w:left w:val="nil"/>
              <w:bottom w:val="single" w:color="auto" w:sz="4" w:space="0"/>
              <w:right w:val="single" w:color="auto" w:sz="4" w:space="0"/>
            </w:tcBorders>
            <w:vAlign w:val="center"/>
          </w:tcPr>
          <w:p w14:paraId="1451DB49">
            <w:pPr>
              <w:widowControl/>
              <w:jc w:val="center"/>
              <w:rPr>
                <w:rFonts w:eastAsia="等线"/>
                <w:kern w:val="0"/>
                <w:sz w:val="18"/>
                <w:szCs w:val="18"/>
                <w:lang w:val="en-US"/>
              </w:rPr>
            </w:pPr>
            <w:r>
              <w:rPr>
                <w:rFonts w:eastAsia="等线"/>
                <w:kern w:val="0"/>
                <w:sz w:val="18"/>
                <w:szCs w:val="18"/>
                <w:lang w:val="en-US"/>
              </w:rPr>
              <w:t>m</w:t>
            </w:r>
          </w:p>
        </w:tc>
        <w:tc>
          <w:tcPr>
            <w:tcW w:w="620" w:type="dxa"/>
            <w:tcBorders>
              <w:top w:val="nil"/>
              <w:left w:val="nil"/>
              <w:bottom w:val="single" w:color="auto" w:sz="4" w:space="0"/>
              <w:right w:val="single" w:color="auto" w:sz="4" w:space="0"/>
            </w:tcBorders>
            <w:vAlign w:val="bottom"/>
          </w:tcPr>
          <w:p w14:paraId="23563399">
            <w:pPr>
              <w:widowControl/>
              <w:jc w:val="left"/>
            </w:pPr>
          </w:p>
        </w:tc>
        <w:tc>
          <w:tcPr>
            <w:tcW w:w="945" w:type="dxa"/>
            <w:tcBorders>
              <w:top w:val="nil"/>
              <w:left w:val="nil"/>
              <w:bottom w:val="single" w:color="auto" w:sz="4" w:space="0"/>
              <w:right w:val="single" w:color="auto" w:sz="4" w:space="0"/>
            </w:tcBorders>
            <w:vAlign w:val="bottom"/>
          </w:tcPr>
          <w:p w14:paraId="3D063146">
            <w:pPr>
              <w:widowControl/>
              <w:jc w:val="left"/>
              <w:rPr>
                <w:rFonts w:eastAsia="等线"/>
                <w:kern w:val="0"/>
                <w:sz w:val="18"/>
                <w:szCs w:val="18"/>
                <w:lang w:val="en-US"/>
              </w:rPr>
            </w:pPr>
          </w:p>
        </w:tc>
        <w:tc>
          <w:tcPr>
            <w:tcW w:w="1481" w:type="dxa"/>
            <w:tcBorders>
              <w:top w:val="nil"/>
              <w:left w:val="nil"/>
              <w:bottom w:val="single" w:color="auto" w:sz="4" w:space="0"/>
              <w:right w:val="single" w:color="auto" w:sz="4" w:space="0"/>
            </w:tcBorders>
            <w:noWrap/>
            <w:vAlign w:val="bottom"/>
          </w:tcPr>
          <w:p w14:paraId="319D2937">
            <w:pPr>
              <w:widowControl/>
              <w:jc w:val="center"/>
              <w:rPr>
                <w:rFonts w:eastAsia="等线"/>
                <w:kern w:val="0"/>
                <w:sz w:val="18"/>
                <w:szCs w:val="18"/>
                <w:lang w:val="en-US"/>
              </w:rPr>
            </w:pPr>
            <w:r>
              <w:rPr>
                <w:rFonts w:eastAsia="等线"/>
                <w:kern w:val="0"/>
                <w:sz w:val="18"/>
                <w:szCs w:val="18"/>
                <w:lang w:val="en-US"/>
              </w:rPr>
              <w:t xml:space="preserve">          -   </w:t>
            </w:r>
          </w:p>
        </w:tc>
      </w:tr>
      <w:tr w14:paraId="21CF0936">
        <w:tblPrEx>
          <w:tblCellMar>
            <w:top w:w="0" w:type="dxa"/>
            <w:left w:w="108" w:type="dxa"/>
            <w:bottom w:w="0" w:type="dxa"/>
            <w:right w:w="108" w:type="dxa"/>
          </w:tblCellMar>
        </w:tblPrEx>
        <w:trPr>
          <w:gridAfter w:val="1"/>
          <w:wAfter w:w="6" w:type="pct"/>
          <w:trHeight w:val="659" w:hRule="atLeast"/>
        </w:trPr>
        <w:tc>
          <w:tcPr>
            <w:tcW w:w="597" w:type="dxa"/>
            <w:vMerge w:val="continue"/>
            <w:tcBorders>
              <w:top w:val="nil"/>
              <w:left w:val="single" w:color="auto" w:sz="4" w:space="0"/>
              <w:bottom w:val="single" w:color="auto" w:sz="4" w:space="0"/>
              <w:right w:val="single" w:color="auto" w:sz="4" w:space="0"/>
            </w:tcBorders>
            <w:vAlign w:val="center"/>
          </w:tcPr>
          <w:p w14:paraId="249F44D6">
            <w:pPr>
              <w:widowControl/>
              <w:jc w:val="left"/>
              <w:rPr>
                <w:rFonts w:eastAsia="等线"/>
                <w:kern w:val="0"/>
                <w:sz w:val="18"/>
                <w:szCs w:val="18"/>
                <w:lang w:val="en-US"/>
              </w:rPr>
            </w:pPr>
          </w:p>
        </w:tc>
        <w:tc>
          <w:tcPr>
            <w:tcW w:w="1278" w:type="dxa"/>
            <w:vMerge w:val="continue"/>
            <w:tcBorders>
              <w:top w:val="nil"/>
              <w:left w:val="single" w:color="auto" w:sz="4" w:space="0"/>
              <w:bottom w:val="single" w:color="000000" w:sz="4" w:space="0"/>
              <w:right w:val="single" w:color="auto" w:sz="4" w:space="0"/>
            </w:tcBorders>
            <w:vAlign w:val="center"/>
          </w:tcPr>
          <w:p w14:paraId="0D208669">
            <w:pPr>
              <w:widowControl/>
              <w:jc w:val="left"/>
              <w:rPr>
                <w:rFonts w:eastAsia="等线"/>
                <w:kern w:val="0"/>
                <w:sz w:val="18"/>
                <w:szCs w:val="18"/>
                <w:lang w:val="en-US"/>
              </w:rPr>
            </w:pPr>
          </w:p>
        </w:tc>
        <w:tc>
          <w:tcPr>
            <w:tcW w:w="3083" w:type="dxa"/>
            <w:tcBorders>
              <w:top w:val="nil"/>
              <w:left w:val="nil"/>
              <w:bottom w:val="single" w:color="auto" w:sz="4" w:space="0"/>
              <w:right w:val="single" w:color="auto" w:sz="4" w:space="0"/>
            </w:tcBorders>
            <w:vAlign w:val="center"/>
          </w:tcPr>
          <w:p w14:paraId="33D11441">
            <w:pPr>
              <w:widowControl/>
              <w:rPr>
                <w:rFonts w:eastAsia="等线"/>
                <w:kern w:val="0"/>
                <w:sz w:val="18"/>
                <w:szCs w:val="18"/>
                <w:lang w:val="en-US"/>
              </w:rPr>
            </w:pPr>
            <w:r>
              <w:rPr>
                <w:rFonts w:hint="eastAsia" w:ascii="宋体" w:hAnsi="宋体"/>
                <w:kern w:val="0"/>
                <w:sz w:val="18"/>
                <w:szCs w:val="18"/>
                <w:lang w:val="en-US"/>
              </w:rPr>
              <w:t>砖砌长凳（宽</w:t>
            </w:r>
            <w:r>
              <w:rPr>
                <w:rFonts w:eastAsia="等线"/>
                <w:kern w:val="0"/>
                <w:sz w:val="18"/>
                <w:szCs w:val="18"/>
                <w:lang w:val="en-US"/>
              </w:rPr>
              <w:t xml:space="preserve">50cm  </w:t>
            </w:r>
            <w:r>
              <w:rPr>
                <w:rFonts w:hint="eastAsia" w:ascii="宋体" w:hAnsi="宋体"/>
                <w:kern w:val="0"/>
                <w:sz w:val="18"/>
                <w:szCs w:val="18"/>
                <w:lang w:val="en-US"/>
              </w:rPr>
              <w:t>高</w:t>
            </w:r>
            <w:r>
              <w:rPr>
                <w:rFonts w:eastAsia="等线"/>
                <w:kern w:val="0"/>
                <w:sz w:val="18"/>
                <w:szCs w:val="18"/>
                <w:lang w:val="en-US"/>
              </w:rPr>
              <w:t>45cm</w:t>
            </w:r>
            <w:r>
              <w:rPr>
                <w:rFonts w:hint="eastAsia" w:ascii="宋体" w:hAnsi="宋体"/>
                <w:kern w:val="0"/>
                <w:sz w:val="18"/>
                <w:szCs w:val="18"/>
                <w:lang w:val="en-US"/>
              </w:rPr>
              <w:t>）</w:t>
            </w:r>
            <w:r>
              <w:rPr>
                <w:rFonts w:hint="eastAsia" w:ascii="宋体" w:hAnsi="宋体"/>
                <w:kern w:val="0"/>
                <w:sz w:val="18"/>
                <w:szCs w:val="18"/>
                <w:lang w:val="en-US"/>
              </w:rPr>
              <w:br w:type="textWrapping"/>
            </w:r>
            <w:r>
              <w:rPr>
                <w:rFonts w:eastAsia="等线"/>
                <w:kern w:val="0"/>
                <w:sz w:val="18"/>
                <w:szCs w:val="18"/>
                <w:lang w:val="en-US"/>
              </w:rPr>
              <w:t>Utiliser des bancs en maçonnerie de briques (50 cm de large et 45 cm de haut).</w:t>
            </w:r>
          </w:p>
        </w:tc>
        <w:tc>
          <w:tcPr>
            <w:tcW w:w="908" w:type="dxa"/>
            <w:tcBorders>
              <w:top w:val="nil"/>
              <w:left w:val="nil"/>
              <w:bottom w:val="single" w:color="auto" w:sz="4" w:space="0"/>
              <w:right w:val="single" w:color="auto" w:sz="4" w:space="0"/>
            </w:tcBorders>
            <w:vAlign w:val="center"/>
          </w:tcPr>
          <w:p w14:paraId="7702DE99">
            <w:pPr>
              <w:widowControl/>
              <w:jc w:val="center"/>
            </w:pPr>
            <w:r>
              <w:rPr>
                <w:rFonts w:eastAsia="等线"/>
                <w:kern w:val="0"/>
                <w:sz w:val="18"/>
                <w:szCs w:val="18"/>
                <w:lang w:val="en-US"/>
              </w:rPr>
              <w:t>30</w:t>
            </w:r>
          </w:p>
        </w:tc>
        <w:tc>
          <w:tcPr>
            <w:tcW w:w="646" w:type="dxa"/>
            <w:tcBorders>
              <w:top w:val="nil"/>
              <w:left w:val="nil"/>
              <w:bottom w:val="single" w:color="auto" w:sz="4" w:space="0"/>
              <w:right w:val="single" w:color="auto" w:sz="4" w:space="0"/>
            </w:tcBorders>
            <w:vAlign w:val="center"/>
          </w:tcPr>
          <w:p w14:paraId="44227D61">
            <w:pPr>
              <w:widowControl/>
              <w:jc w:val="center"/>
              <w:rPr>
                <w:rFonts w:eastAsia="等线"/>
                <w:kern w:val="0"/>
                <w:sz w:val="18"/>
                <w:szCs w:val="18"/>
                <w:lang w:val="en-US"/>
              </w:rPr>
            </w:pPr>
            <w:r>
              <w:rPr>
                <w:rFonts w:eastAsia="等线"/>
                <w:kern w:val="0"/>
                <w:sz w:val="18"/>
                <w:szCs w:val="18"/>
                <w:lang w:val="en-US"/>
              </w:rPr>
              <w:t>m</w:t>
            </w:r>
          </w:p>
        </w:tc>
        <w:tc>
          <w:tcPr>
            <w:tcW w:w="620" w:type="dxa"/>
            <w:tcBorders>
              <w:top w:val="nil"/>
              <w:left w:val="nil"/>
              <w:bottom w:val="single" w:color="auto" w:sz="4" w:space="0"/>
              <w:right w:val="single" w:color="auto" w:sz="4" w:space="0"/>
            </w:tcBorders>
            <w:vAlign w:val="bottom"/>
          </w:tcPr>
          <w:p w14:paraId="7A30DE5B">
            <w:pPr>
              <w:widowControl/>
              <w:jc w:val="left"/>
            </w:pPr>
          </w:p>
        </w:tc>
        <w:tc>
          <w:tcPr>
            <w:tcW w:w="945" w:type="dxa"/>
            <w:tcBorders>
              <w:top w:val="nil"/>
              <w:left w:val="nil"/>
              <w:bottom w:val="single" w:color="auto" w:sz="4" w:space="0"/>
              <w:right w:val="single" w:color="auto" w:sz="4" w:space="0"/>
            </w:tcBorders>
            <w:vAlign w:val="bottom"/>
          </w:tcPr>
          <w:p w14:paraId="3FCF4D62">
            <w:pPr>
              <w:widowControl/>
              <w:jc w:val="left"/>
              <w:rPr>
                <w:rFonts w:eastAsia="等线"/>
                <w:kern w:val="0"/>
                <w:sz w:val="18"/>
                <w:szCs w:val="18"/>
                <w:lang w:val="en-US"/>
              </w:rPr>
            </w:pPr>
          </w:p>
        </w:tc>
        <w:tc>
          <w:tcPr>
            <w:tcW w:w="1481" w:type="dxa"/>
            <w:tcBorders>
              <w:top w:val="nil"/>
              <w:left w:val="nil"/>
              <w:bottom w:val="single" w:color="auto" w:sz="4" w:space="0"/>
              <w:right w:val="single" w:color="auto" w:sz="4" w:space="0"/>
            </w:tcBorders>
            <w:noWrap/>
            <w:vAlign w:val="bottom"/>
          </w:tcPr>
          <w:p w14:paraId="0ED87A0D">
            <w:pPr>
              <w:widowControl/>
              <w:jc w:val="left"/>
              <w:rPr>
                <w:rFonts w:eastAsia="等线"/>
                <w:kern w:val="0"/>
                <w:sz w:val="18"/>
                <w:szCs w:val="18"/>
                <w:lang w:val="en-US"/>
              </w:rPr>
            </w:pPr>
            <w:r>
              <w:rPr>
                <w:rFonts w:eastAsia="等线"/>
                <w:kern w:val="0"/>
                <w:sz w:val="18"/>
                <w:szCs w:val="18"/>
                <w:lang w:val="en-US"/>
              </w:rPr>
              <w:t xml:space="preserve">          -   </w:t>
            </w:r>
          </w:p>
        </w:tc>
      </w:tr>
      <w:tr w14:paraId="0C9AE9B7">
        <w:tblPrEx>
          <w:tblCellMar>
            <w:top w:w="0" w:type="dxa"/>
            <w:left w:w="108" w:type="dxa"/>
            <w:bottom w:w="0" w:type="dxa"/>
            <w:right w:w="108" w:type="dxa"/>
          </w:tblCellMar>
        </w:tblPrEx>
        <w:trPr>
          <w:gridAfter w:val="1"/>
          <w:wAfter w:w="6" w:type="pct"/>
          <w:trHeight w:val="439" w:hRule="atLeast"/>
        </w:trPr>
        <w:tc>
          <w:tcPr>
            <w:tcW w:w="597" w:type="dxa"/>
            <w:vMerge w:val="continue"/>
            <w:tcBorders>
              <w:top w:val="nil"/>
              <w:left w:val="single" w:color="auto" w:sz="4" w:space="0"/>
              <w:bottom w:val="single" w:color="auto" w:sz="4" w:space="0"/>
              <w:right w:val="single" w:color="auto" w:sz="4" w:space="0"/>
            </w:tcBorders>
            <w:vAlign w:val="center"/>
          </w:tcPr>
          <w:p w14:paraId="1EA110D8">
            <w:pPr>
              <w:widowControl/>
              <w:jc w:val="left"/>
              <w:rPr>
                <w:rFonts w:eastAsia="等线"/>
                <w:kern w:val="0"/>
                <w:sz w:val="18"/>
                <w:szCs w:val="18"/>
                <w:lang w:val="en-US"/>
              </w:rPr>
            </w:pPr>
          </w:p>
        </w:tc>
        <w:tc>
          <w:tcPr>
            <w:tcW w:w="1278" w:type="dxa"/>
            <w:vMerge w:val="continue"/>
            <w:tcBorders>
              <w:top w:val="nil"/>
              <w:left w:val="single" w:color="auto" w:sz="4" w:space="0"/>
              <w:bottom w:val="single" w:color="000000" w:sz="4" w:space="0"/>
              <w:right w:val="single" w:color="auto" w:sz="4" w:space="0"/>
            </w:tcBorders>
            <w:vAlign w:val="center"/>
          </w:tcPr>
          <w:p w14:paraId="240FF919">
            <w:pPr>
              <w:widowControl/>
              <w:jc w:val="left"/>
              <w:rPr>
                <w:rFonts w:eastAsia="等线"/>
                <w:kern w:val="0"/>
                <w:sz w:val="18"/>
                <w:szCs w:val="18"/>
                <w:lang w:val="en-US"/>
              </w:rPr>
            </w:pPr>
          </w:p>
        </w:tc>
        <w:tc>
          <w:tcPr>
            <w:tcW w:w="3083" w:type="dxa"/>
            <w:tcBorders>
              <w:top w:val="nil"/>
              <w:left w:val="nil"/>
              <w:bottom w:val="single" w:color="auto" w:sz="4" w:space="0"/>
              <w:right w:val="single" w:color="auto" w:sz="4" w:space="0"/>
            </w:tcBorders>
            <w:vAlign w:val="center"/>
          </w:tcPr>
          <w:p w14:paraId="13D40AA1">
            <w:pPr>
              <w:widowControl/>
              <w:rPr>
                <w:rFonts w:eastAsia="等线"/>
                <w:kern w:val="0"/>
                <w:sz w:val="18"/>
                <w:szCs w:val="18"/>
              </w:rPr>
            </w:pPr>
            <w:r>
              <w:rPr>
                <w:rFonts w:hint="eastAsia" w:ascii="宋体" w:hAnsi="宋体"/>
                <w:kern w:val="0"/>
                <w:sz w:val="18"/>
                <w:szCs w:val="18"/>
                <w:lang w:val="en-US"/>
              </w:rPr>
              <w:t>安装钢制球门，长</w:t>
            </w:r>
            <w:r>
              <w:rPr>
                <w:rFonts w:eastAsia="等线"/>
                <w:kern w:val="0"/>
                <w:sz w:val="18"/>
                <w:szCs w:val="18"/>
                <w:lang w:val="en-US"/>
              </w:rPr>
              <w:t>7.3m×</w:t>
            </w:r>
            <w:r>
              <w:rPr>
                <w:rFonts w:hint="eastAsia" w:ascii="宋体" w:hAnsi="宋体"/>
                <w:kern w:val="0"/>
                <w:sz w:val="18"/>
                <w:szCs w:val="18"/>
                <w:lang w:val="en-US"/>
              </w:rPr>
              <w:t>高</w:t>
            </w:r>
            <w:r>
              <w:rPr>
                <w:rFonts w:eastAsia="等线"/>
                <w:kern w:val="0"/>
                <w:sz w:val="18"/>
                <w:szCs w:val="18"/>
                <w:lang w:val="en-US"/>
              </w:rPr>
              <w:t>2.4m</w:t>
            </w:r>
            <w:r>
              <w:rPr>
                <w:rFonts w:hint="eastAsia" w:ascii="宋体" w:hAnsi="宋体"/>
                <w:kern w:val="0"/>
                <w:sz w:val="18"/>
                <w:szCs w:val="18"/>
                <w:lang w:val="en-US"/>
              </w:rPr>
              <w:t>，配备球网</w:t>
            </w:r>
            <w:r>
              <w:rPr>
                <w:rFonts w:eastAsia="等线"/>
                <w:kern w:val="0"/>
                <w:sz w:val="18"/>
                <w:szCs w:val="18"/>
                <w:lang w:val="en-US"/>
              </w:rPr>
              <w:br w:type="textWrapping"/>
            </w:r>
            <w:r>
              <w:rPr>
                <w:rFonts w:eastAsia="等线"/>
                <w:kern w:val="0"/>
                <w:sz w:val="18"/>
                <w:szCs w:val="18"/>
                <w:lang w:val="en-US"/>
              </w:rPr>
              <w:t>Installation d’un but en acier, longueur 7,3m, hauteur 2,4m, avec un filet</w:t>
            </w:r>
          </w:p>
        </w:tc>
        <w:tc>
          <w:tcPr>
            <w:tcW w:w="908" w:type="dxa"/>
            <w:tcBorders>
              <w:top w:val="nil"/>
              <w:left w:val="nil"/>
              <w:bottom w:val="single" w:color="auto" w:sz="4" w:space="0"/>
              <w:right w:val="single" w:color="auto" w:sz="4" w:space="0"/>
            </w:tcBorders>
            <w:vAlign w:val="center"/>
          </w:tcPr>
          <w:p w14:paraId="48A86E19">
            <w:pPr>
              <w:widowControl/>
              <w:jc w:val="center"/>
            </w:pPr>
            <w:r>
              <w:rPr>
                <w:rFonts w:eastAsia="等线"/>
                <w:kern w:val="0"/>
                <w:sz w:val="18"/>
                <w:szCs w:val="18"/>
                <w:lang w:val="en-US"/>
              </w:rPr>
              <w:t>2</w:t>
            </w:r>
          </w:p>
        </w:tc>
        <w:tc>
          <w:tcPr>
            <w:tcW w:w="646" w:type="dxa"/>
            <w:tcBorders>
              <w:top w:val="nil"/>
              <w:left w:val="nil"/>
              <w:bottom w:val="single" w:color="auto" w:sz="4" w:space="0"/>
              <w:right w:val="single" w:color="auto" w:sz="4" w:space="0"/>
            </w:tcBorders>
            <w:vAlign w:val="center"/>
          </w:tcPr>
          <w:p w14:paraId="009483FC">
            <w:pPr>
              <w:widowControl/>
              <w:jc w:val="center"/>
              <w:rPr>
                <w:rFonts w:eastAsia="等线"/>
                <w:kern w:val="0"/>
                <w:sz w:val="18"/>
                <w:szCs w:val="18"/>
              </w:rPr>
            </w:pPr>
            <w:r>
              <w:rPr>
                <w:rFonts w:eastAsia="等线"/>
                <w:kern w:val="0"/>
                <w:sz w:val="18"/>
                <w:szCs w:val="18"/>
                <w:lang w:val="en-US"/>
              </w:rPr>
              <w:t>uinté</w:t>
            </w:r>
          </w:p>
        </w:tc>
        <w:tc>
          <w:tcPr>
            <w:tcW w:w="620" w:type="dxa"/>
            <w:tcBorders>
              <w:top w:val="nil"/>
              <w:left w:val="nil"/>
              <w:bottom w:val="single" w:color="auto" w:sz="4" w:space="0"/>
              <w:right w:val="single" w:color="auto" w:sz="4" w:space="0"/>
            </w:tcBorders>
            <w:vAlign w:val="bottom"/>
          </w:tcPr>
          <w:p w14:paraId="5C981849">
            <w:pPr>
              <w:widowControl/>
              <w:jc w:val="left"/>
            </w:pPr>
          </w:p>
        </w:tc>
        <w:tc>
          <w:tcPr>
            <w:tcW w:w="945" w:type="dxa"/>
            <w:tcBorders>
              <w:top w:val="nil"/>
              <w:left w:val="nil"/>
              <w:bottom w:val="single" w:color="auto" w:sz="4" w:space="0"/>
              <w:right w:val="single" w:color="auto" w:sz="4" w:space="0"/>
            </w:tcBorders>
            <w:vAlign w:val="bottom"/>
          </w:tcPr>
          <w:p w14:paraId="51E89C22">
            <w:pPr>
              <w:widowControl/>
              <w:jc w:val="left"/>
              <w:rPr>
                <w:rFonts w:eastAsia="等线"/>
                <w:kern w:val="0"/>
                <w:sz w:val="18"/>
                <w:szCs w:val="18"/>
              </w:rPr>
            </w:pPr>
          </w:p>
        </w:tc>
        <w:tc>
          <w:tcPr>
            <w:tcW w:w="1481" w:type="dxa"/>
            <w:tcBorders>
              <w:top w:val="nil"/>
              <w:left w:val="nil"/>
              <w:bottom w:val="single" w:color="auto" w:sz="4" w:space="0"/>
              <w:right w:val="single" w:color="auto" w:sz="4" w:space="0"/>
            </w:tcBorders>
            <w:noWrap/>
            <w:vAlign w:val="bottom"/>
          </w:tcPr>
          <w:p w14:paraId="63BAB411">
            <w:pPr>
              <w:widowControl/>
              <w:jc w:val="left"/>
              <w:rPr>
                <w:rFonts w:eastAsia="等线"/>
                <w:kern w:val="0"/>
                <w:sz w:val="18"/>
                <w:szCs w:val="18"/>
                <w:lang w:val="en-US"/>
              </w:rPr>
            </w:pPr>
            <w:r>
              <w:rPr>
                <w:rFonts w:eastAsia="等线"/>
                <w:kern w:val="0"/>
                <w:sz w:val="18"/>
                <w:szCs w:val="18"/>
                <w:lang w:val="en-US"/>
              </w:rPr>
              <w:t xml:space="preserve">          -   </w:t>
            </w:r>
          </w:p>
        </w:tc>
      </w:tr>
      <w:tr w14:paraId="0A1A0427">
        <w:tblPrEx>
          <w:tblCellMar>
            <w:top w:w="0" w:type="dxa"/>
            <w:left w:w="108" w:type="dxa"/>
            <w:bottom w:w="0" w:type="dxa"/>
            <w:right w:w="108" w:type="dxa"/>
          </w:tblCellMar>
        </w:tblPrEx>
        <w:trPr>
          <w:trHeight w:val="301" w:hRule="atLeast"/>
        </w:trPr>
        <w:tc>
          <w:tcPr>
            <w:tcW w:w="597" w:type="dxa"/>
            <w:vMerge w:val="continue"/>
            <w:tcBorders>
              <w:top w:val="single" w:color="auto" w:sz="4" w:space="0"/>
              <w:left w:val="single" w:color="auto" w:sz="4" w:space="0"/>
              <w:bottom w:val="single" w:color="auto" w:sz="4" w:space="0"/>
              <w:right w:val="single" w:color="auto" w:sz="4" w:space="0"/>
            </w:tcBorders>
            <w:shd w:val="clear" w:color="000000" w:fill="BDD7EE"/>
            <w:vAlign w:val="center"/>
          </w:tcPr>
          <w:p w14:paraId="2E04B66C">
            <w:pPr>
              <w:widowControl/>
              <w:jc w:val="left"/>
              <w:rPr>
                <w:rFonts w:eastAsia="等线"/>
                <w:kern w:val="0"/>
                <w:sz w:val="18"/>
                <w:szCs w:val="18"/>
                <w:lang w:val="en-US"/>
              </w:rPr>
            </w:pPr>
          </w:p>
        </w:tc>
        <w:tc>
          <w:tcPr>
            <w:tcW w:w="1278" w:type="dxa"/>
            <w:vMerge w:val="continue"/>
            <w:tcBorders>
              <w:top w:val="single" w:color="auto" w:sz="4" w:space="0"/>
              <w:left w:val="single" w:color="auto" w:sz="4" w:space="0"/>
              <w:bottom w:val="single" w:color="auto" w:sz="4" w:space="0"/>
              <w:right w:val="single" w:color="auto" w:sz="4" w:space="0"/>
            </w:tcBorders>
            <w:shd w:val="clear" w:color="000000" w:fill="BDD7EE"/>
            <w:vAlign w:val="center"/>
          </w:tcPr>
          <w:p w14:paraId="05D715C5">
            <w:pPr>
              <w:widowControl/>
              <w:jc w:val="left"/>
            </w:pPr>
          </w:p>
        </w:tc>
        <w:tc>
          <w:tcPr>
            <w:tcW w:w="3083" w:type="dxa"/>
            <w:tcBorders>
              <w:top w:val="single" w:color="auto" w:sz="4" w:space="0"/>
              <w:left w:val="single" w:color="auto" w:sz="4" w:space="0"/>
              <w:bottom w:val="single" w:color="auto" w:sz="4" w:space="0"/>
              <w:right w:val="single" w:color="auto" w:sz="4" w:space="0"/>
            </w:tcBorders>
            <w:shd w:val="clear" w:color="000000" w:fill="BDD7EE"/>
            <w:vAlign w:val="center"/>
          </w:tcPr>
          <w:p w14:paraId="276AD373">
            <w:pPr>
              <w:widowControl/>
              <w:rPr>
                <w:rFonts w:eastAsia="等线"/>
                <w:kern w:val="0"/>
                <w:sz w:val="18"/>
                <w:szCs w:val="18"/>
                <w:lang w:val="en-US"/>
              </w:rPr>
            </w:pPr>
            <w:r>
              <w:rPr>
                <w:rFonts w:hint="eastAsia" w:eastAsia="等线"/>
                <w:kern w:val="0"/>
                <w:sz w:val="18"/>
                <w:szCs w:val="18"/>
                <w:lang w:val="en-US"/>
              </w:rPr>
              <w:t>其他工程费用及行政手续费（含社区协调费用）</w:t>
            </w:r>
          </w:p>
          <w:p w14:paraId="483EB50C">
            <w:pPr>
              <w:widowControl/>
            </w:pPr>
            <w:r>
              <w:rPr>
                <w:rFonts w:eastAsia="等线"/>
                <w:kern w:val="0"/>
                <w:sz w:val="18"/>
                <w:szCs w:val="18"/>
              </w:rPr>
              <w:t>Frais divers de travaux et frais administratifs</w:t>
            </w:r>
            <w:r>
              <w:rPr>
                <w:rFonts w:hint="eastAsia" w:eastAsia="等线"/>
                <w:kern w:val="0"/>
                <w:sz w:val="18"/>
                <w:szCs w:val="18"/>
              </w:rPr>
              <w:t xml:space="preserve"> </w:t>
            </w:r>
            <w:r>
              <w:rPr>
                <w:rFonts w:eastAsia="等线"/>
                <w:kern w:val="0"/>
                <w:sz w:val="18"/>
                <w:szCs w:val="18"/>
              </w:rPr>
              <w:t> (incluant les frais de coordination communautaire)</w:t>
            </w:r>
          </w:p>
        </w:tc>
        <w:tc>
          <w:tcPr>
            <w:tcW w:w="908" w:type="dxa"/>
            <w:tcBorders>
              <w:top w:val="single" w:color="auto" w:sz="4" w:space="0"/>
              <w:left w:val="single" w:color="auto" w:sz="4" w:space="0"/>
              <w:bottom w:val="single" w:color="auto" w:sz="4" w:space="0"/>
              <w:right w:val="single" w:color="auto" w:sz="4" w:space="0"/>
            </w:tcBorders>
            <w:shd w:val="clear" w:color="000000" w:fill="BDD7EE"/>
            <w:vAlign w:val="center"/>
          </w:tcPr>
          <w:p w14:paraId="28B47822">
            <w:pPr>
              <w:widowControl/>
              <w:jc w:val="center"/>
            </w:pPr>
            <w:r>
              <w:rPr>
                <w:rFonts w:hint="eastAsia" w:eastAsia="等线"/>
                <w:kern w:val="0"/>
                <w:sz w:val="18"/>
                <w:szCs w:val="18"/>
              </w:rPr>
              <w:t>1</w:t>
            </w:r>
          </w:p>
        </w:tc>
        <w:tc>
          <w:tcPr>
            <w:tcW w:w="646" w:type="dxa"/>
            <w:tcBorders>
              <w:top w:val="single" w:color="auto" w:sz="4" w:space="0"/>
              <w:left w:val="single" w:color="auto" w:sz="4" w:space="0"/>
              <w:bottom w:val="single" w:color="auto" w:sz="4" w:space="0"/>
              <w:right w:val="single" w:color="auto" w:sz="4" w:space="0"/>
            </w:tcBorders>
            <w:shd w:val="clear" w:color="000000" w:fill="BDD7EE"/>
            <w:vAlign w:val="center"/>
          </w:tcPr>
          <w:p w14:paraId="2E7183F9">
            <w:pPr>
              <w:widowControl/>
              <w:jc w:val="center"/>
            </w:pPr>
            <w:r>
              <w:rPr>
                <w:rFonts w:eastAsia="等线"/>
                <w:kern w:val="0"/>
                <w:sz w:val="18"/>
                <w:szCs w:val="18"/>
                <w:lang w:val="en-US"/>
              </w:rPr>
              <w:t>uinté</w:t>
            </w:r>
            <w:r>
              <w:rPr>
                <w:rFonts w:eastAsia="等线"/>
                <w:kern w:val="0"/>
                <w:sz w:val="18"/>
                <w:szCs w:val="18"/>
              </w:rPr>
              <w:t xml:space="preserve"> </w:t>
            </w:r>
          </w:p>
        </w:tc>
        <w:tc>
          <w:tcPr>
            <w:tcW w:w="620" w:type="dxa"/>
            <w:tcBorders>
              <w:top w:val="single" w:color="auto" w:sz="4" w:space="0"/>
              <w:left w:val="single" w:color="auto" w:sz="4" w:space="0"/>
              <w:bottom w:val="single" w:color="auto" w:sz="4" w:space="0"/>
              <w:right w:val="single" w:color="auto" w:sz="4" w:space="0"/>
            </w:tcBorders>
            <w:shd w:val="clear" w:color="000000" w:fill="BDD7EE"/>
            <w:vAlign w:val="bottom"/>
          </w:tcPr>
          <w:p w14:paraId="53E0B635">
            <w:pPr>
              <w:widowControl/>
              <w:jc w:val="left"/>
            </w:pPr>
          </w:p>
        </w:tc>
        <w:tc>
          <w:tcPr>
            <w:tcW w:w="945" w:type="dxa"/>
            <w:tcBorders>
              <w:top w:val="nil"/>
              <w:left w:val="nil"/>
              <w:bottom w:val="single" w:color="auto" w:sz="4" w:space="0"/>
              <w:right w:val="single" w:color="auto" w:sz="4" w:space="0"/>
            </w:tcBorders>
            <w:shd w:val="clear" w:color="000000" w:fill="BDD7EE"/>
            <w:noWrap/>
            <w:vAlign w:val="bottom"/>
          </w:tcPr>
          <w:p w14:paraId="6EBAE56B">
            <w:pPr>
              <w:widowControl/>
              <w:jc w:val="left"/>
              <w:rPr>
                <w:rFonts w:eastAsia="等线"/>
                <w:kern w:val="0"/>
                <w:sz w:val="18"/>
                <w:szCs w:val="18"/>
                <w:lang w:val="en-US"/>
              </w:rPr>
            </w:pPr>
          </w:p>
        </w:tc>
        <w:tc>
          <w:tcPr>
            <w:tcW w:w="1494" w:type="dxa"/>
            <w:gridSpan w:val="2"/>
            <w:tcBorders>
              <w:top w:val="nil"/>
              <w:left w:val="nil"/>
              <w:bottom w:val="single" w:color="auto" w:sz="4" w:space="0"/>
              <w:right w:val="single" w:color="auto" w:sz="4" w:space="0"/>
            </w:tcBorders>
            <w:shd w:val="clear" w:color="000000" w:fill="BDD7EE"/>
            <w:noWrap/>
            <w:vAlign w:val="bottom"/>
          </w:tcPr>
          <w:p w14:paraId="130035BB">
            <w:pPr>
              <w:widowControl/>
              <w:jc w:val="left"/>
              <w:rPr>
                <w:rFonts w:eastAsia="等线"/>
                <w:kern w:val="0"/>
                <w:sz w:val="18"/>
                <w:szCs w:val="18"/>
                <w:lang w:val="en-US"/>
              </w:rPr>
            </w:pPr>
            <w:r>
              <w:rPr>
                <w:rFonts w:eastAsia="等线"/>
                <w:kern w:val="0"/>
                <w:sz w:val="18"/>
                <w:szCs w:val="18"/>
              </w:rPr>
              <w:t xml:space="preserve">          </w:t>
            </w:r>
            <w:r>
              <w:rPr>
                <w:rFonts w:eastAsia="等线"/>
                <w:kern w:val="0"/>
                <w:sz w:val="18"/>
                <w:szCs w:val="18"/>
                <w:lang w:val="en-US"/>
              </w:rPr>
              <w:t xml:space="preserve">-   </w:t>
            </w:r>
          </w:p>
        </w:tc>
      </w:tr>
      <w:tr w14:paraId="519CE203">
        <w:tblPrEx>
          <w:tblCellMar>
            <w:top w:w="0" w:type="dxa"/>
            <w:left w:w="108" w:type="dxa"/>
            <w:bottom w:w="0" w:type="dxa"/>
            <w:right w:w="108" w:type="dxa"/>
          </w:tblCellMar>
        </w:tblPrEx>
        <w:trPr>
          <w:trHeight w:val="425" w:hRule="atLeast"/>
        </w:trPr>
        <w:tc>
          <w:tcPr>
            <w:tcW w:w="6512" w:type="dxa"/>
            <w:gridSpan w:val="5"/>
            <w:tcBorders>
              <w:top w:val="single" w:color="auto" w:sz="4" w:space="0"/>
              <w:left w:val="single" w:color="auto" w:sz="4" w:space="0"/>
              <w:bottom w:val="single" w:color="auto" w:sz="4" w:space="0"/>
              <w:right w:val="single" w:color="auto" w:sz="4" w:space="0"/>
            </w:tcBorders>
            <w:shd w:val="clear" w:color="000000" w:fill="C6E0B4"/>
            <w:noWrap/>
            <w:vAlign w:val="center"/>
          </w:tcPr>
          <w:p w14:paraId="231E0F02">
            <w:pPr>
              <w:widowControl/>
              <w:jc w:val="center"/>
              <w:rPr>
                <w:rFonts w:eastAsia="等线"/>
                <w:kern w:val="0"/>
                <w:sz w:val="18"/>
                <w:szCs w:val="18"/>
                <w:lang w:val="en-US"/>
              </w:rPr>
            </w:pPr>
            <w:r>
              <w:rPr>
                <w:rFonts w:hint="eastAsia" w:ascii="宋体" w:hAnsi="宋体"/>
                <w:kern w:val="0"/>
                <w:sz w:val="18"/>
                <w:szCs w:val="18"/>
                <w:lang w:val="en-US"/>
              </w:rPr>
              <w:t xml:space="preserve">小计(不含税价) </w:t>
            </w:r>
            <w:r>
              <w:rPr>
                <w:rFonts w:eastAsia="等线"/>
                <w:kern w:val="0"/>
                <w:sz w:val="18"/>
                <w:szCs w:val="18"/>
                <w:lang w:val="en-US"/>
              </w:rPr>
              <w:t>Sous-total</w:t>
            </w:r>
            <w:r>
              <w:rPr>
                <w:rFonts w:hint="eastAsia" w:eastAsia="等线"/>
                <w:kern w:val="0"/>
                <w:sz w:val="18"/>
                <w:szCs w:val="18"/>
                <w:lang w:val="en-US"/>
              </w:rPr>
              <w:t>(</w:t>
            </w:r>
            <w:r>
              <w:rPr>
                <w:rFonts w:ascii="Segoe UI" w:hAnsi="Segoe UI" w:eastAsia="Segoe UI" w:cs="Segoe UI"/>
                <w:sz w:val="16"/>
                <w:szCs w:val="16"/>
                <w:shd w:val="clear" w:color="auto" w:fill="FFFFFF"/>
              </w:rPr>
              <w:t>Prix hors taxes</w:t>
            </w:r>
            <w:r>
              <w:rPr>
                <w:rFonts w:hint="eastAsia" w:eastAsia="等线"/>
                <w:kern w:val="0"/>
                <w:sz w:val="18"/>
                <w:szCs w:val="18"/>
                <w:lang w:val="en-US"/>
              </w:rPr>
              <w:t>)</w:t>
            </w:r>
          </w:p>
        </w:tc>
        <w:tc>
          <w:tcPr>
            <w:tcW w:w="3059" w:type="dxa"/>
            <w:gridSpan w:val="4"/>
            <w:tcBorders>
              <w:top w:val="single" w:color="auto" w:sz="4" w:space="0"/>
              <w:left w:val="single" w:color="auto" w:sz="4" w:space="0"/>
              <w:bottom w:val="single" w:color="auto" w:sz="4" w:space="0"/>
              <w:right w:val="single" w:color="auto" w:sz="4" w:space="0"/>
            </w:tcBorders>
            <w:shd w:val="clear" w:color="000000" w:fill="C6E0B4"/>
            <w:noWrap/>
            <w:vAlign w:val="bottom"/>
          </w:tcPr>
          <w:p w14:paraId="5332741A">
            <w:pPr>
              <w:widowControl/>
              <w:jc w:val="left"/>
              <w:rPr>
                <w:rFonts w:eastAsia="等线"/>
                <w:kern w:val="0"/>
                <w:sz w:val="18"/>
                <w:szCs w:val="18"/>
                <w:lang w:val="en-US"/>
              </w:rPr>
            </w:pPr>
            <w:r>
              <w:rPr>
                <w:rFonts w:eastAsia="等线"/>
                <w:kern w:val="0"/>
                <w:sz w:val="18"/>
                <w:szCs w:val="18"/>
                <w:lang w:val="en-US"/>
              </w:rPr>
              <w:t xml:space="preserve">          -   </w:t>
            </w:r>
          </w:p>
        </w:tc>
      </w:tr>
    </w:tbl>
    <w:p w14:paraId="0A975B65">
      <w:pPr>
        <w:keepNext/>
        <w:widowControl/>
        <w:autoSpaceDE w:val="0"/>
        <w:autoSpaceDN w:val="0"/>
        <w:spacing w:line="360" w:lineRule="auto"/>
        <w:jc w:val="left"/>
        <w:outlineLvl w:val="0"/>
        <w:rPr>
          <w:b/>
          <w:kern w:val="0"/>
          <w:sz w:val="24"/>
          <w:szCs w:val="24"/>
        </w:rPr>
      </w:pPr>
      <w:r>
        <w:rPr>
          <w:rFonts w:hint="eastAsia"/>
          <w:b/>
          <w:kern w:val="0"/>
          <w:sz w:val="24"/>
          <w:szCs w:val="24"/>
        </w:rPr>
        <w:t>：</w:t>
      </w:r>
    </w:p>
    <w:p w14:paraId="6B99DE0C">
      <w:pPr>
        <w:keepNext/>
        <w:widowControl/>
        <w:autoSpaceDE w:val="0"/>
        <w:autoSpaceDN w:val="0"/>
        <w:spacing w:line="360" w:lineRule="auto"/>
        <w:jc w:val="left"/>
        <w:outlineLvl w:val="0"/>
        <w:rPr>
          <w:b/>
          <w:kern w:val="0"/>
          <w:sz w:val="24"/>
          <w:szCs w:val="24"/>
        </w:rPr>
      </w:pPr>
    </w:p>
    <w:p w14:paraId="08E86095">
      <w:pPr>
        <w:rPr>
          <w:b/>
          <w:kern w:val="0"/>
          <w:sz w:val="24"/>
          <w:szCs w:val="24"/>
        </w:rPr>
      </w:pPr>
    </w:p>
    <w:p w14:paraId="55CDEF19">
      <w:pPr>
        <w:rPr>
          <w:b/>
          <w:kern w:val="0"/>
          <w:sz w:val="24"/>
          <w:szCs w:val="24"/>
        </w:rPr>
      </w:pPr>
    </w:p>
    <w:p w14:paraId="585A6A0C">
      <w:pPr>
        <w:rPr>
          <w:b/>
          <w:kern w:val="0"/>
          <w:sz w:val="24"/>
          <w:szCs w:val="24"/>
        </w:rPr>
      </w:pPr>
    </w:p>
    <w:p w14:paraId="1FA331A4">
      <w:pPr>
        <w:rPr>
          <w:b/>
          <w:kern w:val="0"/>
          <w:sz w:val="24"/>
          <w:szCs w:val="24"/>
        </w:rPr>
      </w:pPr>
    </w:p>
    <w:p w14:paraId="52B42DE7">
      <w:pPr>
        <w:rPr>
          <w:b/>
          <w:kern w:val="0"/>
          <w:sz w:val="24"/>
          <w:szCs w:val="24"/>
        </w:rPr>
      </w:pPr>
    </w:p>
    <w:p w14:paraId="6551E223">
      <w:pPr>
        <w:rPr>
          <w:b/>
          <w:kern w:val="0"/>
          <w:sz w:val="24"/>
          <w:szCs w:val="24"/>
        </w:rPr>
      </w:pPr>
    </w:p>
    <w:p w14:paraId="115D5626">
      <w:pPr>
        <w:rPr>
          <w:b/>
          <w:kern w:val="0"/>
          <w:sz w:val="24"/>
          <w:szCs w:val="24"/>
        </w:rPr>
      </w:pPr>
    </w:p>
    <w:p w14:paraId="44BEA5D4">
      <w:pPr>
        <w:rPr>
          <w:b/>
          <w:kern w:val="0"/>
          <w:sz w:val="24"/>
          <w:szCs w:val="24"/>
        </w:rPr>
      </w:pPr>
    </w:p>
    <w:p w14:paraId="60EC8E6E">
      <w:pPr>
        <w:rPr>
          <w:b/>
          <w:kern w:val="0"/>
          <w:sz w:val="24"/>
          <w:szCs w:val="24"/>
        </w:rPr>
      </w:pPr>
    </w:p>
    <w:p w14:paraId="6E20F8AF">
      <w:pPr>
        <w:rPr>
          <w:b/>
          <w:kern w:val="0"/>
          <w:sz w:val="24"/>
          <w:szCs w:val="24"/>
        </w:rPr>
      </w:pPr>
    </w:p>
    <w:p w14:paraId="01F152E8">
      <w:pPr>
        <w:rPr>
          <w:b/>
          <w:kern w:val="0"/>
          <w:sz w:val="24"/>
          <w:szCs w:val="24"/>
        </w:rPr>
      </w:pPr>
    </w:p>
    <w:p w14:paraId="22062F2D">
      <w:pPr>
        <w:rPr>
          <w:b/>
          <w:kern w:val="0"/>
          <w:sz w:val="24"/>
          <w:szCs w:val="24"/>
        </w:rPr>
      </w:pPr>
    </w:p>
    <w:p w14:paraId="624CA139">
      <w:pPr>
        <w:rPr>
          <w:b/>
          <w:kern w:val="0"/>
          <w:sz w:val="24"/>
          <w:szCs w:val="24"/>
        </w:rPr>
      </w:pPr>
    </w:p>
    <w:p w14:paraId="30D1EA50">
      <w:pPr>
        <w:rPr>
          <w:b/>
          <w:kern w:val="0"/>
          <w:sz w:val="24"/>
          <w:szCs w:val="24"/>
        </w:rPr>
      </w:pPr>
    </w:p>
    <w:p w14:paraId="0016DA68">
      <w:pPr>
        <w:rPr>
          <w:b/>
          <w:kern w:val="0"/>
          <w:sz w:val="24"/>
          <w:szCs w:val="24"/>
        </w:rPr>
      </w:pPr>
    </w:p>
    <w:p w14:paraId="07C56502">
      <w:pPr>
        <w:rPr>
          <w:b/>
          <w:kern w:val="0"/>
          <w:sz w:val="24"/>
          <w:szCs w:val="24"/>
        </w:rPr>
      </w:pPr>
    </w:p>
    <w:p w14:paraId="3AC0AB0F">
      <w:pPr>
        <w:rPr>
          <w:b/>
          <w:kern w:val="0"/>
          <w:sz w:val="24"/>
          <w:szCs w:val="24"/>
        </w:rPr>
      </w:pPr>
    </w:p>
    <w:p w14:paraId="0C6F41D4">
      <w:pPr>
        <w:rPr>
          <w:b/>
          <w:kern w:val="0"/>
          <w:sz w:val="24"/>
          <w:szCs w:val="24"/>
        </w:rPr>
      </w:pPr>
    </w:p>
    <w:p w14:paraId="233D0815">
      <w:pPr>
        <w:rPr>
          <w:b/>
          <w:kern w:val="0"/>
          <w:sz w:val="24"/>
          <w:szCs w:val="24"/>
        </w:rPr>
      </w:pPr>
    </w:p>
    <w:p w14:paraId="776BCB97">
      <w:pPr>
        <w:rPr>
          <w:b/>
          <w:kern w:val="0"/>
          <w:sz w:val="24"/>
          <w:szCs w:val="24"/>
        </w:rPr>
      </w:pPr>
    </w:p>
    <w:p w14:paraId="7D6E685F">
      <w:pPr>
        <w:rPr>
          <w:b/>
          <w:kern w:val="0"/>
          <w:sz w:val="24"/>
          <w:szCs w:val="24"/>
        </w:rPr>
      </w:pPr>
    </w:p>
    <w:p w14:paraId="0FA702EB">
      <w:pPr>
        <w:rPr>
          <w:b/>
          <w:kern w:val="0"/>
          <w:sz w:val="24"/>
          <w:szCs w:val="24"/>
        </w:rPr>
      </w:pPr>
    </w:p>
    <w:p w14:paraId="1527B556">
      <w:pPr>
        <w:rPr>
          <w:b/>
          <w:kern w:val="0"/>
          <w:sz w:val="24"/>
          <w:szCs w:val="24"/>
        </w:rPr>
      </w:pPr>
    </w:p>
    <w:p w14:paraId="2F644E0E">
      <w:pPr>
        <w:rPr>
          <w:b/>
          <w:kern w:val="0"/>
          <w:sz w:val="24"/>
          <w:szCs w:val="24"/>
        </w:rPr>
      </w:pPr>
    </w:p>
    <w:p w14:paraId="36133033">
      <w:pPr>
        <w:rPr>
          <w:b/>
          <w:kern w:val="0"/>
          <w:sz w:val="24"/>
          <w:szCs w:val="24"/>
        </w:rPr>
      </w:pPr>
    </w:p>
    <w:p w14:paraId="192CE873">
      <w:pPr>
        <w:rPr>
          <w:b/>
          <w:kern w:val="0"/>
          <w:sz w:val="24"/>
          <w:szCs w:val="24"/>
        </w:rPr>
      </w:pPr>
    </w:p>
    <w:p w14:paraId="6ADE4809">
      <w:pPr>
        <w:rPr>
          <w:b/>
          <w:kern w:val="0"/>
          <w:sz w:val="24"/>
          <w:szCs w:val="24"/>
        </w:rPr>
      </w:pPr>
    </w:p>
    <w:p w14:paraId="6C7E6D50">
      <w:pPr>
        <w:rPr>
          <w:b/>
          <w:kern w:val="0"/>
          <w:sz w:val="24"/>
          <w:szCs w:val="24"/>
        </w:rPr>
      </w:pPr>
    </w:p>
    <w:p w14:paraId="49349391">
      <w:pPr>
        <w:rPr>
          <w:b/>
          <w:kern w:val="0"/>
          <w:sz w:val="24"/>
          <w:szCs w:val="24"/>
        </w:rPr>
      </w:pPr>
    </w:p>
    <w:p w14:paraId="010E051C">
      <w:pPr>
        <w:rPr>
          <w:b/>
          <w:kern w:val="0"/>
          <w:sz w:val="24"/>
          <w:szCs w:val="24"/>
        </w:rPr>
      </w:pPr>
    </w:p>
    <w:p w14:paraId="11E6B813">
      <w:pPr>
        <w:rPr>
          <w:b/>
          <w:kern w:val="0"/>
          <w:sz w:val="24"/>
          <w:szCs w:val="24"/>
        </w:rPr>
      </w:pPr>
    </w:p>
    <w:p w14:paraId="5B306D85">
      <w:pPr>
        <w:rPr>
          <w:b/>
          <w:kern w:val="0"/>
          <w:sz w:val="24"/>
          <w:szCs w:val="24"/>
        </w:rPr>
      </w:pPr>
    </w:p>
    <w:p w14:paraId="6BE66AA2">
      <w:pPr>
        <w:rPr>
          <w:b/>
          <w:kern w:val="0"/>
          <w:sz w:val="24"/>
          <w:szCs w:val="24"/>
        </w:rPr>
      </w:pPr>
    </w:p>
    <w:p w14:paraId="0195ACCF">
      <w:pPr>
        <w:rPr>
          <w:b/>
          <w:kern w:val="0"/>
          <w:sz w:val="24"/>
          <w:szCs w:val="24"/>
        </w:rPr>
      </w:pPr>
    </w:p>
    <w:p w14:paraId="661340A9">
      <w:pPr>
        <w:rPr>
          <w:b/>
          <w:kern w:val="0"/>
          <w:sz w:val="24"/>
          <w:szCs w:val="24"/>
        </w:rPr>
      </w:pPr>
    </w:p>
    <w:p w14:paraId="0BA48DD5">
      <w:pPr>
        <w:rPr>
          <w:b/>
          <w:kern w:val="0"/>
          <w:sz w:val="24"/>
          <w:szCs w:val="24"/>
        </w:rPr>
      </w:pPr>
    </w:p>
    <w:bookmarkEnd w:id="58"/>
    <w:p w14:paraId="42E1DBAD">
      <w:pPr>
        <w:pStyle w:val="2"/>
        <w:adjustRightInd w:val="0"/>
        <w:snapToGrid w:val="0"/>
        <w:spacing w:before="0" w:after="0" w:line="360" w:lineRule="auto"/>
        <w:jc w:val="center"/>
        <w:rPr>
          <w:kern w:val="0"/>
          <w:sz w:val="21"/>
          <w:szCs w:val="21"/>
        </w:rPr>
      </w:pPr>
      <w:r>
        <w:rPr>
          <w:rFonts w:hint="eastAsia"/>
          <w:sz w:val="28"/>
          <w:szCs w:val="28"/>
        </w:rPr>
        <w:t>第四章</w:t>
      </w:r>
      <w:r>
        <w:rPr>
          <w:sz w:val="28"/>
          <w:szCs w:val="28"/>
        </w:rPr>
        <w:t xml:space="preserve"> </w:t>
      </w:r>
      <w:r>
        <w:rPr>
          <w:rFonts w:hint="eastAsia"/>
          <w:sz w:val="28"/>
          <w:szCs w:val="28"/>
        </w:rPr>
        <w:t>响应文件格式</w:t>
      </w:r>
    </w:p>
    <w:p w14:paraId="6DB557A2">
      <w:pPr>
        <w:pStyle w:val="2"/>
        <w:widowControl/>
        <w:spacing w:before="0" w:after="0" w:line="360" w:lineRule="auto"/>
        <w:jc w:val="center"/>
        <w:rPr>
          <w:sz w:val="21"/>
          <w:szCs w:val="21"/>
        </w:rPr>
      </w:pPr>
      <w:r>
        <w:rPr>
          <w:sz w:val="21"/>
          <w:szCs w:val="21"/>
        </w:rPr>
        <w:t>Format des Documents de Réponse</w:t>
      </w:r>
    </w:p>
    <w:p w14:paraId="60EFCF3F"/>
    <w:p w14:paraId="6AEE8537">
      <w:pPr>
        <w:keepNext/>
        <w:keepLines/>
        <w:adjustRightInd w:val="0"/>
        <w:snapToGrid w:val="0"/>
        <w:spacing w:line="360" w:lineRule="auto"/>
        <w:rPr>
          <w:b/>
          <w:szCs w:val="21"/>
        </w:rPr>
      </w:pPr>
      <w:bookmarkStart w:id="219" w:name="_Toc22051"/>
      <w:r>
        <w:rPr>
          <w:rFonts w:hint="eastAsia"/>
          <w:b/>
          <w:szCs w:val="21"/>
          <w:lang w:bidi="ar"/>
        </w:rPr>
        <w:t>【编注：响应文件按技术、商务部分（也称文件</w:t>
      </w:r>
      <w:r>
        <w:rPr>
          <w:b/>
          <w:szCs w:val="21"/>
          <w:lang w:bidi="ar"/>
        </w:rPr>
        <w:t>A</w:t>
      </w:r>
      <w:r>
        <w:rPr>
          <w:rFonts w:hint="eastAsia"/>
          <w:b/>
          <w:szCs w:val="21"/>
          <w:lang w:bidi="ar"/>
        </w:rPr>
        <w:t>）和价格部分（也称文件</w:t>
      </w:r>
      <w:r>
        <w:rPr>
          <w:b/>
          <w:szCs w:val="21"/>
          <w:lang w:bidi="ar"/>
        </w:rPr>
        <w:t>B</w:t>
      </w:r>
      <w:r>
        <w:rPr>
          <w:rFonts w:hint="eastAsia"/>
          <w:b/>
          <w:szCs w:val="21"/>
          <w:lang w:bidi="ar"/>
        </w:rPr>
        <w:t>）须分开编制，单独上传】</w:t>
      </w:r>
    </w:p>
    <w:p w14:paraId="5B798D4F">
      <w:pPr>
        <w:pStyle w:val="30"/>
        <w:adjustRightInd w:val="0"/>
        <w:snapToGrid w:val="0"/>
        <w:spacing w:before="0" w:beforeAutospacing="0" w:after="0" w:afterAutospacing="0" w:line="360" w:lineRule="auto"/>
        <w:jc w:val="both"/>
        <w:rPr>
          <w:lang w:val="fr-FR"/>
        </w:rPr>
      </w:pPr>
      <w:r>
        <w:rPr>
          <w:rFonts w:hint="eastAsia"/>
          <w:kern w:val="2"/>
          <w:sz w:val="21"/>
          <w:szCs w:val="24"/>
          <w:lang w:val="fr-FR" w:bidi="ar"/>
        </w:rPr>
        <w:t>【</w:t>
      </w:r>
      <w:r>
        <w:rPr>
          <w:kern w:val="2"/>
          <w:sz w:val="21"/>
          <w:szCs w:val="24"/>
          <w:lang w:val="fr-FR" w:bidi="ar"/>
        </w:rPr>
        <w:t>Note: Les documents de réponse doivent être préparés séparément en deux parties: Technique et Commerciale (également appelée Document A) et Prix (également appelée Document B), et doivent être téléchargés séparément.</w:t>
      </w:r>
      <w:r>
        <w:rPr>
          <w:rFonts w:hint="eastAsia"/>
          <w:kern w:val="2"/>
          <w:sz w:val="21"/>
          <w:szCs w:val="24"/>
          <w:lang w:val="fr-FR" w:bidi="ar"/>
        </w:rPr>
        <w:t>】</w:t>
      </w:r>
    </w:p>
    <w:bookmarkEnd w:id="219"/>
    <w:p w14:paraId="612EF321">
      <w:pPr>
        <w:pStyle w:val="30"/>
        <w:adjustRightInd w:val="0"/>
        <w:snapToGrid w:val="0"/>
        <w:spacing w:before="0" w:beforeAutospacing="0" w:after="0" w:afterAutospacing="0" w:line="360" w:lineRule="auto"/>
        <w:ind w:right="1470" w:rightChars="700" w:firstLine="420" w:firstLineChars="200"/>
        <w:jc w:val="both"/>
        <w:rPr>
          <w:snapToGrid w:val="0"/>
          <w:lang w:val="fr-FR"/>
        </w:rPr>
      </w:pPr>
      <w:r>
        <w:rPr>
          <w:rFonts w:hint="eastAsia"/>
          <w:kern w:val="2"/>
          <w:sz w:val="21"/>
          <w:szCs w:val="24"/>
          <w:lang w:val="fr-FR" w:bidi="ar"/>
        </w:rPr>
        <w:t>重要提示：</w:t>
      </w:r>
      <w:r>
        <w:rPr>
          <w:snapToGrid w:val="0"/>
          <w:kern w:val="2"/>
          <w:sz w:val="21"/>
          <w:szCs w:val="24"/>
          <w:lang w:val="fr-FR" w:bidi="ar"/>
        </w:rPr>
        <w:t>Avis Important :</w:t>
      </w:r>
    </w:p>
    <w:p w14:paraId="61321440">
      <w:pPr>
        <w:adjustRightInd w:val="0"/>
        <w:snapToGrid w:val="0"/>
        <w:spacing w:line="360" w:lineRule="auto"/>
        <w:ind w:firstLine="422" w:firstLineChars="200"/>
        <w:rPr>
          <w:b/>
        </w:rPr>
      </w:pPr>
      <w:r>
        <w:rPr>
          <w:b/>
          <w:lang w:bidi="ar"/>
        </w:rPr>
        <w:t>1.</w:t>
      </w:r>
      <w:r>
        <w:rPr>
          <w:rFonts w:hint="eastAsia"/>
          <w:b/>
          <w:lang w:bidi="ar"/>
        </w:rPr>
        <w:t>请各响应人严格按照响应文件格式编制响应文件（包括封面、目录、章节），未按响应文件格式编制的响应文件引起的一切后果自负。</w:t>
      </w:r>
    </w:p>
    <w:p w14:paraId="593FBE3B">
      <w:pPr>
        <w:pStyle w:val="30"/>
        <w:tabs>
          <w:tab w:val="center" w:pos="4153"/>
          <w:tab w:val="right" w:pos="8306"/>
        </w:tabs>
        <w:spacing w:before="0" w:beforeAutospacing="0" w:after="0" w:afterAutospacing="0" w:line="360" w:lineRule="auto"/>
        <w:ind w:firstLine="420" w:firstLineChars="200"/>
        <w:jc w:val="both"/>
        <w:rPr>
          <w:kern w:val="13"/>
          <w:szCs w:val="21"/>
          <w:lang w:val="fr-FR"/>
        </w:rPr>
      </w:pPr>
      <w:r>
        <w:rPr>
          <w:kern w:val="13"/>
          <w:sz w:val="21"/>
          <w:szCs w:val="21"/>
          <w:lang w:val="fr-FR" w:bidi="ar"/>
        </w:rPr>
        <w:t>Les soumissionnaires doivent strictement respecter le format prescrit pour la préparation des documents de réponse (y compris la page de couverture, la table des matières et les sections). Toute conséquence résultant du non-respect de ce format sera intégralement supportée par le soumissionnaire.</w:t>
      </w:r>
    </w:p>
    <w:p w14:paraId="7D71B53F">
      <w:pPr>
        <w:adjustRightInd w:val="0"/>
        <w:snapToGrid w:val="0"/>
        <w:spacing w:line="360" w:lineRule="auto"/>
        <w:ind w:firstLine="422" w:firstLineChars="200"/>
        <w:rPr>
          <w:b/>
        </w:rPr>
      </w:pPr>
      <w:r>
        <w:rPr>
          <w:b/>
          <w:lang w:bidi="ar"/>
        </w:rPr>
        <w:t>2.</w:t>
      </w:r>
      <w:r>
        <w:rPr>
          <w:rFonts w:hint="eastAsia"/>
          <w:b/>
          <w:lang w:bidi="ar"/>
        </w:rPr>
        <w:t>请各响应人务必仔细阅读采购文件，编写有关内容。</w:t>
      </w:r>
    </w:p>
    <w:p w14:paraId="0E432D99">
      <w:pPr>
        <w:pStyle w:val="30"/>
        <w:tabs>
          <w:tab w:val="center" w:pos="4153"/>
          <w:tab w:val="right" w:pos="8306"/>
        </w:tabs>
        <w:spacing w:before="0" w:beforeAutospacing="0" w:after="0" w:afterAutospacing="0" w:line="360" w:lineRule="auto"/>
        <w:ind w:firstLine="420" w:firstLineChars="200"/>
        <w:jc w:val="both"/>
        <w:rPr>
          <w:kern w:val="13"/>
          <w:szCs w:val="21"/>
          <w:lang w:val="fr-FR"/>
        </w:rPr>
      </w:pPr>
      <w:r>
        <w:rPr>
          <w:kern w:val="13"/>
          <w:sz w:val="21"/>
          <w:szCs w:val="21"/>
          <w:lang w:val="fr-FR" w:bidi="ar"/>
        </w:rPr>
        <w:t>Les soumissionnaires sont instamment priés de lire attentivement le dossier d’appel d’offres et de rédiger le contenu en conséquence.</w:t>
      </w:r>
    </w:p>
    <w:p w14:paraId="4238F5DD">
      <w:pPr>
        <w:pStyle w:val="30"/>
        <w:widowControl/>
        <w:adjustRightInd w:val="0"/>
        <w:spacing w:before="0" w:beforeAutospacing="0" w:after="0" w:afterAutospacing="0" w:line="360" w:lineRule="auto"/>
        <w:rPr>
          <w:szCs w:val="24"/>
          <w:lang w:val="fr-FR"/>
        </w:rPr>
      </w:pPr>
    </w:p>
    <w:p w14:paraId="1E3CEA5E">
      <w:pPr>
        <w:pStyle w:val="30"/>
        <w:widowControl/>
        <w:adjustRightInd w:val="0"/>
        <w:spacing w:before="0" w:beforeAutospacing="0" w:after="0" w:afterAutospacing="0" w:line="360" w:lineRule="auto"/>
        <w:ind w:firstLine="480" w:firstLineChars="200"/>
        <w:rPr>
          <w:rFonts w:cs="宋体"/>
          <w:szCs w:val="24"/>
          <w:lang w:val="fr-FR"/>
        </w:rPr>
      </w:pPr>
    </w:p>
    <w:p w14:paraId="21F7CBC7">
      <w:pPr>
        <w:pStyle w:val="30"/>
        <w:widowControl/>
        <w:adjustRightInd w:val="0"/>
        <w:spacing w:before="0" w:beforeAutospacing="0" w:after="0" w:afterAutospacing="0" w:line="360" w:lineRule="auto"/>
        <w:ind w:firstLine="480" w:firstLineChars="200"/>
        <w:rPr>
          <w:rFonts w:cs="宋体"/>
          <w:szCs w:val="24"/>
          <w:lang w:val="fr-FR"/>
        </w:rPr>
      </w:pPr>
    </w:p>
    <w:p w14:paraId="3A514A8A">
      <w:pPr>
        <w:pStyle w:val="30"/>
        <w:widowControl/>
        <w:adjustRightInd w:val="0"/>
        <w:spacing w:before="0" w:beforeAutospacing="0" w:after="0" w:afterAutospacing="0" w:line="360" w:lineRule="auto"/>
        <w:ind w:firstLine="480" w:firstLineChars="200"/>
        <w:rPr>
          <w:rFonts w:cs="宋体"/>
          <w:szCs w:val="24"/>
          <w:lang w:val="fr-FR"/>
        </w:rPr>
      </w:pPr>
    </w:p>
    <w:p w14:paraId="5BA56147">
      <w:pPr>
        <w:pStyle w:val="30"/>
        <w:widowControl/>
        <w:adjustRightInd w:val="0"/>
        <w:spacing w:before="0" w:beforeAutospacing="0" w:after="0" w:afterAutospacing="0" w:line="360" w:lineRule="auto"/>
        <w:ind w:firstLine="480" w:firstLineChars="200"/>
        <w:rPr>
          <w:rFonts w:cs="宋体"/>
          <w:szCs w:val="24"/>
          <w:lang w:val="fr-FR"/>
        </w:rPr>
      </w:pPr>
    </w:p>
    <w:p w14:paraId="7291D621">
      <w:pPr>
        <w:pStyle w:val="30"/>
        <w:widowControl/>
        <w:adjustRightInd w:val="0"/>
        <w:spacing w:before="0" w:beforeAutospacing="0" w:after="0" w:afterAutospacing="0" w:line="360" w:lineRule="auto"/>
        <w:ind w:firstLine="480" w:firstLineChars="200"/>
        <w:rPr>
          <w:rFonts w:cs="宋体"/>
          <w:szCs w:val="24"/>
          <w:lang w:val="fr-FR"/>
        </w:rPr>
      </w:pPr>
    </w:p>
    <w:p w14:paraId="5FD09B0F">
      <w:pPr>
        <w:pStyle w:val="30"/>
        <w:widowControl/>
        <w:adjustRightInd w:val="0"/>
        <w:spacing w:before="0" w:beforeAutospacing="0" w:after="0" w:afterAutospacing="0" w:line="360" w:lineRule="auto"/>
        <w:rPr>
          <w:rFonts w:cs="宋体"/>
          <w:szCs w:val="24"/>
          <w:lang w:val="fr-FR"/>
        </w:rPr>
        <w:sectPr>
          <w:pgSz w:w="11906" w:h="16838"/>
          <w:pgMar w:top="1417" w:right="1134" w:bottom="1134" w:left="1417" w:header="851" w:footer="850" w:gutter="0"/>
          <w:cols w:space="720" w:num="1"/>
          <w:docGrid w:linePitch="312" w:charSpace="0"/>
        </w:sectPr>
      </w:pPr>
    </w:p>
    <w:p w14:paraId="60D97E04">
      <w:pPr>
        <w:pStyle w:val="30"/>
        <w:widowControl/>
        <w:adjustRightInd w:val="0"/>
        <w:spacing w:before="0" w:beforeAutospacing="0" w:after="0" w:afterAutospacing="0" w:line="360" w:lineRule="auto"/>
        <w:rPr>
          <w:rFonts w:cs="宋体"/>
          <w:szCs w:val="24"/>
          <w:lang w:val="fr-FR"/>
        </w:rPr>
      </w:pPr>
    </w:p>
    <w:p w14:paraId="12C44B0E">
      <w:pPr>
        <w:pStyle w:val="30"/>
        <w:widowControl/>
        <w:adjustRightInd w:val="0"/>
        <w:spacing w:before="0" w:beforeAutospacing="0" w:after="0" w:afterAutospacing="0" w:line="360" w:lineRule="auto"/>
        <w:ind w:firstLine="480" w:firstLineChars="200"/>
        <w:rPr>
          <w:rFonts w:cs="宋体"/>
          <w:szCs w:val="24"/>
          <w:lang w:val="fr-FR"/>
        </w:rPr>
      </w:pPr>
    </w:p>
    <w:p w14:paraId="0F800545">
      <w:pPr>
        <w:spacing w:line="200" w:lineRule="exact"/>
        <w:rPr>
          <w:rFonts w:cs="宋体"/>
          <w:sz w:val="20"/>
        </w:rPr>
      </w:pPr>
    </w:p>
    <w:p w14:paraId="3D56EFD9">
      <w:pPr>
        <w:pStyle w:val="9"/>
        <w:rPr>
          <w:rFonts w:ascii="Times New Roman"/>
        </w:rPr>
      </w:pPr>
    </w:p>
    <w:p w14:paraId="4B3C321F">
      <w:pPr>
        <w:adjustRightInd w:val="0"/>
        <w:snapToGrid w:val="0"/>
        <w:spacing w:line="360" w:lineRule="auto"/>
        <w:jc w:val="center"/>
        <w:rPr>
          <w:b/>
          <w:bCs/>
          <w:sz w:val="52"/>
          <w:szCs w:val="52"/>
        </w:rPr>
      </w:pPr>
    </w:p>
    <w:p w14:paraId="5F5BA461">
      <w:pPr>
        <w:adjustRightInd w:val="0"/>
        <w:snapToGrid w:val="0"/>
        <w:spacing w:line="360" w:lineRule="auto"/>
        <w:jc w:val="center"/>
        <w:rPr>
          <w:b/>
          <w:bCs/>
          <w:sz w:val="44"/>
          <w:szCs w:val="44"/>
        </w:rPr>
      </w:pPr>
      <w:r>
        <w:rPr>
          <w:rFonts w:hint="eastAsia"/>
          <w:b/>
          <w:bCs/>
          <w:sz w:val="44"/>
          <w:szCs w:val="44"/>
        </w:rPr>
        <w:t>几内亚高丽亚矿山股份有限公司</w:t>
      </w:r>
    </w:p>
    <w:p w14:paraId="59BE0443">
      <w:pPr>
        <w:adjustRightInd w:val="0"/>
        <w:snapToGrid w:val="0"/>
        <w:spacing w:line="360" w:lineRule="auto"/>
        <w:jc w:val="center"/>
        <w:rPr>
          <w:b/>
          <w:bCs/>
          <w:sz w:val="44"/>
          <w:szCs w:val="44"/>
        </w:rPr>
      </w:pPr>
      <w:r>
        <w:rPr>
          <w:rFonts w:hint="eastAsia"/>
          <w:b/>
          <w:bCs/>
          <w:sz w:val="44"/>
          <w:szCs w:val="44"/>
          <w:lang w:val="en-US"/>
        </w:rPr>
        <w:t>蒂美伟-</w:t>
      </w:r>
      <w:r>
        <w:rPr>
          <w:rFonts w:hint="eastAsia"/>
          <w:b/>
          <w:bCs/>
          <w:sz w:val="44"/>
          <w:szCs w:val="44"/>
        </w:rPr>
        <w:t>孔苏达米社区道路修缮项目</w:t>
      </w:r>
    </w:p>
    <w:p w14:paraId="69B6752D">
      <w:pPr>
        <w:jc w:val="center"/>
      </w:pPr>
      <w:r>
        <w:rPr>
          <w:rFonts w:hint="eastAsia"/>
          <w:sz w:val="44"/>
          <w:szCs w:val="44"/>
          <w:lang w:val="en-US"/>
        </w:rPr>
        <w:t>L</w:t>
      </w:r>
      <w:r>
        <w:rPr>
          <w:rFonts w:hint="eastAsia"/>
          <w:sz w:val="44"/>
          <w:szCs w:val="44"/>
        </w:rPr>
        <w:t>es Travaux de Réhabilitation des Routes Communautaires（Thimmewi - Konsatamy）– Guinea Colia Min</w:t>
      </w:r>
      <w:r>
        <w:rPr>
          <w:sz w:val="44"/>
          <w:szCs w:val="44"/>
        </w:rPr>
        <w:t>ing S.A.</w:t>
      </w:r>
    </w:p>
    <w:p w14:paraId="17BA1C56">
      <w:pPr>
        <w:rPr>
          <w:b/>
          <w:bCs/>
          <w:sz w:val="52"/>
          <w:szCs w:val="52"/>
        </w:rPr>
      </w:pPr>
    </w:p>
    <w:p w14:paraId="59DDD2AD">
      <w:pPr>
        <w:jc w:val="center"/>
        <w:rPr>
          <w:rFonts w:cs="宋体"/>
        </w:rPr>
      </w:pPr>
      <w:r>
        <w:rPr>
          <w:rFonts w:hint="eastAsia"/>
          <w:b/>
          <w:bCs/>
          <w:sz w:val="52"/>
          <w:szCs w:val="52"/>
        </w:rPr>
        <w:t>响应文件/</w:t>
      </w:r>
      <w:r>
        <w:rPr>
          <w:b/>
          <w:bCs/>
          <w:sz w:val="52"/>
          <w:szCs w:val="52"/>
        </w:rPr>
        <w:t xml:space="preserve">Document de réponse </w:t>
      </w:r>
      <w:r>
        <w:rPr>
          <w:rFonts w:hint="eastAsia"/>
          <w:b/>
          <w:bCs/>
          <w:sz w:val="52"/>
          <w:szCs w:val="52"/>
        </w:rPr>
        <w:t>A</w:t>
      </w:r>
    </w:p>
    <w:p w14:paraId="2DE822F8">
      <w:pPr>
        <w:rPr>
          <w:rFonts w:cs="宋体"/>
        </w:rPr>
      </w:pPr>
    </w:p>
    <w:p w14:paraId="3D92620E">
      <w:pPr>
        <w:pStyle w:val="32"/>
        <w:ind w:firstLine="210"/>
        <w:rPr>
          <w:rFonts w:ascii="Times New Roman" w:hAnsi="Times New Roman" w:cs="宋体"/>
          <w:color w:val="auto"/>
        </w:rPr>
      </w:pPr>
    </w:p>
    <w:p w14:paraId="33C88462">
      <w:pPr>
        <w:rPr>
          <w:rFonts w:cs="宋体"/>
        </w:rPr>
      </w:pPr>
    </w:p>
    <w:p w14:paraId="2E8B8084">
      <w:pPr>
        <w:pStyle w:val="32"/>
        <w:ind w:firstLine="210"/>
        <w:rPr>
          <w:rFonts w:ascii="Times New Roman" w:hAnsi="Times New Roman" w:cs="宋体"/>
          <w:color w:val="auto"/>
        </w:rPr>
      </w:pPr>
    </w:p>
    <w:p w14:paraId="38CE046C">
      <w:pPr>
        <w:rPr>
          <w:rFonts w:cs="宋体"/>
        </w:rPr>
      </w:pPr>
    </w:p>
    <w:p w14:paraId="528C6D1D">
      <w:pPr>
        <w:rPr>
          <w:rFonts w:cs="宋体"/>
        </w:rPr>
      </w:pPr>
    </w:p>
    <w:p w14:paraId="7042CF1E">
      <w:pPr>
        <w:rPr>
          <w:rFonts w:cs="宋体"/>
        </w:rPr>
      </w:pPr>
    </w:p>
    <w:p w14:paraId="4E10AD14">
      <w:pPr>
        <w:rPr>
          <w:rFonts w:cs="宋体"/>
        </w:rPr>
      </w:pPr>
    </w:p>
    <w:p w14:paraId="70CCC9C8">
      <w:pPr>
        <w:rPr>
          <w:rFonts w:cs="宋体"/>
        </w:rPr>
      </w:pPr>
    </w:p>
    <w:p w14:paraId="7B65DE9C">
      <w:pPr>
        <w:rPr>
          <w:rFonts w:cs="宋体"/>
        </w:rPr>
      </w:pPr>
    </w:p>
    <w:p w14:paraId="0E1A08AD">
      <w:pPr>
        <w:rPr>
          <w:rFonts w:cs="宋体"/>
        </w:rPr>
      </w:pPr>
    </w:p>
    <w:p w14:paraId="17CB8E05">
      <w:pPr>
        <w:rPr>
          <w:rFonts w:cs="宋体"/>
        </w:rPr>
      </w:pPr>
    </w:p>
    <w:p w14:paraId="77141FFE">
      <w:pPr>
        <w:spacing w:line="360" w:lineRule="auto"/>
        <w:ind w:left="630" w:leftChars="300"/>
        <w:rPr>
          <w:rFonts w:cs="宋体"/>
          <w:sz w:val="28"/>
          <w:u w:val="single"/>
        </w:rPr>
      </w:pPr>
      <w:r>
        <w:rPr>
          <w:rFonts w:hint="eastAsia" w:cs="宋体"/>
          <w:sz w:val="28"/>
        </w:rPr>
        <w:t>响应人</w:t>
      </w:r>
      <w:r>
        <w:rPr>
          <w:rFonts w:cs="宋体"/>
          <w:b/>
          <w:bCs/>
          <w:sz w:val="24"/>
          <w:szCs w:val="24"/>
        </w:rPr>
        <w:t>Répondant</w:t>
      </w:r>
      <w:r>
        <w:rPr>
          <w:rFonts w:hint="eastAsia" w:cs="宋体"/>
          <w:sz w:val="28"/>
        </w:rPr>
        <w:t>：</w:t>
      </w:r>
      <w:r>
        <w:rPr>
          <w:rFonts w:hint="eastAsia" w:cs="宋体"/>
          <w:u w:val="single"/>
        </w:rPr>
        <w:t xml:space="preserve">                         </w:t>
      </w:r>
      <w:r>
        <w:rPr>
          <w:rFonts w:hint="eastAsia" w:cs="宋体"/>
          <w:sz w:val="28"/>
        </w:rPr>
        <w:t>（盖单位章</w:t>
      </w:r>
      <w:r>
        <w:rPr>
          <w:rFonts w:cs="宋体"/>
          <w:sz w:val="28"/>
        </w:rPr>
        <w:t>cachet de l'entreprise</w:t>
      </w:r>
      <w:r>
        <w:rPr>
          <w:rFonts w:hint="eastAsia" w:cs="宋体"/>
          <w:sz w:val="28"/>
        </w:rPr>
        <w:t>）</w:t>
      </w:r>
    </w:p>
    <w:p w14:paraId="5A1C4CBB">
      <w:pPr>
        <w:pStyle w:val="33"/>
        <w:ind w:firstLine="560"/>
        <w:rPr>
          <w:rFonts w:cs="宋体"/>
        </w:rPr>
      </w:pPr>
    </w:p>
    <w:p w14:paraId="0AB88CB6">
      <w:pPr>
        <w:pStyle w:val="33"/>
        <w:ind w:firstLine="560"/>
        <w:rPr>
          <w:rFonts w:cs="宋体"/>
        </w:rPr>
      </w:pPr>
      <w:r>
        <w:rPr>
          <w:rFonts w:hint="eastAsia" w:cs="宋体"/>
        </w:rPr>
        <w:t>法定代表人或其委托代理人</w:t>
      </w:r>
    </w:p>
    <w:p w14:paraId="64FACF5F">
      <w:pPr>
        <w:pStyle w:val="33"/>
        <w:ind w:firstLine="482"/>
        <w:rPr>
          <w:rFonts w:cs="宋体"/>
          <w:b/>
          <w:bCs/>
          <w:sz w:val="24"/>
        </w:rPr>
      </w:pPr>
      <w:r>
        <w:rPr>
          <w:rFonts w:cs="宋体"/>
          <w:b/>
          <w:bCs/>
          <w:sz w:val="24"/>
        </w:rPr>
        <w:t xml:space="preserve">Représentant légal ou son mandataire </w:t>
      </w:r>
      <w:r>
        <w:rPr>
          <w:rFonts w:hint="eastAsia" w:cs="宋体"/>
        </w:rPr>
        <w:t>:</w:t>
      </w:r>
      <w:r>
        <w:rPr>
          <w:rFonts w:hint="eastAsia" w:cs="宋体"/>
          <w:u w:val="single"/>
        </w:rPr>
        <w:t xml:space="preserve"> </w:t>
      </w:r>
      <w:r>
        <w:rPr>
          <w:rFonts w:cs="宋体"/>
          <w:u w:val="single"/>
        </w:rPr>
        <w:t xml:space="preserve">        </w:t>
      </w:r>
      <w:r>
        <w:rPr>
          <w:rFonts w:hint="eastAsia" w:cs="宋体"/>
          <w:u w:val="single"/>
        </w:rPr>
        <w:t xml:space="preserve">   </w:t>
      </w:r>
      <w:r>
        <w:rPr>
          <w:rFonts w:hint="eastAsia" w:cs="宋体"/>
        </w:rPr>
        <w:t>（签字）</w:t>
      </w:r>
      <w:r>
        <w:rPr>
          <w:rFonts w:cs="宋体"/>
          <w:b/>
          <w:bCs/>
          <w:sz w:val="24"/>
        </w:rPr>
        <w:t>(signature)</w:t>
      </w:r>
    </w:p>
    <w:p w14:paraId="04F264A1">
      <w:pPr>
        <w:jc w:val="center"/>
        <w:rPr>
          <w:rFonts w:cs="宋体"/>
        </w:rPr>
      </w:pPr>
    </w:p>
    <w:p w14:paraId="620B244A">
      <w:pPr>
        <w:jc w:val="center"/>
        <w:rPr>
          <w:rFonts w:cs="宋体"/>
          <w:u w:val="single"/>
        </w:rPr>
      </w:pPr>
    </w:p>
    <w:p w14:paraId="607C26BD">
      <w:pPr>
        <w:jc w:val="center"/>
        <w:rPr>
          <w:rFonts w:cs="宋体"/>
          <w:u w:val="single"/>
        </w:rPr>
      </w:pPr>
    </w:p>
    <w:p w14:paraId="15E7042B">
      <w:pPr>
        <w:jc w:val="center"/>
        <w:rPr>
          <w:rFonts w:cs="宋体"/>
          <w:sz w:val="28"/>
        </w:rPr>
      </w:pPr>
      <w:r>
        <w:rPr>
          <w:rFonts w:hint="eastAsia" w:cs="宋体"/>
          <w:sz w:val="24"/>
          <w:szCs w:val="22"/>
        </w:rPr>
        <w:t>日期</w:t>
      </w:r>
      <w:r>
        <w:rPr>
          <w:rFonts w:cs="宋体"/>
          <w:sz w:val="24"/>
          <w:szCs w:val="22"/>
        </w:rPr>
        <w:t>DATE :</w:t>
      </w:r>
      <w:r>
        <w:rPr>
          <w:rFonts w:hint="eastAsia" w:cs="宋体"/>
          <w:sz w:val="24"/>
          <w:szCs w:val="22"/>
        </w:rPr>
        <w:t xml:space="preserve"> </w:t>
      </w:r>
      <w:r>
        <w:rPr>
          <w:rFonts w:hint="eastAsia" w:cs="宋体"/>
          <w:u w:val="single"/>
        </w:rPr>
        <w:t xml:space="preserve">  </w:t>
      </w:r>
      <w:r>
        <w:rPr>
          <w:rFonts w:cs="宋体"/>
          <w:u w:val="single"/>
        </w:rPr>
        <w:t xml:space="preserve"> </w:t>
      </w:r>
      <w:r>
        <w:rPr>
          <w:rFonts w:hint="eastAsia" w:cs="宋体"/>
          <w:u w:val="single"/>
        </w:rPr>
        <w:t xml:space="preserve">    </w:t>
      </w:r>
      <w:r>
        <w:rPr>
          <w:rFonts w:hint="eastAsia" w:cs="宋体"/>
          <w:sz w:val="28"/>
        </w:rPr>
        <w:t>年</w:t>
      </w:r>
      <w:r>
        <w:rPr>
          <w:rFonts w:cs="宋体"/>
          <w:b/>
          <w:bCs/>
          <w:sz w:val="24"/>
          <w:szCs w:val="24"/>
        </w:rPr>
        <w:t>Année</w:t>
      </w:r>
      <w:r>
        <w:rPr>
          <w:rFonts w:hint="eastAsia" w:cs="宋体"/>
          <w:u w:val="single"/>
        </w:rPr>
        <w:t xml:space="preserve">       </w:t>
      </w:r>
      <w:r>
        <w:rPr>
          <w:rFonts w:hint="eastAsia" w:cs="宋体"/>
          <w:sz w:val="28"/>
        </w:rPr>
        <w:t>月</w:t>
      </w:r>
      <w:r>
        <w:rPr>
          <w:rFonts w:cs="宋体"/>
          <w:b/>
          <w:bCs/>
          <w:sz w:val="24"/>
          <w:szCs w:val="24"/>
        </w:rPr>
        <w:t>Mois</w:t>
      </w:r>
      <w:r>
        <w:rPr>
          <w:rFonts w:hint="eastAsia" w:cs="宋体"/>
          <w:u w:val="single"/>
        </w:rPr>
        <w:t xml:space="preserve">       </w:t>
      </w:r>
      <w:r>
        <w:rPr>
          <w:rFonts w:hint="eastAsia" w:cs="宋体"/>
          <w:sz w:val="28"/>
        </w:rPr>
        <w:t>日</w:t>
      </w:r>
      <w:r>
        <w:rPr>
          <w:rFonts w:cs="宋体"/>
          <w:b/>
          <w:bCs/>
          <w:sz w:val="24"/>
          <w:szCs w:val="24"/>
        </w:rPr>
        <w:t>Jour</w:t>
      </w:r>
    </w:p>
    <w:p w14:paraId="5A97A17D">
      <w:pPr>
        <w:pStyle w:val="33"/>
        <w:ind w:firstLine="482"/>
        <w:rPr>
          <w:rFonts w:cs="宋体"/>
          <w:b/>
          <w:bCs/>
          <w:sz w:val="24"/>
        </w:rPr>
      </w:pPr>
    </w:p>
    <w:p w14:paraId="061B1746">
      <w:pPr>
        <w:pStyle w:val="33"/>
        <w:ind w:firstLine="482"/>
        <w:rPr>
          <w:rFonts w:cs="宋体"/>
          <w:b/>
          <w:bCs/>
          <w:sz w:val="24"/>
        </w:rPr>
        <w:sectPr>
          <w:pgSz w:w="11906" w:h="16838"/>
          <w:pgMar w:top="1417" w:right="1134" w:bottom="1134" w:left="1417" w:header="851" w:footer="850" w:gutter="0"/>
          <w:cols w:space="720" w:num="1"/>
          <w:docGrid w:linePitch="319" w:charSpace="0"/>
        </w:sectPr>
      </w:pPr>
      <w:r>
        <w:rPr>
          <w:rFonts w:cs="宋体"/>
          <w:b/>
          <w:bCs/>
          <w:sz w:val="24"/>
        </w:rPr>
        <w:t xml:space="preserve">      </w:t>
      </w:r>
    </w:p>
    <w:p w14:paraId="58588A41"/>
    <w:p w14:paraId="57BCD7CC">
      <w:pPr>
        <w:pStyle w:val="3"/>
        <w:snapToGrid w:val="0"/>
        <w:spacing w:before="0" w:after="0" w:line="360" w:lineRule="auto"/>
        <w:rPr>
          <w:rFonts w:ascii="Times New Roman" w:hAnsi="Times New Roman"/>
          <w:szCs w:val="28"/>
        </w:rPr>
      </w:pPr>
      <w:bookmarkStart w:id="220" w:name="_Toc28000"/>
      <w:r>
        <w:rPr>
          <w:rFonts w:ascii="Times New Roman" w:hAnsi="Times New Roman"/>
          <w:szCs w:val="28"/>
        </w:rPr>
        <w:t>目</w:t>
      </w:r>
      <w:r>
        <w:rPr>
          <w:rFonts w:hint="eastAsia" w:ascii="Times New Roman" w:hAnsi="Times New Roman"/>
          <w:szCs w:val="28"/>
        </w:rPr>
        <w:t xml:space="preserve"> </w:t>
      </w:r>
      <w:r>
        <w:rPr>
          <w:rFonts w:ascii="Times New Roman" w:hAnsi="Times New Roman"/>
          <w:szCs w:val="28"/>
        </w:rPr>
        <w:t xml:space="preserve"> 录</w:t>
      </w:r>
      <w:bookmarkEnd w:id="220"/>
    </w:p>
    <w:p w14:paraId="02AF9471"/>
    <w:p w14:paraId="24DE52AC">
      <w:pPr>
        <w:spacing w:line="360" w:lineRule="auto"/>
        <w:ind w:firstLine="420" w:firstLineChars="200"/>
      </w:pPr>
      <w:r>
        <w:rPr>
          <w:rFonts w:hint="eastAsia"/>
        </w:rPr>
        <w:t>一</w:t>
      </w:r>
      <w:r>
        <w:t>、法定代表人（单位负责人）身份证明（适用于无委托代理人的情况）</w:t>
      </w:r>
    </w:p>
    <w:p w14:paraId="00165CFE">
      <w:pPr>
        <w:spacing w:line="360" w:lineRule="auto"/>
        <w:ind w:firstLine="420" w:firstLineChars="200"/>
      </w:pPr>
      <w:r>
        <w:rPr>
          <w:rFonts w:hint="eastAsia"/>
        </w:rPr>
        <w:t>二、</w:t>
      </w:r>
      <w:r>
        <w:t>授权委托书（适用于有委托代理人的情况）</w:t>
      </w:r>
    </w:p>
    <w:p w14:paraId="74FA31D8">
      <w:pPr>
        <w:spacing w:line="360" w:lineRule="auto"/>
        <w:ind w:firstLine="420" w:firstLineChars="200"/>
        <w:rPr>
          <w:szCs w:val="21"/>
        </w:rPr>
      </w:pPr>
      <w:r>
        <w:rPr>
          <w:rFonts w:hint="eastAsia"/>
        </w:rPr>
        <w:t>三</w:t>
      </w:r>
      <w:r>
        <w:t>、</w:t>
      </w:r>
      <w:r>
        <w:rPr>
          <w:rFonts w:hint="eastAsia"/>
          <w:szCs w:val="21"/>
        </w:rPr>
        <w:t>联合体协议书（如有）</w:t>
      </w:r>
    </w:p>
    <w:p w14:paraId="3D5726CD">
      <w:pPr>
        <w:spacing w:line="360" w:lineRule="auto"/>
        <w:ind w:firstLine="420" w:firstLineChars="200"/>
      </w:pPr>
      <w:r>
        <w:rPr>
          <w:rFonts w:hint="eastAsia"/>
        </w:rPr>
        <w:t>四、</w:t>
      </w:r>
      <w:r>
        <w:t>商务和技术偏差表</w:t>
      </w:r>
    </w:p>
    <w:p w14:paraId="53786D59">
      <w:pPr>
        <w:spacing w:line="360" w:lineRule="auto"/>
        <w:ind w:firstLine="420" w:firstLineChars="200"/>
      </w:pPr>
      <w:r>
        <w:rPr>
          <w:rFonts w:hint="eastAsia"/>
        </w:rPr>
        <w:t>五、资格审查资料</w:t>
      </w:r>
    </w:p>
    <w:p w14:paraId="4E07D83B">
      <w:pPr>
        <w:spacing w:line="360" w:lineRule="auto"/>
        <w:ind w:firstLine="420" w:firstLineChars="200"/>
      </w:pPr>
      <w:r>
        <w:rPr>
          <w:rFonts w:hint="eastAsia"/>
        </w:rPr>
        <w:t>六、近年完成的类似项目情况表</w:t>
      </w:r>
    </w:p>
    <w:p w14:paraId="1DFF34AA">
      <w:pPr>
        <w:spacing w:line="360" w:lineRule="auto"/>
        <w:ind w:firstLine="420" w:firstLineChars="200"/>
      </w:pPr>
      <w:r>
        <w:rPr>
          <w:rFonts w:hint="eastAsia"/>
        </w:rPr>
        <w:t>七、施工组织设计</w:t>
      </w:r>
    </w:p>
    <w:p w14:paraId="62942071">
      <w:pPr>
        <w:spacing w:line="360" w:lineRule="auto"/>
        <w:ind w:firstLine="420" w:firstLineChars="200"/>
      </w:pPr>
      <w:r>
        <w:rPr>
          <w:rFonts w:hint="eastAsia"/>
        </w:rPr>
        <w:t>八</w:t>
      </w:r>
      <w:r>
        <w:t>、</w:t>
      </w:r>
      <w:r>
        <w:rPr>
          <w:rFonts w:hint="eastAsia"/>
        </w:rPr>
        <w:t>拟分包项目情况表（如有）</w:t>
      </w:r>
    </w:p>
    <w:p w14:paraId="67AD8237">
      <w:pPr>
        <w:jc w:val="center"/>
        <w:rPr>
          <w:b/>
          <w:bCs/>
        </w:rPr>
      </w:pPr>
      <w:r>
        <w:rPr>
          <w:b/>
          <w:bCs/>
        </w:rPr>
        <w:t>Catalogue</w:t>
      </w:r>
    </w:p>
    <w:p w14:paraId="066958CB">
      <w:pPr>
        <w:pStyle w:val="30"/>
        <w:widowControl/>
        <w:rPr>
          <w:lang w:val="fr-FR"/>
        </w:rPr>
      </w:pPr>
      <w:r>
        <w:rPr>
          <w:lang w:val="fr-FR"/>
        </w:rPr>
        <w:t>I. Preuve d'identité du représentant légal (personne responsable de l'unité) (applicable au cas où il n'y a pas de mandataire)</w:t>
      </w:r>
    </w:p>
    <w:p w14:paraId="12800AF0">
      <w:pPr>
        <w:pStyle w:val="30"/>
        <w:widowControl/>
        <w:rPr>
          <w:lang w:val="fr-FR"/>
        </w:rPr>
      </w:pPr>
      <w:r>
        <w:rPr>
          <w:lang w:val="fr-FR"/>
        </w:rPr>
        <w:t>II. procuration (applicable dans le cas où il y a un mandataire)</w:t>
      </w:r>
    </w:p>
    <w:p w14:paraId="55304C96">
      <w:pPr>
        <w:pStyle w:val="30"/>
        <w:widowControl/>
        <w:rPr>
          <w:lang w:val="fr-FR"/>
        </w:rPr>
      </w:pPr>
      <w:r>
        <w:rPr>
          <w:lang w:val="fr-FR"/>
        </w:rPr>
        <w:t>III. accord de consortium (le cas échéant)</w:t>
      </w:r>
    </w:p>
    <w:p w14:paraId="38F7078F">
      <w:pPr>
        <w:pStyle w:val="30"/>
        <w:widowControl/>
        <w:rPr>
          <w:lang w:val="fr-FR"/>
        </w:rPr>
      </w:pPr>
      <w:r>
        <w:rPr>
          <w:lang w:val="fr-FR"/>
        </w:rPr>
        <w:t>IV. tableau des écarts commerciaux et techniques</w:t>
      </w:r>
    </w:p>
    <w:p w14:paraId="77E9D675">
      <w:pPr>
        <w:pStyle w:val="30"/>
        <w:widowControl/>
        <w:rPr>
          <w:lang w:val="fr-FR"/>
        </w:rPr>
      </w:pPr>
      <w:r>
        <w:rPr>
          <w:lang w:val="fr-FR"/>
        </w:rPr>
        <w:t>V. Informations sur les qualifications</w:t>
      </w:r>
    </w:p>
    <w:p w14:paraId="60D53AB7">
      <w:pPr>
        <w:pStyle w:val="30"/>
        <w:widowControl/>
        <w:rPr>
          <w:lang w:val="fr-FR"/>
        </w:rPr>
      </w:pPr>
      <w:r>
        <w:rPr>
          <w:lang w:val="fr-FR"/>
        </w:rPr>
        <w:t>VI. liste des projets similaires réalisés au cours des dernières années</w:t>
      </w:r>
    </w:p>
    <w:p w14:paraId="6F3A7431">
      <w:pPr>
        <w:pStyle w:val="30"/>
        <w:widowControl/>
        <w:rPr>
          <w:lang w:val="fr-FR"/>
        </w:rPr>
      </w:pPr>
      <w:r>
        <w:rPr>
          <w:lang w:val="fr-FR"/>
        </w:rPr>
        <w:t>Conception de l'organisation de la construction</w:t>
      </w:r>
    </w:p>
    <w:p w14:paraId="3088635A">
      <w:pPr>
        <w:pStyle w:val="30"/>
        <w:widowControl/>
        <w:rPr>
          <w:lang w:val="fr-FR"/>
        </w:rPr>
      </w:pPr>
      <w:r>
        <w:rPr>
          <w:lang w:val="fr-FR"/>
        </w:rPr>
        <w:t>VIII. fiche d'information sur les projets à sous-traiter (le cas échéant)</w:t>
      </w:r>
    </w:p>
    <w:p w14:paraId="7B584EBB">
      <w:pPr>
        <w:spacing w:line="360" w:lineRule="auto"/>
        <w:jc w:val="left"/>
        <w:outlineLvl w:val="1"/>
        <w:rPr>
          <w:rFonts w:cs="宋体"/>
          <w:b/>
          <w:sz w:val="28"/>
          <w:szCs w:val="21"/>
        </w:rPr>
      </w:pPr>
      <w:r>
        <w:br w:type="page"/>
      </w:r>
      <w:bookmarkStart w:id="221" w:name="_Toc8980"/>
      <w:bookmarkStart w:id="222" w:name="_Toc7028"/>
      <w:r>
        <w:rPr>
          <w:rFonts w:hint="eastAsia" w:cs="宋体"/>
          <w:b/>
          <w:sz w:val="28"/>
          <w:szCs w:val="21"/>
        </w:rPr>
        <w:t>一、法定代表人（单位负责人）身份证明</w:t>
      </w:r>
      <w:bookmarkEnd w:id="221"/>
      <w:bookmarkEnd w:id="222"/>
    </w:p>
    <w:p w14:paraId="05D15060">
      <w:r>
        <w:rPr>
          <w:rFonts w:hint="eastAsia"/>
        </w:rPr>
        <w:t>I. Preuve d'identité du représentant légal (personne responsable de l'organisation)</w:t>
      </w:r>
    </w:p>
    <w:p w14:paraId="4A0530D7">
      <w:pPr>
        <w:spacing w:line="360" w:lineRule="auto"/>
        <w:ind w:firstLine="420" w:firstLineChars="200"/>
        <w:jc w:val="left"/>
        <w:rPr>
          <w:rFonts w:cs="宋体"/>
          <w:szCs w:val="21"/>
        </w:rPr>
      </w:pPr>
    </w:p>
    <w:p w14:paraId="442F8A43">
      <w:pPr>
        <w:adjustRightInd w:val="0"/>
        <w:snapToGrid w:val="0"/>
        <w:spacing w:line="360" w:lineRule="auto"/>
        <w:ind w:firstLine="420" w:firstLineChars="200"/>
        <w:rPr>
          <w:rFonts w:cs="宋体"/>
          <w:szCs w:val="21"/>
        </w:rPr>
      </w:pPr>
      <w:r>
        <w:rPr>
          <w:rFonts w:hint="eastAsia" w:cs="宋体"/>
          <w:szCs w:val="21"/>
        </w:rPr>
        <w:t>响应人名称：</w:t>
      </w:r>
      <w:r>
        <w:rPr>
          <w:rFonts w:hint="eastAsia" w:cs="宋体"/>
          <w:szCs w:val="21"/>
          <w:u w:val="single"/>
        </w:rPr>
        <w:t xml:space="preserve">                                </w:t>
      </w:r>
      <w:r>
        <w:rPr>
          <w:rFonts w:hint="eastAsia" w:cs="宋体"/>
          <w:szCs w:val="21"/>
        </w:rPr>
        <w:t xml:space="preserve"> </w:t>
      </w:r>
      <w:r>
        <w:rPr>
          <w:rFonts w:hint="eastAsia" w:cs="宋体"/>
          <w:szCs w:val="21"/>
          <w:u w:val="single"/>
        </w:rPr>
        <w:t xml:space="preserve">                   </w:t>
      </w:r>
      <w:r>
        <w:rPr>
          <w:rFonts w:hint="eastAsia" w:cs="宋体"/>
          <w:szCs w:val="21"/>
        </w:rPr>
        <w:t xml:space="preserve"> </w:t>
      </w:r>
    </w:p>
    <w:p w14:paraId="6ED8043A">
      <w:pPr>
        <w:overflowPunct w:val="0"/>
        <w:adjustRightInd w:val="0"/>
        <w:snapToGrid w:val="0"/>
        <w:spacing w:line="360" w:lineRule="auto"/>
        <w:ind w:firstLine="420" w:firstLineChars="200"/>
        <w:rPr>
          <w:rFonts w:cs="宋体"/>
          <w:szCs w:val="21"/>
          <w:u w:val="single"/>
        </w:rPr>
      </w:pPr>
      <w:r>
        <w:rPr>
          <w:rFonts w:hint="eastAsia" w:cs="宋体"/>
          <w:szCs w:val="21"/>
        </w:rPr>
        <w:t>姓名：</w:t>
      </w:r>
      <w:r>
        <w:rPr>
          <w:rFonts w:hint="eastAsia" w:cs="宋体"/>
          <w:szCs w:val="21"/>
          <w:u w:val="single"/>
        </w:rPr>
        <w:t xml:space="preserve">          </w:t>
      </w:r>
      <w:r>
        <w:rPr>
          <w:rFonts w:hint="eastAsia" w:cs="宋体"/>
          <w:szCs w:val="21"/>
        </w:rPr>
        <w:t>性别：</w:t>
      </w:r>
      <w:r>
        <w:rPr>
          <w:rFonts w:hint="eastAsia" w:cs="宋体"/>
          <w:szCs w:val="21"/>
          <w:u w:val="single"/>
        </w:rPr>
        <w:t xml:space="preserve">        </w:t>
      </w:r>
      <w:r>
        <w:rPr>
          <w:rFonts w:hint="eastAsia" w:cs="宋体"/>
          <w:szCs w:val="21"/>
        </w:rPr>
        <w:t>年龄：</w:t>
      </w:r>
      <w:r>
        <w:rPr>
          <w:rFonts w:hint="eastAsia" w:cs="宋体"/>
          <w:szCs w:val="21"/>
          <w:u w:val="single"/>
        </w:rPr>
        <w:t xml:space="preserve">        </w:t>
      </w:r>
      <w:r>
        <w:rPr>
          <w:rFonts w:hint="eastAsia" w:cs="宋体"/>
          <w:szCs w:val="21"/>
        </w:rPr>
        <w:t>职务：</w:t>
      </w:r>
      <w:r>
        <w:rPr>
          <w:rFonts w:hint="eastAsia" w:cs="宋体"/>
          <w:szCs w:val="21"/>
          <w:u w:val="single"/>
        </w:rPr>
        <w:t xml:space="preserve">         </w:t>
      </w:r>
      <w:r>
        <w:rPr>
          <w:rFonts w:hint="eastAsia" w:cs="宋体"/>
          <w:szCs w:val="21"/>
        </w:rPr>
        <w:t>联系电话：</w:t>
      </w:r>
      <w:r>
        <w:rPr>
          <w:rFonts w:hint="eastAsia" w:cs="宋体"/>
          <w:szCs w:val="21"/>
          <w:u w:val="single"/>
        </w:rPr>
        <w:t xml:space="preserve">      </w:t>
      </w:r>
    </w:p>
    <w:p w14:paraId="702727BE">
      <w:pPr>
        <w:overflowPunct w:val="0"/>
        <w:adjustRightInd w:val="0"/>
        <w:snapToGrid w:val="0"/>
        <w:spacing w:line="360" w:lineRule="auto"/>
        <w:ind w:firstLine="420" w:firstLineChars="200"/>
        <w:rPr>
          <w:rFonts w:cs="宋体"/>
          <w:szCs w:val="21"/>
        </w:rPr>
      </w:pPr>
      <w:r>
        <w:rPr>
          <w:rFonts w:hint="eastAsia" w:cs="宋体"/>
          <w:szCs w:val="21"/>
        </w:rPr>
        <w:t>系</w:t>
      </w:r>
      <w:r>
        <w:rPr>
          <w:rFonts w:hint="eastAsia" w:cs="宋体"/>
          <w:szCs w:val="21"/>
          <w:u w:val="single"/>
        </w:rPr>
        <w:t xml:space="preserve">                       </w:t>
      </w:r>
      <w:r>
        <w:rPr>
          <w:rFonts w:hint="eastAsia" w:cs="宋体"/>
          <w:szCs w:val="21"/>
        </w:rPr>
        <w:t>（响应人名称）的法定代表人（单位负责人）。</w:t>
      </w:r>
    </w:p>
    <w:p w14:paraId="292C9BD6">
      <w:pPr>
        <w:adjustRightInd w:val="0"/>
        <w:snapToGrid w:val="0"/>
        <w:spacing w:line="360" w:lineRule="auto"/>
        <w:ind w:firstLine="840" w:firstLineChars="400"/>
        <w:rPr>
          <w:rFonts w:cs="宋体"/>
          <w:szCs w:val="21"/>
        </w:rPr>
      </w:pPr>
      <w:r>
        <w:rPr>
          <w:rFonts w:hint="eastAsia" w:cs="宋体"/>
          <w:szCs w:val="21"/>
        </w:rPr>
        <w:t>特此证明。</w:t>
      </w:r>
    </w:p>
    <w:p w14:paraId="2F63254E">
      <w:pPr>
        <w:spacing w:line="360" w:lineRule="auto"/>
        <w:ind w:firstLine="420" w:firstLineChars="200"/>
      </w:pPr>
      <w:r>
        <w:rPr>
          <w:rFonts w:hint="eastAsia"/>
        </w:rPr>
        <w:t xml:space="preserve">Nom du répondant :                                                     </w:t>
      </w:r>
    </w:p>
    <w:p w14:paraId="099ADC88">
      <w:pPr>
        <w:spacing w:line="360" w:lineRule="auto"/>
        <w:ind w:firstLine="420" w:firstLineChars="200"/>
      </w:pPr>
      <w:r>
        <w:rPr>
          <w:rFonts w:hint="eastAsia"/>
        </w:rPr>
        <w:t xml:space="preserve">Nom : Sexe : </w:t>
      </w:r>
      <w:r>
        <w:rPr>
          <w:rFonts w:hint="eastAsia"/>
          <w:u w:val="single"/>
        </w:rPr>
        <w:t>_</w:t>
      </w:r>
      <w:r>
        <w:rPr>
          <w:u w:val="single"/>
        </w:rPr>
        <w:t xml:space="preserve"> </w:t>
      </w:r>
      <w:r>
        <w:rPr>
          <w:rFonts w:hint="eastAsia"/>
          <w:u w:val="single"/>
        </w:rPr>
        <w:t>_</w:t>
      </w:r>
      <w:r>
        <w:rPr>
          <w:u w:val="single"/>
        </w:rPr>
        <w:t xml:space="preserve">   </w:t>
      </w:r>
      <w:r>
        <w:rPr>
          <w:rFonts w:hint="eastAsia"/>
        </w:rPr>
        <w:t xml:space="preserve">___Age :_____ Fonction :____________ Contact Tel :______________      </w:t>
      </w:r>
    </w:p>
    <w:p w14:paraId="150B13EB">
      <w:pPr>
        <w:spacing w:line="360" w:lineRule="auto"/>
        <w:ind w:firstLine="420" w:firstLineChars="200"/>
      </w:pPr>
      <w:r>
        <w:rPr>
          <w:rFonts w:hint="eastAsia"/>
        </w:rPr>
        <w:t>Département du représentant légal de (nom du défendeur) (chef d'unité).</w:t>
      </w:r>
    </w:p>
    <w:p w14:paraId="6507CEEC">
      <w:pPr>
        <w:spacing w:line="360" w:lineRule="auto"/>
        <w:ind w:firstLine="420" w:firstLineChars="200"/>
        <w:rPr>
          <w:lang w:val="en-US"/>
        </w:rPr>
      </w:pPr>
      <w:r>
        <w:rPr>
          <w:rFonts w:hint="eastAsia"/>
          <w:lang w:val="en-US"/>
        </w:rPr>
        <w:t>Certifié par la présente.</w:t>
      </w:r>
    </w:p>
    <w:p w14:paraId="779A288B">
      <w:pPr>
        <w:spacing w:line="360" w:lineRule="auto"/>
        <w:ind w:firstLine="420" w:firstLineChars="200"/>
        <w:rPr>
          <w:lang w:val="en-US"/>
        </w:rPr>
      </w:pPr>
    </w:p>
    <w:p w14:paraId="70126384">
      <w:pPr>
        <w:spacing w:line="360" w:lineRule="auto"/>
        <w:ind w:firstLine="420" w:firstLineChars="200"/>
      </w:pPr>
      <w:r>
        <w:rPr>
          <w:rFonts w:hint="eastAsia"/>
        </w:rPr>
        <w:t>附：法定代表人（单位负责人）身份证复印件。</w:t>
      </w:r>
    </w:p>
    <w:p w14:paraId="0C80A515">
      <w:pPr>
        <w:adjustRightInd w:val="0"/>
        <w:snapToGrid w:val="0"/>
        <w:spacing w:line="360" w:lineRule="auto"/>
        <w:ind w:firstLine="420" w:firstLineChars="200"/>
        <w:rPr>
          <w:rFonts w:cs="宋体"/>
          <w:szCs w:val="21"/>
        </w:rPr>
      </w:pPr>
      <w:r>
        <w:rPr>
          <w:rFonts w:hint="eastAsia"/>
        </w:rPr>
        <w:t>注：本身份证明需由响应人加盖单位公章。</w:t>
      </w:r>
    </w:p>
    <w:p w14:paraId="3E49E049">
      <w:pPr>
        <w:spacing w:line="360" w:lineRule="auto"/>
        <w:ind w:firstLine="420" w:firstLineChars="200"/>
      </w:pPr>
      <w:r>
        <w:rPr>
          <w:rFonts w:hint="eastAsia"/>
        </w:rPr>
        <w:t>Pièce jointe : une copie de la carte d'identité du représentant légal (responsable de l'unité).</w:t>
      </w:r>
    </w:p>
    <w:p w14:paraId="332E1933">
      <w:pPr>
        <w:spacing w:line="360" w:lineRule="auto"/>
        <w:ind w:firstLine="420" w:firstLineChars="200"/>
      </w:pPr>
      <w:r>
        <w:rPr>
          <w:rFonts w:hint="eastAsia"/>
        </w:rPr>
        <w:t>Remarque : cette pièce d'identité doit porter le cachet officiel de l'unité apposé par le défendeur.</w:t>
      </w:r>
    </w:p>
    <w:p w14:paraId="0A899AB7">
      <w:pPr>
        <w:adjustRightInd w:val="0"/>
        <w:snapToGrid w:val="0"/>
        <w:spacing w:line="360" w:lineRule="auto"/>
        <w:ind w:firstLine="420" w:firstLineChars="200"/>
        <w:rPr>
          <w:rFonts w:cs="宋体"/>
          <w:szCs w:val="21"/>
        </w:rPr>
      </w:pPr>
    </w:p>
    <w:p w14:paraId="5C010225">
      <w:pPr>
        <w:adjustRightInd w:val="0"/>
        <w:snapToGrid w:val="0"/>
        <w:spacing w:line="360" w:lineRule="auto"/>
        <w:ind w:firstLine="4200" w:firstLineChars="2000"/>
        <w:rPr>
          <w:rFonts w:cs="宋体"/>
          <w:szCs w:val="21"/>
        </w:rPr>
      </w:pPr>
      <w:r>
        <w:rPr>
          <w:rFonts w:hint="eastAsia" w:cs="宋体"/>
          <w:szCs w:val="21"/>
        </w:rPr>
        <w:t>响应人：</w:t>
      </w:r>
      <w:r>
        <w:rPr>
          <w:rFonts w:hint="eastAsia" w:cs="宋体"/>
          <w:szCs w:val="21"/>
          <w:u w:val="single"/>
        </w:rPr>
        <w:t xml:space="preserve">                      </w:t>
      </w:r>
      <w:r>
        <w:rPr>
          <w:rFonts w:hint="eastAsia" w:cs="宋体"/>
          <w:szCs w:val="21"/>
        </w:rPr>
        <w:t>（盖单位章）</w:t>
      </w:r>
    </w:p>
    <w:p w14:paraId="2DBC30F7">
      <w:pPr>
        <w:adjustRightInd w:val="0"/>
        <w:snapToGrid w:val="0"/>
        <w:spacing w:line="360" w:lineRule="auto"/>
        <w:ind w:firstLine="4533" w:firstLineChars="2150"/>
        <w:rPr>
          <w:rFonts w:cs="宋体"/>
          <w:b/>
          <w:bCs/>
          <w:szCs w:val="21"/>
          <w:u w:val="single"/>
        </w:rPr>
      </w:pPr>
      <w:r>
        <w:rPr>
          <w:rFonts w:hint="eastAsia" w:cs="宋体"/>
          <w:b/>
          <w:bCs/>
          <w:szCs w:val="21"/>
          <w:u w:val="single"/>
        </w:rPr>
        <w:t>Répondant :                 (cachet de l'unité)</w:t>
      </w:r>
    </w:p>
    <w:p w14:paraId="27AF404F">
      <w:pPr>
        <w:adjustRightInd w:val="0"/>
        <w:snapToGrid w:val="0"/>
        <w:spacing w:line="360" w:lineRule="auto"/>
        <w:ind w:firstLine="4935" w:firstLineChars="2350"/>
        <w:rPr>
          <w:rFonts w:cs="宋体"/>
          <w:szCs w:val="21"/>
        </w:rPr>
      </w:pPr>
      <w:r>
        <w:rPr>
          <w:rFonts w:hint="eastAsia" w:cs="宋体"/>
          <w:szCs w:val="21"/>
          <w:u w:val="single"/>
        </w:rPr>
        <w:t xml:space="preserve">        </w:t>
      </w:r>
      <w:r>
        <w:rPr>
          <w:rFonts w:hint="eastAsia" w:cs="宋体"/>
          <w:szCs w:val="21"/>
        </w:rPr>
        <w:t>年</w:t>
      </w:r>
      <w:r>
        <w:rPr>
          <w:rFonts w:hint="eastAsia" w:cs="宋体"/>
          <w:szCs w:val="21"/>
          <w:u w:val="single"/>
        </w:rPr>
        <w:t xml:space="preserve">        </w:t>
      </w:r>
      <w:r>
        <w:rPr>
          <w:rFonts w:hint="eastAsia" w:cs="宋体"/>
          <w:szCs w:val="21"/>
        </w:rPr>
        <w:t>月</w:t>
      </w:r>
      <w:r>
        <w:rPr>
          <w:rFonts w:hint="eastAsia" w:cs="宋体"/>
          <w:szCs w:val="21"/>
          <w:u w:val="single"/>
        </w:rPr>
        <w:t xml:space="preserve">        </w:t>
      </w:r>
      <w:r>
        <w:rPr>
          <w:rFonts w:hint="eastAsia" w:cs="宋体"/>
          <w:szCs w:val="21"/>
        </w:rPr>
        <w:t>日</w:t>
      </w:r>
    </w:p>
    <w:p w14:paraId="0942E29B">
      <w:pPr>
        <w:adjustRightInd w:val="0"/>
        <w:snapToGrid w:val="0"/>
        <w:spacing w:line="360" w:lineRule="auto"/>
        <w:ind w:firstLine="420" w:firstLineChars="200"/>
        <w:jc w:val="right"/>
        <w:rPr>
          <w:rFonts w:cs="宋体"/>
          <w:b/>
          <w:bCs/>
          <w:szCs w:val="21"/>
          <w:u w:val="single"/>
        </w:rPr>
      </w:pPr>
      <w:r>
        <w:rPr>
          <w:rFonts w:hint="eastAsia" w:cs="宋体"/>
          <w:szCs w:val="21"/>
        </w:rPr>
        <w:t xml:space="preserve">   </w:t>
      </w:r>
      <w:r>
        <w:rPr>
          <w:rFonts w:hint="eastAsia" w:cs="宋体"/>
          <w:b/>
          <w:bCs/>
          <w:szCs w:val="21"/>
          <w:u w:val="single"/>
        </w:rPr>
        <w:t xml:space="preserve">     Jour      mois      l'année</w:t>
      </w:r>
    </w:p>
    <w:tbl>
      <w:tblPr>
        <w:tblStyle w:val="34"/>
        <w:tblpPr w:leftFromText="180" w:rightFromText="180" w:vertAnchor="text" w:horzAnchor="page" w:tblpXSpec="center" w:tblpY="423"/>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14:paraId="24B3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7" w:hRule="atLeast"/>
          <w:jc w:val="center"/>
        </w:trPr>
        <w:tc>
          <w:tcPr>
            <w:tcW w:w="9571" w:type="dxa"/>
            <w:tcBorders>
              <w:top w:val="single" w:color="auto" w:sz="4" w:space="0"/>
              <w:left w:val="single" w:color="auto" w:sz="4" w:space="0"/>
              <w:bottom w:val="single" w:color="auto" w:sz="4" w:space="0"/>
              <w:right w:val="single" w:color="auto" w:sz="4" w:space="0"/>
            </w:tcBorders>
            <w:vAlign w:val="center"/>
          </w:tcPr>
          <w:p w14:paraId="65FC07DB">
            <w:pPr>
              <w:adjustRightInd w:val="0"/>
              <w:snapToGrid w:val="0"/>
              <w:spacing w:line="360" w:lineRule="auto"/>
              <w:jc w:val="center"/>
              <w:rPr>
                <w:szCs w:val="21"/>
              </w:rPr>
            </w:pPr>
            <w:r>
              <w:rPr>
                <w:rFonts w:hint="eastAsia"/>
                <w:szCs w:val="21"/>
              </w:rPr>
              <w:t>法定代表人身份证正反面扫描件粘贴处</w:t>
            </w:r>
          </w:p>
          <w:p w14:paraId="10C65B91">
            <w:pPr>
              <w:adjustRightInd w:val="0"/>
              <w:snapToGrid w:val="0"/>
              <w:spacing w:line="360" w:lineRule="auto"/>
              <w:jc w:val="center"/>
              <w:rPr>
                <w:szCs w:val="21"/>
              </w:rPr>
            </w:pPr>
            <w:r>
              <w:rPr>
                <w:rFonts w:hint="eastAsia"/>
              </w:rPr>
              <w:t>Carte d'identité du représentant légal, recto et verso, copie scannée du lieu de collage</w:t>
            </w:r>
          </w:p>
        </w:tc>
      </w:tr>
    </w:tbl>
    <w:p w14:paraId="1425BABB">
      <w:pPr>
        <w:pStyle w:val="164"/>
        <w:ind w:left="5250"/>
        <w:rPr>
          <w:rFonts w:eastAsia="宋体"/>
        </w:rPr>
        <w:sectPr>
          <w:pgSz w:w="11906" w:h="16838"/>
          <w:pgMar w:top="1417" w:right="1134" w:bottom="1134" w:left="1417" w:header="851" w:footer="850" w:gutter="0"/>
          <w:cols w:space="720" w:num="1"/>
          <w:docGrid w:linePitch="312" w:charSpace="0"/>
        </w:sectPr>
      </w:pPr>
    </w:p>
    <w:p w14:paraId="0679602B">
      <w:pPr>
        <w:pStyle w:val="3"/>
        <w:spacing w:before="0" w:after="0" w:line="360" w:lineRule="auto"/>
        <w:rPr>
          <w:rFonts w:ascii="Times New Roman" w:hAnsi="Times New Roman" w:cs="宋体"/>
          <w:kern w:val="2"/>
          <w:szCs w:val="21"/>
        </w:rPr>
      </w:pPr>
      <w:bookmarkStart w:id="223" w:name="_Toc26735"/>
      <w:bookmarkStart w:id="224" w:name="_Toc12892"/>
      <w:r>
        <w:rPr>
          <w:rFonts w:hint="eastAsia" w:ascii="Times New Roman" w:hAnsi="Times New Roman" w:cs="宋体"/>
          <w:kern w:val="2"/>
          <w:szCs w:val="21"/>
        </w:rPr>
        <w:t>二、授权委托书</w:t>
      </w:r>
      <w:bookmarkEnd w:id="223"/>
      <w:bookmarkEnd w:id="224"/>
    </w:p>
    <w:p w14:paraId="796B08FD">
      <w:pPr>
        <w:adjustRightInd w:val="0"/>
        <w:snapToGrid w:val="0"/>
        <w:spacing w:line="360" w:lineRule="auto"/>
        <w:jc w:val="center"/>
        <w:rPr>
          <w:rFonts w:cs="宋体"/>
          <w:b/>
          <w:bCs/>
          <w:szCs w:val="21"/>
        </w:rPr>
      </w:pPr>
      <w:r>
        <w:rPr>
          <w:rFonts w:hint="eastAsia" w:cs="宋体"/>
          <w:b/>
          <w:bCs/>
          <w:szCs w:val="21"/>
        </w:rPr>
        <w:t>II. procuration</w:t>
      </w:r>
    </w:p>
    <w:p w14:paraId="1A44DB08">
      <w:pPr>
        <w:tabs>
          <w:tab w:val="left" w:pos="630"/>
        </w:tabs>
        <w:spacing w:line="360" w:lineRule="auto"/>
        <w:jc w:val="center"/>
        <w:rPr>
          <w:sz w:val="24"/>
        </w:rPr>
      </w:pPr>
      <w:r>
        <w:rPr>
          <w:rFonts w:hint="eastAsia"/>
          <w:sz w:val="24"/>
        </w:rPr>
        <w:t>响应人法定代表人授权书（格式）</w:t>
      </w:r>
    </w:p>
    <w:p w14:paraId="5E9384F7">
      <w:pPr>
        <w:tabs>
          <w:tab w:val="left" w:pos="630"/>
          <w:tab w:val="left" w:pos="7350"/>
        </w:tabs>
        <w:spacing w:line="360" w:lineRule="auto"/>
        <w:jc w:val="center"/>
      </w:pPr>
      <w:r>
        <w:rPr>
          <w:rFonts w:hint="eastAsia"/>
        </w:rPr>
        <w:t>（适用于有委托代理人的情况）</w:t>
      </w:r>
    </w:p>
    <w:p w14:paraId="5C60E75F">
      <w:pPr>
        <w:tabs>
          <w:tab w:val="left" w:pos="630"/>
          <w:tab w:val="left" w:pos="7350"/>
        </w:tabs>
        <w:spacing w:line="360" w:lineRule="auto"/>
        <w:jc w:val="center"/>
      </w:pPr>
      <w:r>
        <w:rPr>
          <w:rFonts w:hint="eastAsia"/>
        </w:rPr>
        <w:t>Lettre d'autorisation du représentant légal du répondant (Format)</w:t>
      </w:r>
    </w:p>
    <w:p w14:paraId="0C991A15">
      <w:pPr>
        <w:tabs>
          <w:tab w:val="left" w:pos="630"/>
          <w:tab w:val="left" w:pos="7350"/>
        </w:tabs>
        <w:spacing w:line="360" w:lineRule="auto"/>
        <w:jc w:val="center"/>
      </w:pPr>
      <w:r>
        <w:rPr>
          <w:rFonts w:hint="eastAsia"/>
        </w:rPr>
        <w:t>(Applicable s'il y a un mandataire)</w:t>
      </w:r>
    </w:p>
    <w:p w14:paraId="688A40B0">
      <w:pPr>
        <w:tabs>
          <w:tab w:val="left" w:pos="630"/>
          <w:tab w:val="left" w:pos="7350"/>
        </w:tabs>
        <w:spacing w:line="360" w:lineRule="auto"/>
        <w:rPr>
          <w:u w:val="single"/>
        </w:rPr>
      </w:pPr>
      <w:r>
        <w:rPr>
          <w:rFonts w:hint="eastAsia"/>
        </w:rPr>
        <w:t>项目名称/Nom du projet：</w:t>
      </w:r>
      <w:r>
        <w:rPr>
          <w:u w:val="single"/>
        </w:rPr>
        <w:t xml:space="preserve">                             </w:t>
      </w:r>
    </w:p>
    <w:p w14:paraId="1AE08E76">
      <w:pPr>
        <w:tabs>
          <w:tab w:val="left" w:pos="630"/>
          <w:tab w:val="left" w:pos="7920"/>
          <w:tab w:val="left" w:pos="8520"/>
        </w:tabs>
        <w:spacing w:line="360" w:lineRule="auto"/>
        <w:rPr>
          <w:u w:val="single"/>
        </w:rPr>
      </w:pPr>
      <w:r>
        <w:rPr>
          <w:rFonts w:hint="eastAsia"/>
        </w:rPr>
        <w:t>日</w:t>
      </w:r>
      <w:r>
        <w:t xml:space="preserve">    </w:t>
      </w:r>
      <w:r>
        <w:rPr>
          <w:rFonts w:hint="eastAsia"/>
        </w:rPr>
        <w:t>期/Date：</w:t>
      </w:r>
      <w:r>
        <w:rPr>
          <w:u w:val="single"/>
        </w:rPr>
        <w:t xml:space="preserve">                             </w:t>
      </w:r>
    </w:p>
    <w:p w14:paraId="33C5F546">
      <w:pPr>
        <w:tabs>
          <w:tab w:val="left" w:pos="630"/>
          <w:tab w:val="left" w:pos="7920"/>
          <w:tab w:val="left" w:pos="8520"/>
        </w:tabs>
        <w:spacing w:line="360" w:lineRule="auto"/>
        <w:rPr>
          <w:u w:val="single"/>
        </w:rPr>
      </w:pPr>
    </w:p>
    <w:p w14:paraId="4C5F3EF1">
      <w:pPr>
        <w:tabs>
          <w:tab w:val="left" w:pos="630"/>
        </w:tabs>
        <w:spacing w:line="360" w:lineRule="auto"/>
      </w:pPr>
      <w:r>
        <w:rPr>
          <w:rFonts w:hint="eastAsia"/>
        </w:rPr>
        <w:t>致：国家电投集团铝电投资有限公司</w:t>
      </w:r>
      <w:r>
        <w:t xml:space="preserve">    </w:t>
      </w:r>
    </w:p>
    <w:p w14:paraId="7CFE8C72">
      <w:pPr>
        <w:tabs>
          <w:tab w:val="left" w:pos="630"/>
        </w:tabs>
        <w:spacing w:line="360" w:lineRule="auto"/>
        <w:ind w:firstLine="420" w:firstLineChars="200"/>
      </w:pPr>
      <w:r>
        <w:rPr>
          <w:rFonts w:hint="eastAsia"/>
          <w:u w:val="single"/>
        </w:rPr>
        <w:t>（响应人名称）</w:t>
      </w:r>
      <w:r>
        <w:rPr>
          <w:u w:val="single"/>
        </w:rPr>
        <w:t xml:space="preserve"> </w:t>
      </w:r>
      <w:r>
        <w:rPr>
          <w:rFonts w:hint="eastAsia"/>
        </w:rPr>
        <w:t>，中华人民共和国合法企业，法定地址</w:t>
      </w:r>
      <w:r>
        <w:rPr>
          <w:u w:val="single"/>
        </w:rPr>
        <w:t xml:space="preserve">                        </w:t>
      </w:r>
      <w:r>
        <w:rPr>
          <w:rFonts w:hint="eastAsia"/>
        </w:rPr>
        <w:t>。</w:t>
      </w:r>
    </w:p>
    <w:p w14:paraId="4C5EFD01">
      <w:pPr>
        <w:tabs>
          <w:tab w:val="left" w:pos="420"/>
        </w:tabs>
        <w:spacing w:line="360" w:lineRule="auto"/>
      </w:pPr>
      <w:r>
        <w:tab/>
      </w:r>
      <w:r>
        <w:rPr>
          <w:rFonts w:hint="eastAsia"/>
          <w:u w:val="single"/>
        </w:rPr>
        <w:t>（授权人姓名）</w:t>
      </w:r>
      <w:r>
        <w:rPr>
          <w:rFonts w:hint="eastAsia"/>
        </w:rPr>
        <w:t>特授权</w:t>
      </w:r>
      <w:r>
        <w:rPr>
          <w:rFonts w:hint="eastAsia"/>
          <w:u w:val="single"/>
        </w:rPr>
        <w:t>（被授权人姓名）</w:t>
      </w:r>
      <w:r>
        <w:rPr>
          <w:rFonts w:hint="eastAsia"/>
        </w:rPr>
        <w:t>代表我公司全权办理针对上述项目的报价、谈判、签约等具体工作，并签署全部有关的文件、协议及合同。</w:t>
      </w:r>
    </w:p>
    <w:p w14:paraId="731CF87C">
      <w:pPr>
        <w:tabs>
          <w:tab w:val="left" w:pos="420"/>
        </w:tabs>
        <w:spacing w:line="360" w:lineRule="auto"/>
      </w:pPr>
      <w:r>
        <w:tab/>
      </w:r>
      <w:r>
        <w:rPr>
          <w:rFonts w:hint="eastAsia"/>
        </w:rPr>
        <w:t>我公司对被授权人的签名负全部责任。</w:t>
      </w:r>
    </w:p>
    <w:p w14:paraId="3975A72E">
      <w:pPr>
        <w:tabs>
          <w:tab w:val="left" w:pos="420"/>
        </w:tabs>
        <w:spacing w:line="360" w:lineRule="auto"/>
      </w:pPr>
      <w:r>
        <w:tab/>
      </w:r>
      <w:r>
        <w:rPr>
          <w:rFonts w:hint="eastAsia"/>
        </w:rPr>
        <w:t>在撤销授权的书面通知以前，本授权书一直有效。被授权人签署的所有文件（在授权书有效期内签署的）不因授权的撤消而失效。</w:t>
      </w:r>
    </w:p>
    <w:p w14:paraId="719B6C8B">
      <w:pPr>
        <w:tabs>
          <w:tab w:val="left" w:pos="210"/>
          <w:tab w:val="left" w:pos="7560"/>
        </w:tabs>
        <w:spacing w:line="360" w:lineRule="auto"/>
      </w:pPr>
      <w:r>
        <w:tab/>
      </w:r>
      <w:r>
        <w:rPr>
          <w:rFonts w:hint="eastAsia"/>
        </w:rPr>
        <w:t>被授权人签名：</w:t>
      </w:r>
      <w:r>
        <w:rPr>
          <w:u w:val="single"/>
        </w:rPr>
        <w:t xml:space="preserve">           </w:t>
      </w:r>
      <w:r>
        <w:t xml:space="preserve">                      </w:t>
      </w:r>
      <w:r>
        <w:rPr>
          <w:rFonts w:hint="eastAsia"/>
        </w:rPr>
        <w:t>授权人签名：</w:t>
      </w:r>
      <w:r>
        <w:rPr>
          <w:u w:val="single"/>
        </w:rPr>
        <w:tab/>
      </w:r>
    </w:p>
    <w:p w14:paraId="72A012B8">
      <w:pPr>
        <w:tabs>
          <w:tab w:val="left" w:pos="210"/>
          <w:tab w:val="left" w:pos="7560"/>
        </w:tabs>
        <w:spacing w:line="360" w:lineRule="auto"/>
        <w:rPr>
          <w:u w:val="single"/>
        </w:rPr>
      </w:pPr>
      <w:r>
        <w:tab/>
      </w:r>
      <w:r>
        <w:rPr>
          <w:rFonts w:hint="eastAsia"/>
        </w:rPr>
        <w:t>职</w:t>
      </w:r>
      <w:r>
        <w:t xml:space="preserve">        </w:t>
      </w:r>
      <w:r>
        <w:rPr>
          <w:rFonts w:hint="eastAsia"/>
        </w:rPr>
        <w:t>务：</w:t>
      </w:r>
      <w:r>
        <w:rPr>
          <w:u w:val="single"/>
        </w:rPr>
        <w:t xml:space="preserve">           </w:t>
      </w:r>
      <w:r>
        <w:t xml:space="preserve">                      </w:t>
      </w:r>
      <w:r>
        <w:rPr>
          <w:rFonts w:hint="eastAsia"/>
        </w:rPr>
        <w:t>职</w:t>
      </w:r>
      <w:r>
        <w:t xml:space="preserve">      </w:t>
      </w:r>
      <w:r>
        <w:rPr>
          <w:rFonts w:hint="eastAsia"/>
        </w:rPr>
        <w:t>务：</w:t>
      </w:r>
      <w:r>
        <w:rPr>
          <w:u w:val="single"/>
        </w:rPr>
        <w:tab/>
      </w:r>
    </w:p>
    <w:p w14:paraId="01FB115D">
      <w:pPr>
        <w:tabs>
          <w:tab w:val="left" w:pos="630"/>
          <w:tab w:val="left" w:pos="7560"/>
        </w:tabs>
        <w:spacing w:line="360" w:lineRule="auto"/>
        <w:ind w:firstLine="210" w:firstLineChars="100"/>
      </w:pPr>
      <w:r>
        <w:rPr>
          <w:rFonts w:hint="eastAsia"/>
        </w:rPr>
        <w:t>联系电话（手机）：</w:t>
      </w:r>
      <w:r>
        <w:rPr>
          <w:u w:val="single"/>
        </w:rPr>
        <w:t xml:space="preserve">           </w:t>
      </w:r>
      <w:r>
        <w:t xml:space="preserve">                  </w:t>
      </w:r>
      <w:r>
        <w:rPr>
          <w:rFonts w:hint="eastAsia"/>
        </w:rPr>
        <w:t>联系电话（手机）：</w:t>
      </w:r>
      <w:r>
        <w:rPr>
          <w:u w:val="single"/>
        </w:rPr>
        <w:t xml:space="preserve">           </w:t>
      </w:r>
      <w:r>
        <w:t xml:space="preserve"> </w:t>
      </w:r>
      <w:r>
        <w:rPr>
          <w:rFonts w:hint="eastAsia"/>
        </w:rPr>
        <w:t>.</w:t>
      </w:r>
      <w:r>
        <w:rPr>
          <w:rFonts w:hint="eastAsia"/>
          <w:u w:val="single"/>
        </w:rPr>
        <w:t xml:space="preserve">      </w:t>
      </w:r>
    </w:p>
    <w:p w14:paraId="17D5BB49">
      <w:pPr>
        <w:spacing w:line="360" w:lineRule="auto"/>
        <w:jc w:val="center"/>
      </w:pPr>
      <w:r>
        <w:t xml:space="preserve">                                 </w:t>
      </w:r>
    </w:p>
    <w:p w14:paraId="7D7E9039">
      <w:pPr>
        <w:spacing w:line="360" w:lineRule="auto"/>
        <w:jc w:val="center"/>
      </w:pPr>
    </w:p>
    <w:p w14:paraId="7B6FCE18">
      <w:pPr>
        <w:spacing w:line="360" w:lineRule="auto"/>
        <w:jc w:val="center"/>
        <w:rPr>
          <w:szCs w:val="22"/>
        </w:rPr>
      </w:pPr>
      <w:r>
        <w:rPr>
          <w:rFonts w:hint="eastAsia"/>
        </w:rPr>
        <w:t xml:space="preserve">                          响应人：</w:t>
      </w:r>
      <w:r>
        <w:rPr>
          <w:szCs w:val="21"/>
          <w:u w:val="single"/>
        </w:rPr>
        <w:t xml:space="preserve">           </w:t>
      </w:r>
      <w:r>
        <w:rPr>
          <w:szCs w:val="21"/>
          <w:u w:val="single"/>
        </w:rPr>
        <w:tab/>
      </w:r>
      <w:r>
        <w:rPr>
          <w:rFonts w:hint="eastAsia" w:cs="宋体"/>
          <w:szCs w:val="21"/>
        </w:rPr>
        <w:t>（盖单位章）</w:t>
      </w:r>
    </w:p>
    <w:p w14:paraId="0B42646F">
      <w:pPr>
        <w:spacing w:line="360" w:lineRule="auto"/>
      </w:pPr>
    </w:p>
    <w:p w14:paraId="0D13B797">
      <w:pPr>
        <w:spacing w:line="360" w:lineRule="auto"/>
        <w:ind w:firstLine="5040" w:firstLineChars="2400"/>
      </w:pPr>
      <w:r>
        <w:rPr>
          <w:u w:val="single"/>
        </w:rPr>
        <w:t xml:space="preserve">      </w:t>
      </w:r>
      <w:r>
        <w:rPr>
          <w:rFonts w:hint="eastAsia"/>
        </w:rPr>
        <w:t>年</w:t>
      </w:r>
      <w:r>
        <w:rPr>
          <w:u w:val="single"/>
        </w:rPr>
        <w:t xml:space="preserve">      </w:t>
      </w:r>
      <w:r>
        <w:rPr>
          <w:rFonts w:hint="eastAsia"/>
        </w:rPr>
        <w:t>月</w:t>
      </w:r>
      <w:r>
        <w:rPr>
          <w:u w:val="single"/>
        </w:rPr>
        <w:t xml:space="preserve">      </w:t>
      </w:r>
      <w:r>
        <w:rPr>
          <w:rFonts w:hint="eastAsia"/>
        </w:rPr>
        <w:t>日</w:t>
      </w:r>
    </w:p>
    <w:p w14:paraId="4876D759">
      <w:pPr>
        <w:tabs>
          <w:tab w:val="left" w:pos="630"/>
          <w:tab w:val="left" w:pos="8160"/>
        </w:tabs>
        <w:spacing w:line="360" w:lineRule="auto"/>
        <w:jc w:val="left"/>
      </w:pPr>
      <w:r>
        <w:rPr>
          <w:rFonts w:hint="eastAsia"/>
        </w:rPr>
        <w:t xml:space="preserve">Destinataire : SPIC International Investment &amp; Development (Guinea) Co.,Ltd.    </w:t>
      </w:r>
    </w:p>
    <w:p w14:paraId="123053B7">
      <w:pPr>
        <w:tabs>
          <w:tab w:val="left" w:pos="630"/>
          <w:tab w:val="left" w:pos="8160"/>
        </w:tabs>
        <w:spacing w:line="360" w:lineRule="auto"/>
        <w:jc w:val="left"/>
      </w:pPr>
      <w:r>
        <w:rPr>
          <w:rFonts w:hint="eastAsia"/>
        </w:rPr>
        <w:t>(nom du défendeur), entreprise légale de la République populaire de Chine, dont l'adresse légale est bofa.</w:t>
      </w:r>
    </w:p>
    <w:p w14:paraId="630859E9">
      <w:pPr>
        <w:tabs>
          <w:tab w:val="left" w:pos="630"/>
          <w:tab w:val="left" w:pos="8160"/>
        </w:tabs>
        <w:spacing w:line="360" w:lineRule="auto"/>
        <w:jc w:val="left"/>
      </w:pPr>
      <w:r>
        <w:rPr>
          <w:rFonts w:hint="eastAsia"/>
        </w:rPr>
        <w:tab/>
      </w:r>
      <w:r>
        <w:rPr>
          <w:rFonts w:hint="eastAsia"/>
        </w:rPr>
        <w:t>(Nom de la personne autorisée) autorise par la présente (Nom de la personne autorisée), au nom de notre société, à s'occuper du devis, de la négociation, de la passation des marchés et d'autres travaux spécifiques concernant le projet susmentionné, et à signer tous les documents, accords et contrats pertinents.</w:t>
      </w:r>
    </w:p>
    <w:p w14:paraId="526E35F5">
      <w:pPr>
        <w:tabs>
          <w:tab w:val="left" w:pos="630"/>
          <w:tab w:val="left" w:pos="8160"/>
        </w:tabs>
        <w:spacing w:line="360" w:lineRule="auto"/>
        <w:jc w:val="left"/>
      </w:pPr>
      <w:r>
        <w:rPr>
          <w:rFonts w:hint="eastAsia"/>
        </w:rPr>
        <w:tab/>
      </w:r>
      <w:r>
        <w:rPr>
          <w:rFonts w:hint="eastAsia"/>
        </w:rPr>
        <w:t>Nous sommes entièrement responsables de la signature de la personne autorisée.</w:t>
      </w:r>
    </w:p>
    <w:p w14:paraId="6918CA93">
      <w:pPr>
        <w:tabs>
          <w:tab w:val="left" w:pos="630"/>
          <w:tab w:val="left" w:pos="8160"/>
        </w:tabs>
        <w:spacing w:line="360" w:lineRule="auto"/>
        <w:jc w:val="left"/>
      </w:pPr>
      <w:r>
        <w:rPr>
          <w:rFonts w:hint="eastAsia"/>
        </w:rPr>
        <w:tab/>
      </w:r>
      <w:r>
        <w:rPr>
          <w:rFonts w:hint="eastAsia"/>
        </w:rPr>
        <w:t>Cette autorisation reste valable jusqu'à ce qu'une notification écrite de révocation soit donnée. Tous les documents signés par la personne autorisée (pendant la période de validité de l'autorisation) ne sont pas invalidés par la révocation de l'autorisation.</w:t>
      </w:r>
    </w:p>
    <w:p w14:paraId="772049AF">
      <w:pPr>
        <w:tabs>
          <w:tab w:val="left" w:pos="210"/>
          <w:tab w:val="left" w:pos="7560"/>
        </w:tabs>
        <w:spacing w:line="360" w:lineRule="auto"/>
      </w:pPr>
      <w:r>
        <w:tab/>
      </w:r>
      <w:r>
        <w:rPr>
          <w:rFonts w:hint="eastAsia"/>
        </w:rPr>
        <w:t>Signature de la personne autorisée：</w:t>
      </w:r>
      <w:r>
        <w:rPr>
          <w:u w:val="single"/>
        </w:rPr>
        <w:t xml:space="preserve">   </w:t>
      </w:r>
      <w:r>
        <w:rPr>
          <w:rFonts w:hint="eastAsia"/>
          <w:u w:val="single"/>
        </w:rPr>
        <w:t xml:space="preserve"> </w:t>
      </w:r>
      <w:r>
        <w:rPr>
          <w:u w:val="single"/>
        </w:rPr>
        <w:t xml:space="preserve">       </w:t>
      </w:r>
      <w:r>
        <w:t xml:space="preserve">   </w:t>
      </w:r>
      <w:r>
        <w:rPr>
          <w:rFonts w:hint="eastAsia"/>
        </w:rPr>
        <w:t>Signature de la personne autorisée：</w:t>
      </w:r>
      <w:r>
        <w:rPr>
          <w:u w:val="single"/>
        </w:rPr>
        <w:t xml:space="preserve">  </w:t>
      </w:r>
      <w:r>
        <w:rPr>
          <w:rFonts w:hint="eastAsia"/>
          <w:u w:val="single"/>
        </w:rPr>
        <w:t xml:space="preserve"> </w:t>
      </w:r>
      <w:r>
        <w:rPr>
          <w:u w:val="single"/>
        </w:rPr>
        <w:t xml:space="preserve">  </w:t>
      </w:r>
      <w:r>
        <w:rPr>
          <w:rFonts w:hint="eastAsia"/>
          <w:u w:val="single"/>
        </w:rPr>
        <w:t xml:space="preserve"> </w:t>
      </w:r>
      <w:r>
        <w:rPr>
          <w:u w:val="single"/>
        </w:rPr>
        <w:t xml:space="preserve">       </w:t>
      </w:r>
      <w:r>
        <w:t xml:space="preserve">  </w:t>
      </w:r>
    </w:p>
    <w:p w14:paraId="2CB7A813">
      <w:pPr>
        <w:tabs>
          <w:tab w:val="left" w:pos="210"/>
          <w:tab w:val="left" w:pos="7560"/>
        </w:tabs>
        <w:spacing w:line="360" w:lineRule="auto"/>
        <w:rPr>
          <w:u w:val="single"/>
        </w:rPr>
      </w:pPr>
      <w:r>
        <w:tab/>
      </w:r>
      <w:r>
        <w:rPr>
          <w:rFonts w:hint="eastAsia"/>
        </w:rPr>
        <w:t>Fonctions：</w:t>
      </w:r>
      <w:r>
        <w:rPr>
          <w:u w:val="single"/>
        </w:rPr>
        <w:t xml:space="preserve">     </w:t>
      </w:r>
      <w:r>
        <w:rPr>
          <w:rFonts w:hint="eastAsia"/>
          <w:u w:val="single"/>
        </w:rPr>
        <w:t xml:space="preserve"> </w:t>
      </w:r>
      <w:r>
        <w:rPr>
          <w:u w:val="single"/>
        </w:rPr>
        <w:t xml:space="preserve">     </w:t>
      </w:r>
      <w:r>
        <w:t xml:space="preserve">                     </w:t>
      </w:r>
      <w:r>
        <w:rPr>
          <w:rFonts w:hint="eastAsia"/>
        </w:rPr>
        <w:t xml:space="preserve"> </w:t>
      </w:r>
      <w:r>
        <w:t xml:space="preserve"> </w:t>
      </w:r>
      <w:r>
        <w:rPr>
          <w:rFonts w:hint="eastAsia"/>
        </w:rPr>
        <w:t>Fonctions：</w:t>
      </w:r>
      <w:r>
        <w:rPr>
          <w:u w:val="single"/>
        </w:rPr>
        <w:t xml:space="preserve">   </w:t>
      </w:r>
      <w:r>
        <w:rPr>
          <w:rFonts w:hint="eastAsia"/>
          <w:u w:val="single"/>
        </w:rPr>
        <w:t xml:space="preserve">       </w:t>
      </w:r>
      <w:r>
        <w:rPr>
          <w:u w:val="single"/>
        </w:rPr>
        <w:t xml:space="preserve"> </w:t>
      </w:r>
      <w:r>
        <w:rPr>
          <w:rFonts w:hint="eastAsia"/>
          <w:u w:val="single"/>
        </w:rPr>
        <w:t>,</w:t>
      </w:r>
      <w:r>
        <w:rPr>
          <w:u w:val="single"/>
        </w:rPr>
        <w:t xml:space="preserve">       </w:t>
      </w:r>
      <w:r>
        <w:t xml:space="preserve">  </w:t>
      </w:r>
    </w:p>
    <w:p w14:paraId="1CB7B127">
      <w:pPr>
        <w:tabs>
          <w:tab w:val="left" w:pos="630"/>
          <w:tab w:val="left" w:pos="7560"/>
        </w:tabs>
        <w:spacing w:line="360" w:lineRule="auto"/>
        <w:ind w:firstLine="210" w:firstLineChars="100"/>
      </w:pPr>
      <w:r>
        <w:rPr>
          <w:rFonts w:hint="eastAsia"/>
        </w:rPr>
        <w:t>Numéro de contact (mobile)：</w:t>
      </w:r>
      <w:r>
        <w:rPr>
          <w:u w:val="single"/>
        </w:rPr>
        <w:t xml:space="preserve">   </w:t>
      </w:r>
      <w:r>
        <w:rPr>
          <w:rFonts w:hint="eastAsia"/>
          <w:u w:val="single"/>
        </w:rPr>
        <w:t xml:space="preserve"> </w:t>
      </w:r>
      <w:r>
        <w:rPr>
          <w:u w:val="single"/>
        </w:rPr>
        <w:t xml:space="preserve">       </w:t>
      </w:r>
      <w:r>
        <w:t xml:space="preserve">        </w:t>
      </w:r>
      <w:r>
        <w:rPr>
          <w:rFonts w:hint="eastAsia"/>
        </w:rPr>
        <w:t>Numéro de contact (téléphone portable)：</w:t>
      </w:r>
      <w:r>
        <w:rPr>
          <w:u w:val="single"/>
        </w:rPr>
        <w:t xml:space="preserve">    </w:t>
      </w:r>
      <w:r>
        <w:rPr>
          <w:rFonts w:hint="eastAsia"/>
          <w:u w:val="single"/>
        </w:rPr>
        <w:t xml:space="preserve"> ,</w:t>
      </w:r>
      <w:r>
        <w:rPr>
          <w:u w:val="single"/>
        </w:rPr>
        <w:t xml:space="preserve">           </w:t>
      </w:r>
      <w:r>
        <w:t xml:space="preserve">  </w:t>
      </w:r>
      <w:r>
        <w:rPr>
          <w:rFonts w:hint="eastAsia"/>
          <w:u w:val="single"/>
        </w:rPr>
        <w:t xml:space="preserve">      </w:t>
      </w:r>
    </w:p>
    <w:p w14:paraId="4E13ED40">
      <w:pPr>
        <w:spacing w:line="360" w:lineRule="auto"/>
        <w:jc w:val="center"/>
      </w:pPr>
      <w:r>
        <w:t xml:space="preserve">                                 </w:t>
      </w:r>
    </w:p>
    <w:p w14:paraId="6D81800C">
      <w:pPr>
        <w:spacing w:line="360" w:lineRule="auto"/>
        <w:jc w:val="center"/>
      </w:pPr>
    </w:p>
    <w:p w14:paraId="1C1A375C">
      <w:pPr>
        <w:spacing w:line="360" w:lineRule="auto"/>
        <w:jc w:val="center"/>
      </w:pPr>
      <w:r>
        <w:rPr>
          <w:rFonts w:hint="eastAsia"/>
        </w:rPr>
        <w:t xml:space="preserve">                         répondant：</w:t>
      </w:r>
      <w:r>
        <w:rPr>
          <w:szCs w:val="21"/>
          <w:u w:val="single"/>
        </w:rPr>
        <w:t xml:space="preserve">     </w:t>
      </w:r>
      <w:r>
        <w:rPr>
          <w:rFonts w:hint="eastAsia"/>
          <w:szCs w:val="21"/>
          <w:u w:val="single"/>
        </w:rPr>
        <w:t xml:space="preserve"> </w:t>
      </w:r>
      <w:r>
        <w:rPr>
          <w:szCs w:val="21"/>
          <w:u w:val="single"/>
        </w:rPr>
        <w:t xml:space="preserve">     </w:t>
      </w:r>
      <w:r>
        <w:rPr>
          <w:szCs w:val="21"/>
          <w:u w:val="single"/>
        </w:rPr>
        <w:tab/>
      </w:r>
      <w:r>
        <w:rPr>
          <w:rFonts w:hint="eastAsia"/>
        </w:rPr>
        <w:t>（apposer un label de qualité）</w:t>
      </w:r>
    </w:p>
    <w:p w14:paraId="34CA8696">
      <w:pPr>
        <w:spacing w:line="360" w:lineRule="auto"/>
        <w:ind w:firstLine="5040" w:firstLineChars="2400"/>
      </w:pPr>
    </w:p>
    <w:p w14:paraId="5899EAE1">
      <w:pPr>
        <w:spacing w:line="360" w:lineRule="auto"/>
        <w:ind w:firstLine="6300" w:firstLineChars="3000"/>
      </w:pPr>
      <w:r>
        <w:rPr>
          <w:rFonts w:hint="eastAsia"/>
          <w:u w:val="single"/>
        </w:rPr>
        <w:t xml:space="preserve">.        </w:t>
      </w:r>
      <w:r>
        <w:rPr>
          <w:rFonts w:hint="eastAsia"/>
        </w:rPr>
        <w:t>janvier 2024</w:t>
      </w:r>
    </w:p>
    <w:p w14:paraId="23D49108">
      <w:pPr>
        <w:adjustRightInd w:val="0"/>
        <w:snapToGrid w:val="0"/>
        <w:spacing w:line="360" w:lineRule="auto"/>
        <w:ind w:firstLine="420" w:firstLineChars="200"/>
        <w:rPr>
          <w:rFonts w:cs="宋体"/>
          <w:szCs w:val="21"/>
        </w:rPr>
      </w:pPr>
    </w:p>
    <w:p w14:paraId="2CCCAAD6">
      <w:pPr>
        <w:adjustRightInd w:val="0"/>
        <w:snapToGrid w:val="0"/>
        <w:spacing w:line="360" w:lineRule="auto"/>
        <w:ind w:firstLine="420" w:firstLineChars="200"/>
        <w:rPr>
          <w:rFonts w:cs="宋体"/>
          <w:szCs w:val="21"/>
        </w:rPr>
      </w:pPr>
    </w:p>
    <w:p w14:paraId="42C29FCB">
      <w:pPr>
        <w:rPr>
          <w:vanish/>
        </w:rPr>
      </w:pPr>
    </w:p>
    <w:p w14:paraId="3F791699">
      <w:pPr>
        <w:spacing w:line="440" w:lineRule="exact"/>
      </w:pPr>
    </w:p>
    <w:tbl>
      <w:tblPr>
        <w:tblStyle w:val="34"/>
        <w:tblpPr w:leftFromText="180" w:rightFromText="180" w:vertAnchor="text" w:horzAnchor="page" w:tblpXSpec="center" w:tblpY="230"/>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14:paraId="26A0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7" w:hRule="atLeast"/>
          <w:jc w:val="center"/>
        </w:trPr>
        <w:tc>
          <w:tcPr>
            <w:tcW w:w="5000" w:type="pct"/>
            <w:tcBorders>
              <w:top w:val="single" w:color="auto" w:sz="4" w:space="0"/>
              <w:left w:val="single" w:color="auto" w:sz="4" w:space="0"/>
              <w:bottom w:val="single" w:color="auto" w:sz="4" w:space="0"/>
              <w:right w:val="single" w:color="auto" w:sz="4" w:space="0"/>
            </w:tcBorders>
            <w:vAlign w:val="center"/>
          </w:tcPr>
          <w:p w14:paraId="2364BBFB">
            <w:pPr>
              <w:adjustRightInd w:val="0"/>
              <w:snapToGrid w:val="0"/>
              <w:spacing w:line="360" w:lineRule="auto"/>
              <w:jc w:val="center"/>
              <w:rPr>
                <w:szCs w:val="21"/>
              </w:rPr>
            </w:pPr>
            <w:r>
              <w:rPr>
                <w:rFonts w:hint="eastAsia"/>
                <w:szCs w:val="21"/>
              </w:rPr>
              <w:t>法定代表人身份证正反面扫描件粘贴处</w:t>
            </w:r>
          </w:p>
          <w:p w14:paraId="6A8C6233">
            <w:pPr>
              <w:adjustRightInd w:val="0"/>
              <w:snapToGrid w:val="0"/>
              <w:spacing w:line="360" w:lineRule="auto"/>
              <w:jc w:val="center"/>
              <w:rPr>
                <w:szCs w:val="21"/>
              </w:rPr>
            </w:pPr>
            <w:r>
              <w:rPr>
                <w:rFonts w:hint="eastAsia"/>
                <w:szCs w:val="21"/>
              </w:rPr>
              <w:t>Carte d'identité du représentant légal, recto et verso, copie scannée du lieu de collage</w:t>
            </w:r>
          </w:p>
        </w:tc>
      </w:tr>
    </w:tbl>
    <w:p w14:paraId="69D5FD29">
      <w:pPr>
        <w:adjustRightInd w:val="0"/>
        <w:snapToGrid w:val="0"/>
        <w:spacing w:line="360" w:lineRule="auto"/>
        <w:ind w:right="840"/>
      </w:pPr>
    </w:p>
    <w:tbl>
      <w:tblPr>
        <w:tblStyle w:val="34"/>
        <w:tblpPr w:leftFromText="180" w:rightFromText="180" w:vertAnchor="text" w:horzAnchor="page" w:tblpX="1153" w:tblpY="93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14:paraId="0DF7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9" w:hRule="atLeast"/>
        </w:trPr>
        <w:tc>
          <w:tcPr>
            <w:tcW w:w="9571" w:type="dxa"/>
            <w:tcBorders>
              <w:top w:val="single" w:color="auto" w:sz="4" w:space="0"/>
              <w:left w:val="single" w:color="auto" w:sz="4" w:space="0"/>
              <w:bottom w:val="single" w:color="auto" w:sz="4" w:space="0"/>
              <w:right w:val="single" w:color="auto" w:sz="4" w:space="0"/>
            </w:tcBorders>
            <w:vAlign w:val="center"/>
          </w:tcPr>
          <w:p w14:paraId="515DEF60">
            <w:pPr>
              <w:tabs>
                <w:tab w:val="left" w:pos="630"/>
                <w:tab w:val="left" w:pos="7560"/>
              </w:tabs>
              <w:spacing w:line="360" w:lineRule="auto"/>
              <w:jc w:val="center"/>
              <w:rPr>
                <w:szCs w:val="21"/>
              </w:rPr>
            </w:pPr>
            <w:r>
              <w:rPr>
                <w:rFonts w:hint="eastAsia"/>
                <w:szCs w:val="21"/>
              </w:rPr>
              <w:t>被授权人人身份证正反面扫描件粘贴处</w:t>
            </w:r>
          </w:p>
          <w:p w14:paraId="1BB51BC8">
            <w:pPr>
              <w:tabs>
                <w:tab w:val="left" w:pos="630"/>
                <w:tab w:val="left" w:pos="7560"/>
              </w:tabs>
              <w:spacing w:line="360" w:lineRule="auto"/>
              <w:jc w:val="center"/>
              <w:rPr>
                <w:szCs w:val="21"/>
              </w:rPr>
            </w:pPr>
            <w:r>
              <w:rPr>
                <w:rFonts w:hint="eastAsia"/>
                <w:szCs w:val="21"/>
              </w:rPr>
              <w:t>Carte d'identité de la personne autorisée (recto et verso) scannée et collée.</w:t>
            </w:r>
          </w:p>
        </w:tc>
      </w:tr>
    </w:tbl>
    <w:p w14:paraId="6A6996F4">
      <w:pPr>
        <w:spacing w:line="440" w:lineRule="exact"/>
        <w:ind w:firstLine="4057" w:firstLineChars="1932"/>
        <w:jc w:val="right"/>
        <w:rPr>
          <w:szCs w:val="22"/>
        </w:rPr>
      </w:pPr>
    </w:p>
    <w:p w14:paraId="6FD0F2D1">
      <w:pPr>
        <w:pStyle w:val="3"/>
        <w:spacing w:before="0" w:after="0" w:line="360" w:lineRule="auto"/>
        <w:rPr>
          <w:rFonts w:ascii="Times New Roman" w:hAnsi="Times New Roman" w:cs="宋体"/>
          <w:kern w:val="2"/>
          <w:szCs w:val="21"/>
        </w:rPr>
        <w:sectPr>
          <w:pgSz w:w="11906" w:h="16838"/>
          <w:pgMar w:top="1417" w:right="1134" w:bottom="1134" w:left="1417" w:header="851" w:footer="850" w:gutter="0"/>
          <w:cols w:space="720" w:num="1"/>
          <w:docGrid w:linePitch="312" w:charSpace="0"/>
        </w:sectPr>
      </w:pPr>
    </w:p>
    <w:p w14:paraId="3E003682">
      <w:pPr>
        <w:pStyle w:val="3"/>
        <w:spacing w:before="0" w:after="0" w:line="360" w:lineRule="auto"/>
        <w:rPr>
          <w:rFonts w:ascii="Times New Roman" w:hAnsi="Times New Roman" w:cs="宋体"/>
          <w:kern w:val="2"/>
          <w:szCs w:val="21"/>
        </w:rPr>
      </w:pPr>
      <w:bookmarkStart w:id="225" w:name="_Toc32303"/>
      <w:r>
        <w:rPr>
          <w:rFonts w:hint="eastAsia" w:ascii="Times New Roman" w:hAnsi="Times New Roman" w:cs="宋体"/>
          <w:kern w:val="2"/>
          <w:szCs w:val="21"/>
        </w:rPr>
        <w:t>三、联合体协议书（如有）</w:t>
      </w:r>
      <w:bookmarkEnd w:id="225"/>
    </w:p>
    <w:p w14:paraId="2937F95C">
      <w:pPr>
        <w:ind w:firstLine="2940" w:firstLineChars="1400"/>
      </w:pPr>
      <w:r>
        <w:t>Accord de consortium (le cas échéant)</w:t>
      </w:r>
    </w:p>
    <w:p w14:paraId="636619FB">
      <w:pPr>
        <w:pStyle w:val="164"/>
        <w:ind w:left="5250"/>
        <w:rPr>
          <w:rFonts w:eastAsia="宋体" w:cs="宋体"/>
          <w:szCs w:val="21"/>
        </w:rPr>
        <w:sectPr>
          <w:pgSz w:w="11906" w:h="16838"/>
          <w:pgMar w:top="1417" w:right="1134" w:bottom="1134" w:left="1417" w:header="851" w:footer="850" w:gutter="0"/>
          <w:cols w:space="720" w:num="1"/>
          <w:docGrid w:linePitch="312" w:charSpace="0"/>
        </w:sectPr>
      </w:pPr>
    </w:p>
    <w:p w14:paraId="5EFFB109">
      <w:pPr>
        <w:pStyle w:val="3"/>
        <w:spacing w:before="0" w:after="0" w:line="360" w:lineRule="auto"/>
        <w:rPr>
          <w:rFonts w:ascii="Times New Roman" w:hAnsi="Times New Roman" w:cs="宋体"/>
          <w:szCs w:val="21"/>
        </w:rPr>
      </w:pPr>
      <w:bookmarkStart w:id="226" w:name="_Toc12548"/>
      <w:bookmarkStart w:id="227" w:name="_Toc32742"/>
      <w:r>
        <w:rPr>
          <w:rFonts w:hint="eastAsia" w:ascii="Times New Roman" w:hAnsi="Times New Roman" w:cs="宋体"/>
          <w:szCs w:val="21"/>
        </w:rPr>
        <w:t>四、商务和技术偏差表</w:t>
      </w:r>
      <w:bookmarkEnd w:id="226"/>
      <w:bookmarkEnd w:id="227"/>
    </w:p>
    <w:p w14:paraId="123793F8">
      <w:pPr>
        <w:jc w:val="left"/>
      </w:pPr>
      <w:r>
        <w:rPr>
          <w:rFonts w:hint="eastAsia"/>
        </w:rPr>
        <w:t>响应人：</w:t>
      </w:r>
      <w:r>
        <w:rPr>
          <w:szCs w:val="21"/>
          <w:u w:val="single"/>
        </w:rPr>
        <w:t xml:space="preserve">           </w:t>
      </w:r>
      <w:r>
        <w:rPr>
          <w:szCs w:val="21"/>
          <w:u w:val="single"/>
        </w:rPr>
        <w:tab/>
      </w:r>
      <w:r>
        <w:rPr>
          <w:rFonts w:hint="eastAsia" w:cs="宋体"/>
          <w:szCs w:val="21"/>
        </w:rPr>
        <w:t>（盖单位章）</w:t>
      </w:r>
    </w:p>
    <w:p w14:paraId="79344192"/>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041"/>
        <w:gridCol w:w="3092"/>
        <w:gridCol w:w="2762"/>
        <w:gridCol w:w="1453"/>
      </w:tblGrid>
      <w:tr w14:paraId="43820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130" w:type="dxa"/>
            <w:vAlign w:val="center"/>
          </w:tcPr>
          <w:p w14:paraId="64C46BE2">
            <w:pPr>
              <w:widowControl/>
              <w:snapToGrid w:val="0"/>
              <w:jc w:val="center"/>
              <w:rPr>
                <w:b/>
                <w:kern w:val="0"/>
                <w:szCs w:val="21"/>
              </w:rPr>
            </w:pPr>
            <w:r>
              <w:rPr>
                <w:rFonts w:hint="eastAsia"/>
                <w:kern w:val="0"/>
                <w:szCs w:val="21"/>
              </w:rPr>
              <w:t>偏差</w:t>
            </w:r>
          </w:p>
        </w:tc>
        <w:tc>
          <w:tcPr>
            <w:tcW w:w="1041" w:type="dxa"/>
            <w:vAlign w:val="center"/>
          </w:tcPr>
          <w:p w14:paraId="5E6BA207">
            <w:pPr>
              <w:widowControl/>
              <w:snapToGrid w:val="0"/>
              <w:jc w:val="center"/>
              <w:rPr>
                <w:b/>
                <w:kern w:val="0"/>
                <w:szCs w:val="21"/>
              </w:rPr>
            </w:pPr>
            <w:r>
              <w:rPr>
                <w:b/>
                <w:kern w:val="0"/>
                <w:szCs w:val="21"/>
              </w:rPr>
              <w:t>序号</w:t>
            </w:r>
          </w:p>
        </w:tc>
        <w:tc>
          <w:tcPr>
            <w:tcW w:w="3092" w:type="dxa"/>
            <w:vAlign w:val="center"/>
          </w:tcPr>
          <w:p w14:paraId="6233DA15">
            <w:pPr>
              <w:widowControl/>
              <w:snapToGrid w:val="0"/>
              <w:jc w:val="center"/>
              <w:rPr>
                <w:b/>
                <w:kern w:val="0"/>
                <w:szCs w:val="21"/>
              </w:rPr>
            </w:pPr>
            <w:r>
              <w:rPr>
                <w:rFonts w:hint="eastAsia"/>
                <w:b/>
                <w:kern w:val="0"/>
                <w:szCs w:val="21"/>
                <w:lang w:val="en-US"/>
              </w:rPr>
              <w:t>采购</w:t>
            </w:r>
            <w:r>
              <w:rPr>
                <w:rFonts w:hint="eastAsia"/>
                <w:b/>
                <w:kern w:val="0"/>
                <w:szCs w:val="21"/>
              </w:rPr>
              <w:t>文件</w:t>
            </w:r>
            <w:r>
              <w:rPr>
                <w:b/>
                <w:kern w:val="0"/>
                <w:szCs w:val="21"/>
              </w:rPr>
              <w:t>章节及条款号</w:t>
            </w:r>
          </w:p>
        </w:tc>
        <w:tc>
          <w:tcPr>
            <w:tcW w:w="2762" w:type="dxa"/>
            <w:vAlign w:val="center"/>
          </w:tcPr>
          <w:p w14:paraId="7A4234E9">
            <w:pPr>
              <w:widowControl/>
              <w:snapToGrid w:val="0"/>
              <w:jc w:val="center"/>
              <w:rPr>
                <w:b/>
                <w:kern w:val="0"/>
                <w:szCs w:val="21"/>
              </w:rPr>
            </w:pPr>
            <w:r>
              <w:rPr>
                <w:rFonts w:hint="eastAsia"/>
                <w:b/>
                <w:kern w:val="0"/>
                <w:szCs w:val="21"/>
              </w:rPr>
              <w:t>响应</w:t>
            </w:r>
            <w:r>
              <w:rPr>
                <w:b/>
                <w:kern w:val="0"/>
                <w:szCs w:val="21"/>
              </w:rPr>
              <w:t>文件章节及条款号</w:t>
            </w:r>
          </w:p>
        </w:tc>
        <w:tc>
          <w:tcPr>
            <w:tcW w:w="1453" w:type="dxa"/>
            <w:vAlign w:val="center"/>
          </w:tcPr>
          <w:p w14:paraId="58F4D451">
            <w:pPr>
              <w:widowControl/>
              <w:snapToGrid w:val="0"/>
              <w:jc w:val="center"/>
              <w:rPr>
                <w:b/>
                <w:kern w:val="0"/>
                <w:szCs w:val="21"/>
              </w:rPr>
            </w:pPr>
            <w:r>
              <w:rPr>
                <w:b/>
                <w:kern w:val="0"/>
                <w:szCs w:val="21"/>
              </w:rPr>
              <w:t>偏差说明</w:t>
            </w:r>
          </w:p>
        </w:tc>
      </w:tr>
      <w:tr w14:paraId="38652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130" w:type="dxa"/>
            <w:vMerge w:val="restart"/>
            <w:vAlign w:val="center"/>
          </w:tcPr>
          <w:p w14:paraId="6DBC5C45">
            <w:pPr>
              <w:widowControl/>
              <w:snapToGrid w:val="0"/>
              <w:jc w:val="center"/>
              <w:rPr>
                <w:kern w:val="0"/>
                <w:szCs w:val="21"/>
              </w:rPr>
            </w:pPr>
            <w:r>
              <w:rPr>
                <w:rFonts w:hint="eastAsia"/>
                <w:kern w:val="0"/>
                <w:szCs w:val="21"/>
              </w:rPr>
              <w:t>商务</w:t>
            </w:r>
          </w:p>
        </w:tc>
        <w:tc>
          <w:tcPr>
            <w:tcW w:w="1041" w:type="dxa"/>
            <w:vAlign w:val="center"/>
          </w:tcPr>
          <w:p w14:paraId="6E2CACA3">
            <w:pPr>
              <w:widowControl/>
              <w:snapToGrid w:val="0"/>
              <w:jc w:val="center"/>
              <w:rPr>
                <w:kern w:val="0"/>
                <w:szCs w:val="21"/>
              </w:rPr>
            </w:pPr>
            <w:r>
              <w:rPr>
                <w:rFonts w:hint="eastAsia"/>
                <w:kern w:val="0"/>
                <w:szCs w:val="21"/>
              </w:rPr>
              <w:t>1</w:t>
            </w:r>
          </w:p>
        </w:tc>
        <w:tc>
          <w:tcPr>
            <w:tcW w:w="3092" w:type="dxa"/>
            <w:vAlign w:val="center"/>
          </w:tcPr>
          <w:p w14:paraId="42E7E6DF">
            <w:pPr>
              <w:widowControl/>
              <w:snapToGrid w:val="0"/>
              <w:jc w:val="center"/>
              <w:rPr>
                <w:kern w:val="0"/>
                <w:szCs w:val="21"/>
              </w:rPr>
            </w:pPr>
          </w:p>
        </w:tc>
        <w:tc>
          <w:tcPr>
            <w:tcW w:w="2762" w:type="dxa"/>
            <w:vAlign w:val="center"/>
          </w:tcPr>
          <w:p w14:paraId="5590C404">
            <w:pPr>
              <w:widowControl/>
              <w:snapToGrid w:val="0"/>
              <w:jc w:val="center"/>
              <w:rPr>
                <w:kern w:val="0"/>
                <w:szCs w:val="21"/>
              </w:rPr>
            </w:pPr>
          </w:p>
        </w:tc>
        <w:tc>
          <w:tcPr>
            <w:tcW w:w="1453" w:type="dxa"/>
            <w:vAlign w:val="center"/>
          </w:tcPr>
          <w:p w14:paraId="2DBCA07A">
            <w:pPr>
              <w:widowControl/>
              <w:snapToGrid w:val="0"/>
              <w:jc w:val="center"/>
              <w:rPr>
                <w:kern w:val="0"/>
                <w:szCs w:val="21"/>
              </w:rPr>
            </w:pPr>
          </w:p>
        </w:tc>
      </w:tr>
      <w:tr w14:paraId="4BF793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130" w:type="dxa"/>
            <w:vMerge w:val="continue"/>
            <w:vAlign w:val="center"/>
          </w:tcPr>
          <w:p w14:paraId="1B63A1B6">
            <w:pPr>
              <w:widowControl/>
              <w:snapToGrid w:val="0"/>
              <w:jc w:val="center"/>
              <w:rPr>
                <w:kern w:val="0"/>
                <w:szCs w:val="21"/>
              </w:rPr>
            </w:pPr>
          </w:p>
        </w:tc>
        <w:tc>
          <w:tcPr>
            <w:tcW w:w="1041" w:type="dxa"/>
            <w:vAlign w:val="center"/>
          </w:tcPr>
          <w:p w14:paraId="583F959D">
            <w:pPr>
              <w:widowControl/>
              <w:snapToGrid w:val="0"/>
              <w:jc w:val="center"/>
              <w:rPr>
                <w:kern w:val="0"/>
                <w:szCs w:val="21"/>
              </w:rPr>
            </w:pPr>
            <w:r>
              <w:rPr>
                <w:rFonts w:hint="eastAsia"/>
                <w:kern w:val="0"/>
                <w:szCs w:val="21"/>
              </w:rPr>
              <w:t>2</w:t>
            </w:r>
          </w:p>
        </w:tc>
        <w:tc>
          <w:tcPr>
            <w:tcW w:w="3092" w:type="dxa"/>
            <w:vAlign w:val="center"/>
          </w:tcPr>
          <w:p w14:paraId="1A5B815A">
            <w:pPr>
              <w:widowControl/>
              <w:snapToGrid w:val="0"/>
              <w:jc w:val="center"/>
              <w:rPr>
                <w:kern w:val="0"/>
                <w:szCs w:val="21"/>
              </w:rPr>
            </w:pPr>
          </w:p>
        </w:tc>
        <w:tc>
          <w:tcPr>
            <w:tcW w:w="2762" w:type="dxa"/>
            <w:vAlign w:val="center"/>
          </w:tcPr>
          <w:p w14:paraId="437E20F4">
            <w:pPr>
              <w:widowControl/>
              <w:snapToGrid w:val="0"/>
              <w:jc w:val="center"/>
              <w:rPr>
                <w:kern w:val="0"/>
                <w:szCs w:val="21"/>
              </w:rPr>
            </w:pPr>
          </w:p>
        </w:tc>
        <w:tc>
          <w:tcPr>
            <w:tcW w:w="1453" w:type="dxa"/>
            <w:vAlign w:val="center"/>
          </w:tcPr>
          <w:p w14:paraId="58C30083">
            <w:pPr>
              <w:widowControl/>
              <w:snapToGrid w:val="0"/>
              <w:jc w:val="center"/>
              <w:rPr>
                <w:kern w:val="0"/>
                <w:szCs w:val="21"/>
              </w:rPr>
            </w:pPr>
          </w:p>
        </w:tc>
      </w:tr>
      <w:tr w14:paraId="46D37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130" w:type="dxa"/>
            <w:vMerge w:val="continue"/>
            <w:vAlign w:val="center"/>
          </w:tcPr>
          <w:p w14:paraId="73E492FD">
            <w:pPr>
              <w:widowControl/>
              <w:snapToGrid w:val="0"/>
              <w:jc w:val="center"/>
              <w:rPr>
                <w:kern w:val="0"/>
                <w:szCs w:val="21"/>
              </w:rPr>
            </w:pPr>
          </w:p>
        </w:tc>
        <w:tc>
          <w:tcPr>
            <w:tcW w:w="1041" w:type="dxa"/>
            <w:vAlign w:val="center"/>
          </w:tcPr>
          <w:p w14:paraId="22E7DD09">
            <w:pPr>
              <w:widowControl/>
              <w:snapToGrid w:val="0"/>
              <w:jc w:val="center"/>
              <w:rPr>
                <w:kern w:val="0"/>
                <w:szCs w:val="21"/>
              </w:rPr>
            </w:pPr>
            <w:r>
              <w:rPr>
                <w:kern w:val="0"/>
                <w:szCs w:val="21"/>
              </w:rPr>
              <w:t>……</w:t>
            </w:r>
          </w:p>
        </w:tc>
        <w:tc>
          <w:tcPr>
            <w:tcW w:w="3092" w:type="dxa"/>
            <w:vAlign w:val="center"/>
          </w:tcPr>
          <w:p w14:paraId="3417761E">
            <w:pPr>
              <w:widowControl/>
              <w:snapToGrid w:val="0"/>
              <w:jc w:val="center"/>
              <w:rPr>
                <w:kern w:val="0"/>
                <w:szCs w:val="21"/>
              </w:rPr>
            </w:pPr>
          </w:p>
        </w:tc>
        <w:tc>
          <w:tcPr>
            <w:tcW w:w="2762" w:type="dxa"/>
            <w:vAlign w:val="center"/>
          </w:tcPr>
          <w:p w14:paraId="031B1A32">
            <w:pPr>
              <w:widowControl/>
              <w:snapToGrid w:val="0"/>
              <w:jc w:val="center"/>
              <w:rPr>
                <w:kern w:val="0"/>
                <w:szCs w:val="21"/>
              </w:rPr>
            </w:pPr>
          </w:p>
        </w:tc>
        <w:tc>
          <w:tcPr>
            <w:tcW w:w="1453" w:type="dxa"/>
            <w:vAlign w:val="center"/>
          </w:tcPr>
          <w:p w14:paraId="41C8939B">
            <w:pPr>
              <w:widowControl/>
              <w:snapToGrid w:val="0"/>
              <w:jc w:val="center"/>
              <w:rPr>
                <w:kern w:val="0"/>
                <w:szCs w:val="21"/>
              </w:rPr>
            </w:pPr>
          </w:p>
        </w:tc>
      </w:tr>
      <w:tr w14:paraId="536CE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130" w:type="dxa"/>
            <w:vMerge w:val="restart"/>
            <w:vAlign w:val="center"/>
          </w:tcPr>
          <w:p w14:paraId="39ACAF0B">
            <w:pPr>
              <w:widowControl/>
              <w:snapToGrid w:val="0"/>
              <w:jc w:val="center"/>
              <w:rPr>
                <w:kern w:val="0"/>
                <w:szCs w:val="21"/>
              </w:rPr>
            </w:pPr>
            <w:r>
              <w:rPr>
                <w:rFonts w:hint="eastAsia"/>
                <w:kern w:val="0"/>
                <w:szCs w:val="21"/>
              </w:rPr>
              <w:t>技术</w:t>
            </w:r>
          </w:p>
        </w:tc>
        <w:tc>
          <w:tcPr>
            <w:tcW w:w="1041" w:type="dxa"/>
            <w:vAlign w:val="center"/>
          </w:tcPr>
          <w:p w14:paraId="30C3FAB6">
            <w:pPr>
              <w:widowControl/>
              <w:snapToGrid w:val="0"/>
              <w:jc w:val="center"/>
              <w:rPr>
                <w:kern w:val="0"/>
                <w:szCs w:val="21"/>
              </w:rPr>
            </w:pPr>
            <w:r>
              <w:rPr>
                <w:rFonts w:hint="eastAsia"/>
                <w:kern w:val="0"/>
                <w:szCs w:val="21"/>
              </w:rPr>
              <w:t>1</w:t>
            </w:r>
          </w:p>
        </w:tc>
        <w:tc>
          <w:tcPr>
            <w:tcW w:w="3092" w:type="dxa"/>
            <w:vAlign w:val="center"/>
          </w:tcPr>
          <w:p w14:paraId="6975D70E">
            <w:pPr>
              <w:widowControl/>
              <w:snapToGrid w:val="0"/>
              <w:jc w:val="center"/>
              <w:rPr>
                <w:kern w:val="0"/>
                <w:szCs w:val="21"/>
              </w:rPr>
            </w:pPr>
          </w:p>
        </w:tc>
        <w:tc>
          <w:tcPr>
            <w:tcW w:w="2762" w:type="dxa"/>
            <w:vAlign w:val="center"/>
          </w:tcPr>
          <w:p w14:paraId="68C8241A">
            <w:pPr>
              <w:widowControl/>
              <w:snapToGrid w:val="0"/>
              <w:jc w:val="center"/>
              <w:rPr>
                <w:kern w:val="0"/>
                <w:szCs w:val="21"/>
              </w:rPr>
            </w:pPr>
          </w:p>
        </w:tc>
        <w:tc>
          <w:tcPr>
            <w:tcW w:w="1453" w:type="dxa"/>
            <w:vAlign w:val="center"/>
          </w:tcPr>
          <w:p w14:paraId="611DE87D">
            <w:pPr>
              <w:widowControl/>
              <w:snapToGrid w:val="0"/>
              <w:jc w:val="center"/>
              <w:rPr>
                <w:kern w:val="0"/>
                <w:szCs w:val="21"/>
              </w:rPr>
            </w:pPr>
          </w:p>
        </w:tc>
      </w:tr>
      <w:tr w14:paraId="556A3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130" w:type="dxa"/>
            <w:vMerge w:val="continue"/>
            <w:vAlign w:val="center"/>
          </w:tcPr>
          <w:p w14:paraId="138A6540">
            <w:pPr>
              <w:widowControl/>
              <w:snapToGrid w:val="0"/>
              <w:jc w:val="center"/>
              <w:rPr>
                <w:kern w:val="0"/>
                <w:szCs w:val="21"/>
              </w:rPr>
            </w:pPr>
          </w:p>
        </w:tc>
        <w:tc>
          <w:tcPr>
            <w:tcW w:w="1041" w:type="dxa"/>
            <w:vAlign w:val="center"/>
          </w:tcPr>
          <w:p w14:paraId="3F5B0D69">
            <w:pPr>
              <w:widowControl/>
              <w:snapToGrid w:val="0"/>
              <w:jc w:val="center"/>
              <w:rPr>
                <w:kern w:val="0"/>
                <w:szCs w:val="21"/>
              </w:rPr>
            </w:pPr>
            <w:r>
              <w:rPr>
                <w:rFonts w:hint="eastAsia"/>
                <w:kern w:val="0"/>
                <w:szCs w:val="21"/>
              </w:rPr>
              <w:t>2</w:t>
            </w:r>
          </w:p>
        </w:tc>
        <w:tc>
          <w:tcPr>
            <w:tcW w:w="3092" w:type="dxa"/>
            <w:vAlign w:val="center"/>
          </w:tcPr>
          <w:p w14:paraId="231E41B9">
            <w:pPr>
              <w:widowControl/>
              <w:snapToGrid w:val="0"/>
              <w:jc w:val="center"/>
              <w:rPr>
                <w:kern w:val="0"/>
                <w:szCs w:val="21"/>
              </w:rPr>
            </w:pPr>
          </w:p>
        </w:tc>
        <w:tc>
          <w:tcPr>
            <w:tcW w:w="2762" w:type="dxa"/>
            <w:vAlign w:val="center"/>
          </w:tcPr>
          <w:p w14:paraId="5ACC221C">
            <w:pPr>
              <w:widowControl/>
              <w:snapToGrid w:val="0"/>
              <w:jc w:val="center"/>
              <w:rPr>
                <w:kern w:val="0"/>
                <w:szCs w:val="21"/>
              </w:rPr>
            </w:pPr>
          </w:p>
        </w:tc>
        <w:tc>
          <w:tcPr>
            <w:tcW w:w="1453" w:type="dxa"/>
            <w:vAlign w:val="center"/>
          </w:tcPr>
          <w:p w14:paraId="64456615">
            <w:pPr>
              <w:widowControl/>
              <w:snapToGrid w:val="0"/>
              <w:jc w:val="center"/>
              <w:rPr>
                <w:kern w:val="0"/>
                <w:szCs w:val="21"/>
              </w:rPr>
            </w:pPr>
          </w:p>
        </w:tc>
      </w:tr>
      <w:tr w14:paraId="45AF0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exact"/>
          <w:jc w:val="center"/>
        </w:trPr>
        <w:tc>
          <w:tcPr>
            <w:tcW w:w="1130" w:type="dxa"/>
            <w:vMerge w:val="continue"/>
            <w:vAlign w:val="center"/>
          </w:tcPr>
          <w:p w14:paraId="6625461E">
            <w:pPr>
              <w:widowControl/>
              <w:snapToGrid w:val="0"/>
              <w:jc w:val="center"/>
              <w:rPr>
                <w:kern w:val="0"/>
                <w:szCs w:val="21"/>
              </w:rPr>
            </w:pPr>
          </w:p>
        </w:tc>
        <w:tc>
          <w:tcPr>
            <w:tcW w:w="1041" w:type="dxa"/>
            <w:vAlign w:val="center"/>
          </w:tcPr>
          <w:p w14:paraId="3EFFE1DD">
            <w:pPr>
              <w:widowControl/>
              <w:snapToGrid w:val="0"/>
              <w:jc w:val="center"/>
              <w:rPr>
                <w:kern w:val="0"/>
                <w:szCs w:val="21"/>
              </w:rPr>
            </w:pPr>
            <w:r>
              <w:rPr>
                <w:kern w:val="0"/>
                <w:szCs w:val="21"/>
              </w:rPr>
              <w:t>……</w:t>
            </w:r>
          </w:p>
        </w:tc>
        <w:tc>
          <w:tcPr>
            <w:tcW w:w="3092" w:type="dxa"/>
            <w:vAlign w:val="center"/>
          </w:tcPr>
          <w:p w14:paraId="7988A383">
            <w:pPr>
              <w:widowControl/>
              <w:snapToGrid w:val="0"/>
              <w:jc w:val="center"/>
              <w:rPr>
                <w:kern w:val="0"/>
                <w:szCs w:val="21"/>
              </w:rPr>
            </w:pPr>
          </w:p>
        </w:tc>
        <w:tc>
          <w:tcPr>
            <w:tcW w:w="2762" w:type="dxa"/>
            <w:vAlign w:val="center"/>
          </w:tcPr>
          <w:p w14:paraId="09F5DCB1">
            <w:pPr>
              <w:widowControl/>
              <w:snapToGrid w:val="0"/>
              <w:jc w:val="center"/>
              <w:rPr>
                <w:kern w:val="0"/>
                <w:szCs w:val="21"/>
              </w:rPr>
            </w:pPr>
          </w:p>
        </w:tc>
        <w:tc>
          <w:tcPr>
            <w:tcW w:w="1453" w:type="dxa"/>
            <w:vAlign w:val="center"/>
          </w:tcPr>
          <w:p w14:paraId="38202EC5">
            <w:pPr>
              <w:widowControl/>
              <w:snapToGrid w:val="0"/>
              <w:jc w:val="center"/>
              <w:rPr>
                <w:kern w:val="0"/>
                <w:szCs w:val="21"/>
              </w:rPr>
            </w:pPr>
          </w:p>
        </w:tc>
      </w:tr>
    </w:tbl>
    <w:p w14:paraId="6670C3FF">
      <w:pPr>
        <w:rPr>
          <w:szCs w:val="21"/>
        </w:rPr>
      </w:pPr>
      <w:r>
        <w:rPr>
          <w:rFonts w:hint="eastAsia"/>
          <w:szCs w:val="21"/>
        </w:rPr>
        <w:t>注：1</w:t>
      </w:r>
      <w:r>
        <w:rPr>
          <w:szCs w:val="21"/>
        </w:rPr>
        <w:t>.</w:t>
      </w:r>
      <w:r>
        <w:rPr>
          <w:rFonts w:hint="eastAsia"/>
          <w:szCs w:val="21"/>
        </w:rPr>
        <w:t>响应</w:t>
      </w:r>
      <w:r>
        <w:rPr>
          <w:szCs w:val="21"/>
        </w:rPr>
        <w:t>人</w:t>
      </w:r>
      <w:r>
        <w:rPr>
          <w:rFonts w:hint="eastAsia"/>
          <w:szCs w:val="21"/>
        </w:rPr>
        <w:t>保证</w:t>
      </w:r>
      <w:r>
        <w:rPr>
          <w:szCs w:val="21"/>
        </w:rPr>
        <w:t>：除商务和技术偏差表列出的偏差外，</w:t>
      </w:r>
      <w:r>
        <w:rPr>
          <w:rFonts w:hint="eastAsia"/>
          <w:szCs w:val="21"/>
        </w:rPr>
        <w:t>响应</w:t>
      </w:r>
      <w:r>
        <w:rPr>
          <w:szCs w:val="21"/>
        </w:rPr>
        <w:t>人响应</w:t>
      </w:r>
      <w:r>
        <w:rPr>
          <w:rFonts w:hint="eastAsia"/>
          <w:szCs w:val="21"/>
          <w:lang w:val="en-US"/>
        </w:rPr>
        <w:t>采购</w:t>
      </w:r>
      <w:r>
        <w:rPr>
          <w:rFonts w:hint="eastAsia"/>
          <w:szCs w:val="21"/>
        </w:rPr>
        <w:t>文件</w:t>
      </w:r>
      <w:r>
        <w:rPr>
          <w:szCs w:val="21"/>
        </w:rPr>
        <w:t>的全部要求</w:t>
      </w:r>
      <w:r>
        <w:rPr>
          <w:rFonts w:hint="eastAsia"/>
          <w:szCs w:val="21"/>
        </w:rPr>
        <w:t>；</w:t>
      </w:r>
    </w:p>
    <w:p w14:paraId="0F1C08D2">
      <w:pPr>
        <w:ind w:firstLine="420" w:firstLineChars="200"/>
      </w:pPr>
      <w:r>
        <w:rPr>
          <w:rFonts w:hint="eastAsia"/>
        </w:rPr>
        <w:t>2.响应人要按所提供的表格填写响应文件和</w:t>
      </w:r>
      <w:r>
        <w:rPr>
          <w:rFonts w:hint="eastAsia"/>
          <w:lang w:val="en-US"/>
        </w:rPr>
        <w:t>采购</w:t>
      </w:r>
      <w:r>
        <w:rPr>
          <w:rFonts w:hint="eastAsia"/>
        </w:rPr>
        <w:t>文件之间的偏差，并将商务和技术偏差分别列出；</w:t>
      </w:r>
    </w:p>
    <w:p w14:paraId="418B2B71">
      <w:pPr>
        <w:ind w:firstLine="410"/>
      </w:pPr>
      <w:r>
        <w:rPr>
          <w:rFonts w:hint="eastAsia"/>
        </w:rPr>
        <w:t>3.响应人在上表中未提出偏差，视为完全响应</w:t>
      </w:r>
      <w:r>
        <w:rPr>
          <w:rFonts w:hint="eastAsia"/>
          <w:szCs w:val="21"/>
          <w:lang w:val="en-US"/>
        </w:rPr>
        <w:t>采购</w:t>
      </w:r>
      <w:r>
        <w:rPr>
          <w:rFonts w:hint="eastAsia"/>
          <w:szCs w:val="21"/>
        </w:rPr>
        <w:t>文件</w:t>
      </w:r>
      <w:r>
        <w:rPr>
          <w:rFonts w:hint="eastAsia"/>
        </w:rPr>
        <w:t>。</w:t>
      </w:r>
    </w:p>
    <w:p w14:paraId="130E6F03">
      <w:pPr>
        <w:ind w:firstLine="410"/>
      </w:pPr>
    </w:p>
    <w:p w14:paraId="2BC57B37">
      <w:pPr>
        <w:ind w:firstLine="410"/>
      </w:pPr>
    </w:p>
    <w:p w14:paraId="5214BE80">
      <w:pPr>
        <w:jc w:val="center"/>
        <w:rPr>
          <w:b/>
          <w:bCs/>
        </w:rPr>
      </w:pPr>
      <w:r>
        <w:rPr>
          <w:rFonts w:hint="eastAsia"/>
          <w:b/>
          <w:bCs/>
        </w:rPr>
        <w:t>IV Tableau des écarts commerciaux et techniques</w:t>
      </w:r>
    </w:p>
    <w:p w14:paraId="00DD2652">
      <w:pPr>
        <w:jc w:val="left"/>
      </w:pPr>
      <w:r>
        <w:rPr>
          <w:rFonts w:hint="eastAsia"/>
        </w:rPr>
        <w:t>répondant：</w:t>
      </w:r>
      <w:r>
        <w:rPr>
          <w:szCs w:val="21"/>
          <w:u w:val="single"/>
        </w:rPr>
        <w:t xml:space="preserve">           </w:t>
      </w:r>
      <w:r>
        <w:rPr>
          <w:szCs w:val="21"/>
          <w:u w:val="single"/>
        </w:rPr>
        <w:tab/>
      </w:r>
      <w:r>
        <w:rPr>
          <w:rFonts w:hint="eastAsia"/>
        </w:rPr>
        <w:t>（apposer un label de qualité）</w:t>
      </w:r>
    </w:p>
    <w:p w14:paraId="3F13C7E5"/>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041"/>
        <w:gridCol w:w="3092"/>
        <w:gridCol w:w="2762"/>
        <w:gridCol w:w="1453"/>
      </w:tblGrid>
      <w:tr w14:paraId="0B046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3" w:hRule="exact"/>
          <w:jc w:val="center"/>
        </w:trPr>
        <w:tc>
          <w:tcPr>
            <w:tcW w:w="1130" w:type="dxa"/>
            <w:vAlign w:val="center"/>
          </w:tcPr>
          <w:p w14:paraId="74E86731">
            <w:pPr>
              <w:widowControl/>
              <w:snapToGrid w:val="0"/>
              <w:jc w:val="center"/>
              <w:rPr>
                <w:kern w:val="0"/>
                <w:szCs w:val="21"/>
              </w:rPr>
            </w:pPr>
            <w:r>
              <w:rPr>
                <w:rFonts w:hint="eastAsia"/>
                <w:b/>
                <w:kern w:val="0"/>
                <w:szCs w:val="21"/>
              </w:rPr>
              <w:t>désalignement</w:t>
            </w:r>
          </w:p>
        </w:tc>
        <w:tc>
          <w:tcPr>
            <w:tcW w:w="1041" w:type="dxa"/>
            <w:vAlign w:val="center"/>
          </w:tcPr>
          <w:p w14:paraId="12CBC7A7">
            <w:pPr>
              <w:widowControl/>
              <w:snapToGrid w:val="0"/>
              <w:jc w:val="center"/>
              <w:rPr>
                <w:b/>
                <w:kern w:val="0"/>
                <w:szCs w:val="21"/>
              </w:rPr>
            </w:pPr>
            <w:r>
              <w:rPr>
                <w:rFonts w:hint="eastAsia"/>
                <w:b/>
                <w:kern w:val="0"/>
                <w:szCs w:val="21"/>
              </w:rPr>
              <w:t>numéro de série</w:t>
            </w:r>
          </w:p>
        </w:tc>
        <w:tc>
          <w:tcPr>
            <w:tcW w:w="3092" w:type="dxa"/>
            <w:vAlign w:val="center"/>
          </w:tcPr>
          <w:p w14:paraId="2EB70718">
            <w:pPr>
              <w:widowControl/>
              <w:snapToGrid w:val="0"/>
              <w:jc w:val="center"/>
              <w:rPr>
                <w:b/>
                <w:kern w:val="0"/>
                <w:szCs w:val="21"/>
              </w:rPr>
            </w:pPr>
            <w:r>
              <w:rPr>
                <w:rFonts w:hint="eastAsia"/>
                <w:b/>
                <w:kern w:val="0"/>
                <w:szCs w:val="21"/>
              </w:rPr>
              <w:t>Section et clause de l'appel d'offres</w:t>
            </w:r>
          </w:p>
        </w:tc>
        <w:tc>
          <w:tcPr>
            <w:tcW w:w="2762" w:type="dxa"/>
            <w:vAlign w:val="center"/>
          </w:tcPr>
          <w:p w14:paraId="3E97EAC0">
            <w:pPr>
              <w:widowControl/>
              <w:snapToGrid w:val="0"/>
              <w:jc w:val="center"/>
              <w:rPr>
                <w:b/>
                <w:kern w:val="0"/>
                <w:szCs w:val="21"/>
              </w:rPr>
            </w:pPr>
            <w:r>
              <w:rPr>
                <w:rFonts w:hint="eastAsia"/>
                <w:b/>
                <w:kern w:val="0"/>
                <w:szCs w:val="21"/>
              </w:rPr>
              <w:t>Section et numéro de clause du document de réponse</w:t>
            </w:r>
          </w:p>
        </w:tc>
        <w:tc>
          <w:tcPr>
            <w:tcW w:w="1453" w:type="dxa"/>
            <w:vAlign w:val="center"/>
          </w:tcPr>
          <w:p w14:paraId="6515A914">
            <w:pPr>
              <w:widowControl/>
              <w:snapToGrid w:val="0"/>
              <w:jc w:val="center"/>
              <w:rPr>
                <w:b/>
                <w:kern w:val="0"/>
                <w:szCs w:val="21"/>
              </w:rPr>
            </w:pPr>
            <w:r>
              <w:rPr>
                <w:rFonts w:hint="eastAsia"/>
                <w:b/>
                <w:kern w:val="0"/>
                <w:szCs w:val="21"/>
              </w:rPr>
              <w:t>Description des écarts</w:t>
            </w:r>
          </w:p>
        </w:tc>
      </w:tr>
      <w:tr w14:paraId="1E339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130" w:type="dxa"/>
            <w:vMerge w:val="restart"/>
            <w:vAlign w:val="center"/>
          </w:tcPr>
          <w:p w14:paraId="42474480">
            <w:pPr>
              <w:widowControl/>
              <w:snapToGrid w:val="0"/>
              <w:jc w:val="center"/>
              <w:rPr>
                <w:kern w:val="0"/>
                <w:szCs w:val="21"/>
              </w:rPr>
            </w:pPr>
            <w:r>
              <w:rPr>
                <w:rFonts w:hint="eastAsia"/>
                <w:kern w:val="0"/>
                <w:szCs w:val="21"/>
              </w:rPr>
              <w:t>affaires commerciales</w:t>
            </w:r>
          </w:p>
        </w:tc>
        <w:tc>
          <w:tcPr>
            <w:tcW w:w="1041" w:type="dxa"/>
            <w:vAlign w:val="center"/>
          </w:tcPr>
          <w:p w14:paraId="431BAFD3">
            <w:pPr>
              <w:widowControl/>
              <w:snapToGrid w:val="0"/>
              <w:jc w:val="center"/>
              <w:rPr>
                <w:kern w:val="0"/>
                <w:szCs w:val="21"/>
              </w:rPr>
            </w:pPr>
            <w:r>
              <w:rPr>
                <w:rFonts w:hint="eastAsia"/>
                <w:kern w:val="0"/>
                <w:szCs w:val="21"/>
              </w:rPr>
              <w:t>1</w:t>
            </w:r>
          </w:p>
        </w:tc>
        <w:tc>
          <w:tcPr>
            <w:tcW w:w="3092" w:type="dxa"/>
            <w:vAlign w:val="center"/>
          </w:tcPr>
          <w:p w14:paraId="18351CE1">
            <w:pPr>
              <w:widowControl/>
              <w:snapToGrid w:val="0"/>
              <w:jc w:val="center"/>
              <w:rPr>
                <w:kern w:val="0"/>
                <w:szCs w:val="21"/>
              </w:rPr>
            </w:pPr>
          </w:p>
        </w:tc>
        <w:tc>
          <w:tcPr>
            <w:tcW w:w="2762" w:type="dxa"/>
            <w:vAlign w:val="center"/>
          </w:tcPr>
          <w:p w14:paraId="48A19471">
            <w:pPr>
              <w:widowControl/>
              <w:snapToGrid w:val="0"/>
              <w:jc w:val="center"/>
              <w:rPr>
                <w:kern w:val="0"/>
                <w:szCs w:val="21"/>
              </w:rPr>
            </w:pPr>
          </w:p>
        </w:tc>
        <w:tc>
          <w:tcPr>
            <w:tcW w:w="1453" w:type="dxa"/>
            <w:vAlign w:val="center"/>
          </w:tcPr>
          <w:p w14:paraId="79C88F6F">
            <w:pPr>
              <w:widowControl/>
              <w:snapToGrid w:val="0"/>
              <w:jc w:val="center"/>
              <w:rPr>
                <w:kern w:val="0"/>
                <w:szCs w:val="21"/>
              </w:rPr>
            </w:pPr>
          </w:p>
        </w:tc>
      </w:tr>
      <w:tr w14:paraId="28F30F7F">
        <w:tblPrEx>
          <w:tblCellMar>
            <w:top w:w="0" w:type="dxa"/>
            <w:left w:w="108" w:type="dxa"/>
            <w:bottom w:w="0" w:type="dxa"/>
            <w:right w:w="108" w:type="dxa"/>
          </w:tblCellMar>
        </w:tblPrEx>
        <w:trPr>
          <w:trHeight w:val="426" w:hRule="exact"/>
          <w:jc w:val="center"/>
        </w:trPr>
        <w:tc>
          <w:tcPr>
            <w:tcW w:w="1130" w:type="dxa"/>
            <w:vMerge w:val="continue"/>
            <w:vAlign w:val="center"/>
          </w:tcPr>
          <w:p w14:paraId="3BC5902C">
            <w:pPr>
              <w:widowControl/>
              <w:snapToGrid w:val="0"/>
              <w:jc w:val="center"/>
              <w:rPr>
                <w:kern w:val="0"/>
                <w:szCs w:val="21"/>
              </w:rPr>
            </w:pPr>
          </w:p>
        </w:tc>
        <w:tc>
          <w:tcPr>
            <w:tcW w:w="1041" w:type="dxa"/>
            <w:vAlign w:val="center"/>
          </w:tcPr>
          <w:p w14:paraId="2538C2F3">
            <w:pPr>
              <w:widowControl/>
              <w:snapToGrid w:val="0"/>
              <w:jc w:val="center"/>
              <w:rPr>
                <w:kern w:val="0"/>
                <w:szCs w:val="21"/>
              </w:rPr>
            </w:pPr>
            <w:r>
              <w:rPr>
                <w:rFonts w:hint="eastAsia"/>
                <w:kern w:val="0"/>
                <w:szCs w:val="21"/>
              </w:rPr>
              <w:t>2</w:t>
            </w:r>
          </w:p>
        </w:tc>
        <w:tc>
          <w:tcPr>
            <w:tcW w:w="3092" w:type="dxa"/>
            <w:vAlign w:val="center"/>
          </w:tcPr>
          <w:p w14:paraId="0D9BAB63">
            <w:pPr>
              <w:widowControl/>
              <w:snapToGrid w:val="0"/>
              <w:jc w:val="center"/>
              <w:rPr>
                <w:kern w:val="0"/>
                <w:szCs w:val="21"/>
              </w:rPr>
            </w:pPr>
          </w:p>
        </w:tc>
        <w:tc>
          <w:tcPr>
            <w:tcW w:w="2762" w:type="dxa"/>
            <w:vAlign w:val="center"/>
          </w:tcPr>
          <w:p w14:paraId="280AB6E7">
            <w:pPr>
              <w:widowControl/>
              <w:snapToGrid w:val="0"/>
              <w:jc w:val="center"/>
              <w:rPr>
                <w:kern w:val="0"/>
                <w:szCs w:val="21"/>
              </w:rPr>
            </w:pPr>
          </w:p>
        </w:tc>
        <w:tc>
          <w:tcPr>
            <w:tcW w:w="1453" w:type="dxa"/>
            <w:vAlign w:val="center"/>
          </w:tcPr>
          <w:p w14:paraId="3E178FC3">
            <w:pPr>
              <w:widowControl/>
              <w:snapToGrid w:val="0"/>
              <w:jc w:val="center"/>
              <w:rPr>
                <w:kern w:val="0"/>
                <w:szCs w:val="21"/>
              </w:rPr>
            </w:pPr>
          </w:p>
        </w:tc>
      </w:tr>
      <w:tr w14:paraId="2576B45D">
        <w:tblPrEx>
          <w:tblCellMar>
            <w:top w:w="0" w:type="dxa"/>
            <w:left w:w="108" w:type="dxa"/>
            <w:bottom w:w="0" w:type="dxa"/>
            <w:right w:w="108" w:type="dxa"/>
          </w:tblCellMar>
        </w:tblPrEx>
        <w:trPr>
          <w:trHeight w:val="426" w:hRule="exact"/>
          <w:jc w:val="center"/>
        </w:trPr>
        <w:tc>
          <w:tcPr>
            <w:tcW w:w="1130" w:type="dxa"/>
            <w:vMerge w:val="continue"/>
            <w:vAlign w:val="center"/>
          </w:tcPr>
          <w:p w14:paraId="0FA644F2">
            <w:pPr>
              <w:widowControl/>
              <w:snapToGrid w:val="0"/>
              <w:jc w:val="center"/>
              <w:rPr>
                <w:kern w:val="0"/>
                <w:szCs w:val="21"/>
              </w:rPr>
            </w:pPr>
          </w:p>
        </w:tc>
        <w:tc>
          <w:tcPr>
            <w:tcW w:w="1041" w:type="dxa"/>
            <w:vAlign w:val="center"/>
          </w:tcPr>
          <w:p w14:paraId="78AFA82A">
            <w:pPr>
              <w:widowControl/>
              <w:snapToGrid w:val="0"/>
              <w:jc w:val="center"/>
              <w:rPr>
                <w:kern w:val="0"/>
                <w:szCs w:val="21"/>
              </w:rPr>
            </w:pPr>
            <w:r>
              <w:rPr>
                <w:kern w:val="0"/>
                <w:szCs w:val="21"/>
              </w:rPr>
              <w:t>……</w:t>
            </w:r>
          </w:p>
        </w:tc>
        <w:tc>
          <w:tcPr>
            <w:tcW w:w="3092" w:type="dxa"/>
            <w:vAlign w:val="center"/>
          </w:tcPr>
          <w:p w14:paraId="05D35291">
            <w:pPr>
              <w:widowControl/>
              <w:snapToGrid w:val="0"/>
              <w:jc w:val="center"/>
              <w:rPr>
                <w:kern w:val="0"/>
                <w:szCs w:val="21"/>
              </w:rPr>
            </w:pPr>
          </w:p>
        </w:tc>
        <w:tc>
          <w:tcPr>
            <w:tcW w:w="2762" w:type="dxa"/>
            <w:vAlign w:val="center"/>
          </w:tcPr>
          <w:p w14:paraId="1713292B">
            <w:pPr>
              <w:widowControl/>
              <w:snapToGrid w:val="0"/>
              <w:jc w:val="center"/>
              <w:rPr>
                <w:kern w:val="0"/>
                <w:szCs w:val="21"/>
              </w:rPr>
            </w:pPr>
          </w:p>
        </w:tc>
        <w:tc>
          <w:tcPr>
            <w:tcW w:w="1453" w:type="dxa"/>
            <w:vAlign w:val="center"/>
          </w:tcPr>
          <w:p w14:paraId="551F1BB4">
            <w:pPr>
              <w:widowControl/>
              <w:snapToGrid w:val="0"/>
              <w:jc w:val="center"/>
              <w:rPr>
                <w:kern w:val="0"/>
                <w:szCs w:val="21"/>
              </w:rPr>
            </w:pPr>
          </w:p>
        </w:tc>
      </w:tr>
      <w:tr w14:paraId="5E7D7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130" w:type="dxa"/>
            <w:vMerge w:val="restart"/>
            <w:vAlign w:val="center"/>
          </w:tcPr>
          <w:p w14:paraId="55F223CF">
            <w:pPr>
              <w:widowControl/>
              <w:snapToGrid w:val="0"/>
              <w:jc w:val="center"/>
              <w:rPr>
                <w:kern w:val="0"/>
                <w:szCs w:val="21"/>
              </w:rPr>
            </w:pPr>
            <w:r>
              <w:rPr>
                <w:rFonts w:hint="eastAsia"/>
                <w:kern w:val="0"/>
                <w:szCs w:val="21"/>
              </w:rPr>
              <w:t>compétence</w:t>
            </w:r>
          </w:p>
        </w:tc>
        <w:tc>
          <w:tcPr>
            <w:tcW w:w="1041" w:type="dxa"/>
            <w:vAlign w:val="center"/>
          </w:tcPr>
          <w:p w14:paraId="455495BD">
            <w:pPr>
              <w:widowControl/>
              <w:snapToGrid w:val="0"/>
              <w:jc w:val="center"/>
              <w:rPr>
                <w:kern w:val="0"/>
                <w:szCs w:val="21"/>
              </w:rPr>
            </w:pPr>
            <w:r>
              <w:rPr>
                <w:rFonts w:hint="eastAsia"/>
                <w:kern w:val="0"/>
                <w:szCs w:val="21"/>
              </w:rPr>
              <w:t>1</w:t>
            </w:r>
          </w:p>
        </w:tc>
        <w:tc>
          <w:tcPr>
            <w:tcW w:w="3092" w:type="dxa"/>
            <w:vAlign w:val="center"/>
          </w:tcPr>
          <w:p w14:paraId="59014FD2">
            <w:pPr>
              <w:widowControl/>
              <w:snapToGrid w:val="0"/>
              <w:jc w:val="center"/>
              <w:rPr>
                <w:kern w:val="0"/>
                <w:szCs w:val="21"/>
              </w:rPr>
            </w:pPr>
          </w:p>
        </w:tc>
        <w:tc>
          <w:tcPr>
            <w:tcW w:w="2762" w:type="dxa"/>
            <w:vAlign w:val="center"/>
          </w:tcPr>
          <w:p w14:paraId="2260152A">
            <w:pPr>
              <w:widowControl/>
              <w:snapToGrid w:val="0"/>
              <w:jc w:val="center"/>
              <w:rPr>
                <w:kern w:val="0"/>
                <w:szCs w:val="21"/>
              </w:rPr>
            </w:pPr>
          </w:p>
        </w:tc>
        <w:tc>
          <w:tcPr>
            <w:tcW w:w="1453" w:type="dxa"/>
            <w:vAlign w:val="center"/>
          </w:tcPr>
          <w:p w14:paraId="5B18B8FC">
            <w:pPr>
              <w:widowControl/>
              <w:snapToGrid w:val="0"/>
              <w:jc w:val="center"/>
              <w:rPr>
                <w:kern w:val="0"/>
                <w:szCs w:val="21"/>
              </w:rPr>
            </w:pPr>
          </w:p>
        </w:tc>
      </w:tr>
      <w:tr w14:paraId="35E2EE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130" w:type="dxa"/>
            <w:vMerge w:val="continue"/>
            <w:vAlign w:val="center"/>
          </w:tcPr>
          <w:p w14:paraId="0E0D28A4">
            <w:pPr>
              <w:widowControl/>
              <w:snapToGrid w:val="0"/>
              <w:jc w:val="center"/>
              <w:rPr>
                <w:kern w:val="0"/>
                <w:szCs w:val="21"/>
              </w:rPr>
            </w:pPr>
          </w:p>
        </w:tc>
        <w:tc>
          <w:tcPr>
            <w:tcW w:w="1041" w:type="dxa"/>
            <w:vAlign w:val="center"/>
          </w:tcPr>
          <w:p w14:paraId="29DCCE9B">
            <w:pPr>
              <w:widowControl/>
              <w:snapToGrid w:val="0"/>
              <w:jc w:val="center"/>
              <w:rPr>
                <w:kern w:val="0"/>
                <w:szCs w:val="21"/>
              </w:rPr>
            </w:pPr>
            <w:r>
              <w:rPr>
                <w:rFonts w:hint="eastAsia"/>
                <w:kern w:val="0"/>
                <w:szCs w:val="21"/>
              </w:rPr>
              <w:t>2</w:t>
            </w:r>
          </w:p>
        </w:tc>
        <w:tc>
          <w:tcPr>
            <w:tcW w:w="3092" w:type="dxa"/>
            <w:vAlign w:val="center"/>
          </w:tcPr>
          <w:p w14:paraId="16EEDE89">
            <w:pPr>
              <w:widowControl/>
              <w:snapToGrid w:val="0"/>
              <w:jc w:val="center"/>
              <w:rPr>
                <w:kern w:val="0"/>
                <w:szCs w:val="21"/>
              </w:rPr>
            </w:pPr>
          </w:p>
        </w:tc>
        <w:tc>
          <w:tcPr>
            <w:tcW w:w="2762" w:type="dxa"/>
            <w:vAlign w:val="center"/>
          </w:tcPr>
          <w:p w14:paraId="64DBF985">
            <w:pPr>
              <w:widowControl/>
              <w:snapToGrid w:val="0"/>
              <w:jc w:val="center"/>
              <w:rPr>
                <w:kern w:val="0"/>
                <w:szCs w:val="21"/>
              </w:rPr>
            </w:pPr>
          </w:p>
        </w:tc>
        <w:tc>
          <w:tcPr>
            <w:tcW w:w="1453" w:type="dxa"/>
            <w:vAlign w:val="center"/>
          </w:tcPr>
          <w:p w14:paraId="660055A8">
            <w:pPr>
              <w:widowControl/>
              <w:snapToGrid w:val="0"/>
              <w:jc w:val="center"/>
              <w:rPr>
                <w:kern w:val="0"/>
                <w:szCs w:val="21"/>
              </w:rPr>
            </w:pPr>
          </w:p>
        </w:tc>
      </w:tr>
      <w:tr w14:paraId="2B4CE3D7">
        <w:tblPrEx>
          <w:tblCellMar>
            <w:top w:w="0" w:type="dxa"/>
            <w:left w:w="108" w:type="dxa"/>
            <w:bottom w:w="0" w:type="dxa"/>
            <w:right w:w="108" w:type="dxa"/>
          </w:tblCellMar>
        </w:tblPrEx>
        <w:trPr>
          <w:trHeight w:val="511" w:hRule="exact"/>
          <w:jc w:val="center"/>
        </w:trPr>
        <w:tc>
          <w:tcPr>
            <w:tcW w:w="1130" w:type="dxa"/>
            <w:vMerge w:val="continue"/>
            <w:vAlign w:val="center"/>
          </w:tcPr>
          <w:p w14:paraId="5DF45B87">
            <w:pPr>
              <w:widowControl/>
              <w:snapToGrid w:val="0"/>
              <w:jc w:val="center"/>
              <w:rPr>
                <w:kern w:val="0"/>
                <w:szCs w:val="21"/>
              </w:rPr>
            </w:pPr>
          </w:p>
        </w:tc>
        <w:tc>
          <w:tcPr>
            <w:tcW w:w="1041" w:type="dxa"/>
            <w:vAlign w:val="center"/>
          </w:tcPr>
          <w:p w14:paraId="02681FB1">
            <w:pPr>
              <w:widowControl/>
              <w:snapToGrid w:val="0"/>
              <w:jc w:val="center"/>
              <w:rPr>
                <w:kern w:val="0"/>
                <w:szCs w:val="21"/>
              </w:rPr>
            </w:pPr>
            <w:r>
              <w:rPr>
                <w:kern w:val="0"/>
                <w:szCs w:val="21"/>
              </w:rPr>
              <w:t>……</w:t>
            </w:r>
          </w:p>
        </w:tc>
        <w:tc>
          <w:tcPr>
            <w:tcW w:w="3092" w:type="dxa"/>
            <w:vAlign w:val="center"/>
          </w:tcPr>
          <w:p w14:paraId="6F946E03">
            <w:pPr>
              <w:widowControl/>
              <w:snapToGrid w:val="0"/>
              <w:jc w:val="center"/>
              <w:rPr>
                <w:kern w:val="0"/>
                <w:szCs w:val="21"/>
              </w:rPr>
            </w:pPr>
          </w:p>
        </w:tc>
        <w:tc>
          <w:tcPr>
            <w:tcW w:w="2762" w:type="dxa"/>
            <w:vAlign w:val="center"/>
          </w:tcPr>
          <w:p w14:paraId="2C4D6972">
            <w:pPr>
              <w:widowControl/>
              <w:snapToGrid w:val="0"/>
              <w:jc w:val="center"/>
              <w:rPr>
                <w:kern w:val="0"/>
                <w:szCs w:val="21"/>
              </w:rPr>
            </w:pPr>
          </w:p>
        </w:tc>
        <w:tc>
          <w:tcPr>
            <w:tcW w:w="1453" w:type="dxa"/>
            <w:vAlign w:val="center"/>
          </w:tcPr>
          <w:p w14:paraId="30D30AAA">
            <w:pPr>
              <w:widowControl/>
              <w:snapToGrid w:val="0"/>
              <w:jc w:val="center"/>
              <w:rPr>
                <w:kern w:val="0"/>
                <w:szCs w:val="21"/>
              </w:rPr>
            </w:pPr>
          </w:p>
        </w:tc>
      </w:tr>
    </w:tbl>
    <w:p w14:paraId="3FCD7EE8">
      <w:pPr>
        <w:ind w:firstLine="410"/>
        <w:rPr>
          <w:szCs w:val="21"/>
        </w:rPr>
      </w:pPr>
      <w:r>
        <w:rPr>
          <w:rFonts w:hint="eastAsia"/>
          <w:szCs w:val="21"/>
        </w:rPr>
        <w:t xml:space="preserve">Note : 1) Le soumissionnaire garantit qu'il répondra à toutes les exigences du dossier d'appel d'offres, à l'exception des dérogations énumérées dans le tableau des dérogations commerciales et techniques ; </w:t>
      </w:r>
    </w:p>
    <w:p w14:paraId="498A4EEA">
      <w:pPr>
        <w:ind w:firstLine="410"/>
        <w:rPr>
          <w:szCs w:val="21"/>
        </w:rPr>
      </w:pPr>
      <w:r>
        <w:rPr>
          <w:rFonts w:hint="eastAsia"/>
          <w:szCs w:val="21"/>
        </w:rPr>
        <w:t>2) Les soumissionnaires sont tenus d'indiquer les écarts entre le document de réponse et les documents du marché conformément au formulaire fourni, et de dresser une liste séparée des écarts commerciaux et techniques;</w:t>
      </w:r>
    </w:p>
    <w:p w14:paraId="5A024F88">
      <w:pPr>
        <w:ind w:firstLine="410"/>
      </w:pPr>
      <w:r>
        <w:rPr>
          <w:rFonts w:hint="eastAsia"/>
          <w:szCs w:val="21"/>
        </w:rPr>
        <w:t>3. Les soumissionnaires qui ne soulèvent pas de divergences dans le tableau ci-dessus sont réputés avoir pleinement répondu aux documents de passation de marché.</w:t>
      </w:r>
    </w:p>
    <w:p w14:paraId="25B1FD28">
      <w:pPr>
        <w:ind w:firstLine="410"/>
      </w:pPr>
    </w:p>
    <w:p w14:paraId="3849BED3">
      <w:pPr>
        <w:ind w:firstLine="410"/>
      </w:pPr>
    </w:p>
    <w:p w14:paraId="002A6F96">
      <w:pPr>
        <w:ind w:firstLine="410"/>
      </w:pPr>
    </w:p>
    <w:p w14:paraId="7707732E">
      <w:pPr>
        <w:ind w:firstLine="410"/>
      </w:pPr>
    </w:p>
    <w:p w14:paraId="73DA938F">
      <w:pPr>
        <w:ind w:firstLine="410"/>
        <w:rPr>
          <w:szCs w:val="21"/>
        </w:rPr>
      </w:pPr>
    </w:p>
    <w:p w14:paraId="235BDA19">
      <w:pPr>
        <w:pStyle w:val="3"/>
        <w:spacing w:before="0" w:after="0" w:line="360" w:lineRule="auto"/>
        <w:rPr>
          <w:rFonts w:ascii="Times New Roman" w:hAnsi="Times New Roman" w:cs="宋体"/>
          <w:kern w:val="2"/>
          <w:szCs w:val="21"/>
        </w:rPr>
      </w:pPr>
      <w:r>
        <w:rPr>
          <w:rFonts w:ascii="Times New Roman" w:hAnsi="Times New Roman"/>
          <w:sz w:val="20"/>
        </w:rPr>
        <w:br w:type="page"/>
      </w:r>
      <w:bookmarkStart w:id="228" w:name="_Toc492288523"/>
      <w:bookmarkStart w:id="229" w:name="_Toc6561435"/>
      <w:bookmarkStart w:id="230" w:name="_Toc5255"/>
      <w:r>
        <w:rPr>
          <w:rFonts w:hint="eastAsia" w:ascii="Times New Roman" w:hAnsi="Times New Roman" w:cs="宋体"/>
          <w:kern w:val="2"/>
          <w:szCs w:val="21"/>
        </w:rPr>
        <w:t>五、</w:t>
      </w:r>
      <w:bookmarkEnd w:id="228"/>
      <w:bookmarkEnd w:id="229"/>
      <w:r>
        <w:rPr>
          <w:rFonts w:hint="eastAsia" w:ascii="Times New Roman" w:hAnsi="Times New Roman" w:cs="宋体"/>
          <w:kern w:val="2"/>
          <w:szCs w:val="21"/>
        </w:rPr>
        <w:t>资格审查资料</w:t>
      </w:r>
      <w:bookmarkEnd w:id="230"/>
    </w:p>
    <w:p w14:paraId="15CAC262">
      <w:pPr>
        <w:spacing w:line="360" w:lineRule="auto"/>
        <w:jc w:val="center"/>
        <w:rPr>
          <w:b/>
          <w:bCs/>
          <w:szCs w:val="21"/>
        </w:rPr>
      </w:pPr>
      <w:r>
        <w:rPr>
          <w:rFonts w:hint="eastAsia"/>
          <w:b/>
          <w:bCs/>
          <w:szCs w:val="21"/>
        </w:rPr>
        <w:t>V. Informations sur l'éligibilité</w:t>
      </w:r>
    </w:p>
    <w:p w14:paraId="1E8FE027">
      <w:pPr>
        <w:spacing w:line="360" w:lineRule="auto"/>
        <w:jc w:val="center"/>
        <w:rPr>
          <w:szCs w:val="21"/>
        </w:rPr>
      </w:pPr>
      <w:r>
        <w:rPr>
          <w:rFonts w:hint="eastAsia"/>
          <w:szCs w:val="21"/>
        </w:rPr>
        <w:t>（注：响应人根据前附表资质要求在此处附相关证明材料）</w:t>
      </w:r>
    </w:p>
    <w:p w14:paraId="1096F4A3">
      <w:pPr>
        <w:pStyle w:val="33"/>
        <w:adjustRightInd/>
        <w:ind w:firstLine="0" w:firstLineChars="0"/>
        <w:rPr>
          <w:sz w:val="21"/>
          <w:szCs w:val="21"/>
        </w:rPr>
      </w:pPr>
      <w:r>
        <w:rPr>
          <w:rFonts w:hint="eastAsia"/>
          <w:b/>
          <w:bCs/>
          <w:sz w:val="21"/>
          <w:szCs w:val="21"/>
        </w:rPr>
        <w:t>【编注：编制采购文件时，将前附表的资质要求逐条复制粘贴在此页</w:t>
      </w:r>
      <w:r>
        <w:rPr>
          <w:rFonts w:hint="eastAsia"/>
          <w:b/>
          <w:bCs/>
          <w:szCs w:val="21"/>
        </w:rPr>
        <w:t>】</w:t>
      </w:r>
    </w:p>
    <w:p w14:paraId="0A33DB19">
      <w:pPr>
        <w:pStyle w:val="33"/>
        <w:numPr>
          <w:ilvl w:val="0"/>
          <w:numId w:val="7"/>
        </w:numPr>
        <w:adjustRightInd/>
        <w:ind w:firstLine="0" w:firstLineChars="0"/>
        <w:rPr>
          <w:sz w:val="21"/>
          <w:szCs w:val="21"/>
        </w:rPr>
      </w:pPr>
      <w:r>
        <w:rPr>
          <w:rFonts w:hint="eastAsia"/>
          <w:sz w:val="21"/>
          <w:szCs w:val="21"/>
        </w:rPr>
        <w:t>响应人营业执照</w:t>
      </w:r>
    </w:p>
    <w:p w14:paraId="0269054F">
      <w:pPr>
        <w:pStyle w:val="33"/>
        <w:adjustRightInd/>
        <w:ind w:firstLine="0" w:firstLineChars="0"/>
        <w:rPr>
          <w:sz w:val="21"/>
          <w:szCs w:val="21"/>
        </w:rPr>
      </w:pPr>
      <w:r>
        <w:rPr>
          <w:rFonts w:hint="eastAsia"/>
          <w:sz w:val="21"/>
          <w:szCs w:val="21"/>
        </w:rPr>
        <w:t>(i) Licence d'exploitation du défendeur</w:t>
      </w:r>
      <w:r>
        <w:rPr>
          <w:sz w:val="21"/>
          <w:szCs w:val="21"/>
        </w:rPr>
        <w:t xml:space="preserve">  </w:t>
      </w:r>
      <w:r>
        <w:rPr>
          <w:rFonts w:hint="eastAsia"/>
          <w:sz w:val="21"/>
          <w:szCs w:val="21"/>
        </w:rPr>
        <w:t>RCCM</w:t>
      </w:r>
    </w:p>
    <w:p w14:paraId="11FD5628">
      <w:pPr>
        <w:pStyle w:val="33"/>
        <w:adjustRightInd/>
        <w:ind w:firstLine="0" w:firstLineChars="0"/>
        <w:rPr>
          <w:sz w:val="21"/>
          <w:szCs w:val="21"/>
        </w:rPr>
      </w:pPr>
    </w:p>
    <w:p w14:paraId="3EDF07B0">
      <w:pPr>
        <w:pStyle w:val="33"/>
        <w:numPr>
          <w:ilvl w:val="0"/>
          <w:numId w:val="7"/>
        </w:numPr>
        <w:adjustRightInd/>
        <w:ind w:firstLine="0" w:firstLineChars="0"/>
        <w:rPr>
          <w:sz w:val="21"/>
          <w:szCs w:val="21"/>
        </w:rPr>
      </w:pPr>
      <w:r>
        <w:rPr>
          <w:rFonts w:hint="eastAsia"/>
          <w:sz w:val="21"/>
          <w:szCs w:val="21"/>
        </w:rPr>
        <w:t>……</w:t>
      </w:r>
    </w:p>
    <w:p w14:paraId="0D36BC8A">
      <w:pPr>
        <w:pStyle w:val="33"/>
        <w:adjustRightInd/>
        <w:ind w:firstLine="0" w:firstLineChars="0"/>
        <w:rPr>
          <w:sz w:val="21"/>
          <w:szCs w:val="21"/>
        </w:rPr>
      </w:pPr>
    </w:p>
    <w:p w14:paraId="07EBA632">
      <w:pPr>
        <w:pStyle w:val="33"/>
        <w:adjustRightInd/>
        <w:ind w:firstLine="0" w:firstLineChars="0"/>
        <w:rPr>
          <w:sz w:val="21"/>
          <w:szCs w:val="21"/>
        </w:rPr>
      </w:pPr>
    </w:p>
    <w:p w14:paraId="76537825">
      <w:pPr>
        <w:numPr>
          <w:ilvl w:val="0"/>
          <w:numId w:val="7"/>
        </w:numPr>
        <w:spacing w:line="360" w:lineRule="auto"/>
        <w:rPr>
          <w:szCs w:val="21"/>
        </w:rPr>
      </w:pPr>
      <w:r>
        <w:rPr>
          <w:rFonts w:hint="eastAsia"/>
          <w:szCs w:val="21"/>
        </w:rPr>
        <w:t>……</w:t>
      </w:r>
    </w:p>
    <w:p w14:paraId="7B35152E">
      <w:pPr>
        <w:pStyle w:val="164"/>
        <w:ind w:left="5250"/>
        <w:rPr>
          <w:rFonts w:eastAsia="宋体"/>
          <w:szCs w:val="21"/>
        </w:rPr>
      </w:pPr>
    </w:p>
    <w:p w14:paraId="3E7A7BB9">
      <w:pPr>
        <w:pStyle w:val="164"/>
        <w:ind w:left="5250"/>
        <w:rPr>
          <w:rFonts w:eastAsia="宋体"/>
          <w:szCs w:val="21"/>
        </w:rPr>
      </w:pPr>
    </w:p>
    <w:p w14:paraId="7BE94557">
      <w:pPr>
        <w:pStyle w:val="164"/>
        <w:ind w:left="5250"/>
        <w:rPr>
          <w:rFonts w:eastAsia="宋体"/>
          <w:szCs w:val="21"/>
        </w:rPr>
      </w:pPr>
    </w:p>
    <w:p w14:paraId="3F161257">
      <w:pPr>
        <w:numPr>
          <w:ilvl w:val="0"/>
          <w:numId w:val="7"/>
        </w:numPr>
        <w:spacing w:line="360" w:lineRule="auto"/>
        <w:rPr>
          <w:szCs w:val="21"/>
        </w:rPr>
      </w:pPr>
      <w:r>
        <w:rPr>
          <w:rFonts w:hint="eastAsia"/>
          <w:szCs w:val="21"/>
        </w:rPr>
        <w:t>总负责人简历表</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402"/>
        <w:gridCol w:w="775"/>
        <w:gridCol w:w="1568"/>
        <w:gridCol w:w="1418"/>
        <w:gridCol w:w="80"/>
        <w:gridCol w:w="1417"/>
        <w:gridCol w:w="448"/>
        <w:gridCol w:w="2131"/>
      </w:tblGrid>
      <w:tr w14:paraId="161C1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2" w:type="dxa"/>
            <w:vAlign w:val="center"/>
          </w:tcPr>
          <w:p w14:paraId="4CCA77A2">
            <w:pPr>
              <w:jc w:val="center"/>
            </w:pPr>
            <w:r>
              <w:t>姓  名</w:t>
            </w:r>
          </w:p>
          <w:p w14:paraId="0E5C6E80">
            <w:pPr>
              <w:jc w:val="center"/>
            </w:pPr>
            <w:r>
              <w:t>nom et prénom</w:t>
            </w:r>
          </w:p>
        </w:tc>
        <w:tc>
          <w:tcPr>
            <w:tcW w:w="1177" w:type="dxa"/>
            <w:gridSpan w:val="2"/>
            <w:vAlign w:val="center"/>
          </w:tcPr>
          <w:p w14:paraId="0B07E684">
            <w:pPr>
              <w:jc w:val="center"/>
            </w:pPr>
          </w:p>
        </w:tc>
        <w:tc>
          <w:tcPr>
            <w:tcW w:w="1568" w:type="dxa"/>
            <w:vAlign w:val="center"/>
          </w:tcPr>
          <w:p w14:paraId="49230A67">
            <w:pPr>
              <w:jc w:val="center"/>
            </w:pPr>
            <w:r>
              <w:t>年龄</w:t>
            </w:r>
          </w:p>
          <w:p w14:paraId="6052F0F3">
            <w:r>
              <w:rPr>
                <w:rFonts w:hint="eastAsia"/>
              </w:rPr>
              <w:t>Â</w:t>
            </w:r>
            <w:r>
              <w:t>ge</w:t>
            </w:r>
            <w:r>
              <w:tab/>
            </w:r>
          </w:p>
        </w:tc>
        <w:tc>
          <w:tcPr>
            <w:tcW w:w="1418" w:type="dxa"/>
            <w:vAlign w:val="center"/>
          </w:tcPr>
          <w:p w14:paraId="68F28AD1">
            <w:pPr>
              <w:jc w:val="center"/>
            </w:pPr>
          </w:p>
        </w:tc>
        <w:tc>
          <w:tcPr>
            <w:tcW w:w="1945" w:type="dxa"/>
            <w:gridSpan w:val="3"/>
            <w:vAlign w:val="center"/>
          </w:tcPr>
          <w:p w14:paraId="3BC46D63">
            <w:pPr>
              <w:jc w:val="center"/>
            </w:pPr>
            <w:r>
              <w:t>执业资格证书（或上岗证书）名称</w:t>
            </w:r>
          </w:p>
          <w:p w14:paraId="79A5334C">
            <w:pPr>
              <w:jc w:val="center"/>
            </w:pPr>
            <w:r>
              <w:t>Nom du certificat d'aptitude à la pratique (ou certificat d'initiation)</w:t>
            </w:r>
            <w:r>
              <w:tab/>
            </w:r>
          </w:p>
        </w:tc>
        <w:tc>
          <w:tcPr>
            <w:tcW w:w="2131" w:type="dxa"/>
            <w:vAlign w:val="center"/>
          </w:tcPr>
          <w:p w14:paraId="51ADDDA0">
            <w:pPr>
              <w:jc w:val="center"/>
            </w:pPr>
          </w:p>
        </w:tc>
      </w:tr>
      <w:tr w14:paraId="458B7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332" w:type="dxa"/>
            <w:vAlign w:val="center"/>
          </w:tcPr>
          <w:p w14:paraId="4E878D4D">
            <w:pPr>
              <w:jc w:val="center"/>
            </w:pPr>
            <w:r>
              <w:t>职  称Titre</w:t>
            </w:r>
          </w:p>
        </w:tc>
        <w:tc>
          <w:tcPr>
            <w:tcW w:w="1177" w:type="dxa"/>
            <w:gridSpan w:val="2"/>
            <w:vAlign w:val="center"/>
          </w:tcPr>
          <w:p w14:paraId="414497DE">
            <w:pPr>
              <w:jc w:val="center"/>
            </w:pPr>
          </w:p>
        </w:tc>
        <w:tc>
          <w:tcPr>
            <w:tcW w:w="1568" w:type="dxa"/>
            <w:vAlign w:val="center"/>
          </w:tcPr>
          <w:p w14:paraId="7F82F1C4">
            <w:pPr>
              <w:spacing w:before="100" w:beforeAutospacing="1" w:after="100" w:afterAutospacing="1"/>
              <w:jc w:val="center"/>
            </w:pPr>
            <w:r>
              <w:t>学历</w:t>
            </w:r>
          </w:p>
          <w:p w14:paraId="5D81EF67">
            <w:pPr>
              <w:spacing w:before="100" w:beforeAutospacing="1" w:after="100" w:afterAutospacing="1"/>
              <w:jc w:val="center"/>
            </w:pPr>
            <w:r>
              <w:t>Qualifications académiques</w:t>
            </w:r>
          </w:p>
        </w:tc>
        <w:tc>
          <w:tcPr>
            <w:tcW w:w="1418" w:type="dxa"/>
            <w:vAlign w:val="center"/>
          </w:tcPr>
          <w:p w14:paraId="5CCA1E5B">
            <w:pPr>
              <w:jc w:val="center"/>
            </w:pPr>
          </w:p>
        </w:tc>
        <w:tc>
          <w:tcPr>
            <w:tcW w:w="1945" w:type="dxa"/>
            <w:gridSpan w:val="3"/>
            <w:vAlign w:val="center"/>
          </w:tcPr>
          <w:p w14:paraId="50FB5E07">
            <w:pPr>
              <w:spacing w:before="100" w:beforeAutospacing="1" w:after="100" w:afterAutospacing="1"/>
              <w:jc w:val="center"/>
            </w:pPr>
            <w:r>
              <w:t>拟在本项目任职</w:t>
            </w:r>
          </w:p>
          <w:p w14:paraId="56530BA2">
            <w:pPr>
              <w:spacing w:before="100" w:beforeAutospacing="1" w:after="100" w:afterAutospacing="1"/>
              <w:jc w:val="center"/>
            </w:pPr>
            <w:r>
              <w:t>Pour servir dans ce projet</w:t>
            </w:r>
            <w:r>
              <w:tab/>
            </w:r>
          </w:p>
        </w:tc>
        <w:tc>
          <w:tcPr>
            <w:tcW w:w="2131" w:type="dxa"/>
            <w:vAlign w:val="center"/>
          </w:tcPr>
          <w:p w14:paraId="4AF21E91">
            <w:pPr>
              <w:jc w:val="center"/>
            </w:pPr>
          </w:p>
        </w:tc>
      </w:tr>
      <w:tr w14:paraId="032944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332" w:type="dxa"/>
            <w:vAlign w:val="center"/>
          </w:tcPr>
          <w:p w14:paraId="1343E77D">
            <w:pPr>
              <w:spacing w:before="100" w:beforeAutospacing="1" w:after="100" w:afterAutospacing="1"/>
              <w:jc w:val="center"/>
            </w:pPr>
            <w:r>
              <w:t>工作年限Années de travail</w:t>
            </w:r>
            <w:r>
              <w:tab/>
            </w:r>
          </w:p>
        </w:tc>
        <w:tc>
          <w:tcPr>
            <w:tcW w:w="4163" w:type="dxa"/>
            <w:gridSpan w:val="4"/>
            <w:vAlign w:val="center"/>
          </w:tcPr>
          <w:p w14:paraId="2F146F04">
            <w:pPr>
              <w:jc w:val="center"/>
            </w:pPr>
          </w:p>
        </w:tc>
        <w:tc>
          <w:tcPr>
            <w:tcW w:w="1945" w:type="dxa"/>
            <w:gridSpan w:val="3"/>
            <w:vAlign w:val="center"/>
          </w:tcPr>
          <w:p w14:paraId="3DF3C6AB">
            <w:pPr>
              <w:spacing w:before="100" w:beforeAutospacing="1" w:after="100" w:afterAutospacing="1"/>
              <w:jc w:val="center"/>
            </w:pPr>
            <w:r>
              <w:t>从事服务工作年限</w:t>
            </w:r>
          </w:p>
          <w:p w14:paraId="4C195C45">
            <w:pPr>
              <w:spacing w:before="100" w:beforeAutospacing="1" w:after="100" w:afterAutospacing="1"/>
              <w:jc w:val="center"/>
            </w:pPr>
            <w:r>
              <w:t>Années de service</w:t>
            </w:r>
            <w:r>
              <w:tab/>
            </w:r>
          </w:p>
        </w:tc>
        <w:tc>
          <w:tcPr>
            <w:tcW w:w="2131" w:type="dxa"/>
            <w:vAlign w:val="center"/>
          </w:tcPr>
          <w:p w14:paraId="03F5AE38">
            <w:pPr>
              <w:jc w:val="center"/>
            </w:pPr>
          </w:p>
        </w:tc>
      </w:tr>
      <w:tr w14:paraId="51011A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332" w:type="dxa"/>
            <w:vAlign w:val="center"/>
          </w:tcPr>
          <w:p w14:paraId="612593C6">
            <w:pPr>
              <w:spacing w:before="100" w:beforeAutospacing="1" w:after="100" w:afterAutospacing="1"/>
              <w:jc w:val="center"/>
            </w:pPr>
            <w:r>
              <w:t>毕业学校</w:t>
            </w:r>
          </w:p>
          <w:p w14:paraId="79A2EAF8">
            <w:pPr>
              <w:spacing w:before="100" w:beforeAutospacing="1" w:after="100" w:afterAutospacing="1"/>
              <w:jc w:val="center"/>
            </w:pPr>
            <w:r>
              <w:t xml:space="preserve">Diplôme universitaire        </w:t>
            </w:r>
          </w:p>
        </w:tc>
        <w:tc>
          <w:tcPr>
            <w:tcW w:w="8239" w:type="dxa"/>
            <w:gridSpan w:val="8"/>
            <w:vAlign w:val="center"/>
          </w:tcPr>
          <w:p w14:paraId="7A1D2D58">
            <w:pPr>
              <w:spacing w:before="100" w:beforeAutospacing="1" w:after="100" w:afterAutospacing="1"/>
              <w:ind w:firstLine="1155" w:firstLineChars="550"/>
            </w:pPr>
            <w:r>
              <w:t>年毕业于            学校        专业</w:t>
            </w:r>
          </w:p>
          <w:p w14:paraId="4C616F8C">
            <w:pPr>
              <w:spacing w:before="100" w:beforeAutospacing="1" w:after="100" w:afterAutospacing="1"/>
              <w:ind w:firstLine="1155" w:firstLineChars="550"/>
            </w:pPr>
            <w:r>
              <w:t>Diplômé de l'université XX en XX, avec une spécialisation en XX</w:t>
            </w:r>
          </w:p>
        </w:tc>
      </w:tr>
      <w:tr w14:paraId="2CD68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571" w:type="dxa"/>
            <w:gridSpan w:val="9"/>
            <w:vAlign w:val="center"/>
          </w:tcPr>
          <w:p w14:paraId="327425B0">
            <w:pPr>
              <w:spacing w:before="100" w:beforeAutospacing="1" w:after="100" w:afterAutospacing="1"/>
              <w:jc w:val="left"/>
            </w:pPr>
            <w:r>
              <w:t>主要工作经历Principale expérience professionnelle</w:t>
            </w:r>
          </w:p>
        </w:tc>
      </w:tr>
      <w:tr w14:paraId="065FD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734" w:type="dxa"/>
            <w:gridSpan w:val="2"/>
            <w:vAlign w:val="center"/>
          </w:tcPr>
          <w:p w14:paraId="3E1297A0">
            <w:pPr>
              <w:spacing w:before="100" w:beforeAutospacing="1" w:after="100" w:afterAutospacing="1"/>
              <w:jc w:val="center"/>
            </w:pPr>
            <w:r>
              <w:t>时间période de temps</w:t>
            </w:r>
          </w:p>
        </w:tc>
        <w:tc>
          <w:tcPr>
            <w:tcW w:w="3841" w:type="dxa"/>
            <w:gridSpan w:val="4"/>
            <w:vAlign w:val="center"/>
          </w:tcPr>
          <w:p w14:paraId="6A4FB81A">
            <w:pPr>
              <w:spacing w:before="100" w:beforeAutospacing="1" w:after="100" w:afterAutospacing="1"/>
              <w:jc w:val="center"/>
            </w:pPr>
            <w:r>
              <w:t>参加过的类似项目Participation à des projets similaires</w:t>
            </w:r>
          </w:p>
        </w:tc>
        <w:tc>
          <w:tcPr>
            <w:tcW w:w="1417" w:type="dxa"/>
            <w:vAlign w:val="center"/>
          </w:tcPr>
          <w:p w14:paraId="0F56BBA1">
            <w:pPr>
              <w:spacing w:before="100" w:beforeAutospacing="1" w:after="100" w:afterAutospacing="1"/>
              <w:jc w:val="center"/>
            </w:pPr>
            <w:r>
              <w:t>担任职务occuper une fonction ou un poste</w:t>
            </w:r>
          </w:p>
        </w:tc>
        <w:tc>
          <w:tcPr>
            <w:tcW w:w="2579" w:type="dxa"/>
            <w:gridSpan w:val="2"/>
            <w:vAlign w:val="center"/>
          </w:tcPr>
          <w:p w14:paraId="0D68BE79">
            <w:pPr>
              <w:spacing w:before="100" w:beforeAutospacing="1" w:after="100" w:afterAutospacing="1"/>
              <w:jc w:val="center"/>
            </w:pPr>
            <w:r>
              <w:t>委托人及联系电话Principal et numéro de contact</w:t>
            </w:r>
          </w:p>
        </w:tc>
      </w:tr>
      <w:tr w14:paraId="5EEF9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34" w:type="dxa"/>
            <w:gridSpan w:val="2"/>
          </w:tcPr>
          <w:p w14:paraId="25CE2A5F"/>
        </w:tc>
        <w:tc>
          <w:tcPr>
            <w:tcW w:w="3841" w:type="dxa"/>
            <w:gridSpan w:val="4"/>
          </w:tcPr>
          <w:p w14:paraId="713C3641"/>
        </w:tc>
        <w:tc>
          <w:tcPr>
            <w:tcW w:w="1417" w:type="dxa"/>
          </w:tcPr>
          <w:p w14:paraId="2DFA6136"/>
        </w:tc>
        <w:tc>
          <w:tcPr>
            <w:tcW w:w="2579" w:type="dxa"/>
            <w:gridSpan w:val="2"/>
          </w:tcPr>
          <w:p w14:paraId="7970295C"/>
        </w:tc>
      </w:tr>
      <w:tr w14:paraId="680E4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34" w:type="dxa"/>
            <w:gridSpan w:val="2"/>
          </w:tcPr>
          <w:p w14:paraId="28CC4753"/>
        </w:tc>
        <w:tc>
          <w:tcPr>
            <w:tcW w:w="3841" w:type="dxa"/>
            <w:gridSpan w:val="4"/>
          </w:tcPr>
          <w:p w14:paraId="3FD8FDD7"/>
        </w:tc>
        <w:tc>
          <w:tcPr>
            <w:tcW w:w="1417" w:type="dxa"/>
          </w:tcPr>
          <w:p w14:paraId="028EEDE9"/>
        </w:tc>
        <w:tc>
          <w:tcPr>
            <w:tcW w:w="2579" w:type="dxa"/>
            <w:gridSpan w:val="2"/>
          </w:tcPr>
          <w:p w14:paraId="4049BE17"/>
        </w:tc>
      </w:tr>
      <w:tr w14:paraId="58562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34" w:type="dxa"/>
            <w:gridSpan w:val="2"/>
          </w:tcPr>
          <w:p w14:paraId="069CC60D"/>
        </w:tc>
        <w:tc>
          <w:tcPr>
            <w:tcW w:w="3841" w:type="dxa"/>
            <w:gridSpan w:val="4"/>
          </w:tcPr>
          <w:p w14:paraId="4766A25C"/>
        </w:tc>
        <w:tc>
          <w:tcPr>
            <w:tcW w:w="1417" w:type="dxa"/>
          </w:tcPr>
          <w:p w14:paraId="476F81C2"/>
        </w:tc>
        <w:tc>
          <w:tcPr>
            <w:tcW w:w="2579" w:type="dxa"/>
            <w:gridSpan w:val="2"/>
          </w:tcPr>
          <w:p w14:paraId="1BD1BD41"/>
        </w:tc>
      </w:tr>
      <w:tr w14:paraId="0032F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34" w:type="dxa"/>
            <w:gridSpan w:val="2"/>
            <w:vAlign w:val="center"/>
          </w:tcPr>
          <w:p w14:paraId="7D52D212"/>
        </w:tc>
        <w:tc>
          <w:tcPr>
            <w:tcW w:w="3841" w:type="dxa"/>
            <w:gridSpan w:val="4"/>
            <w:vAlign w:val="center"/>
          </w:tcPr>
          <w:p w14:paraId="6D520189"/>
        </w:tc>
        <w:tc>
          <w:tcPr>
            <w:tcW w:w="1417" w:type="dxa"/>
            <w:vAlign w:val="center"/>
          </w:tcPr>
          <w:p w14:paraId="7E11CE7D"/>
        </w:tc>
        <w:tc>
          <w:tcPr>
            <w:tcW w:w="2579" w:type="dxa"/>
            <w:gridSpan w:val="2"/>
            <w:vAlign w:val="center"/>
          </w:tcPr>
          <w:p w14:paraId="0C2B9D01"/>
        </w:tc>
      </w:tr>
      <w:tr w14:paraId="167C9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34" w:type="dxa"/>
            <w:gridSpan w:val="2"/>
            <w:vAlign w:val="center"/>
          </w:tcPr>
          <w:p w14:paraId="3D7F8965"/>
        </w:tc>
        <w:tc>
          <w:tcPr>
            <w:tcW w:w="3841" w:type="dxa"/>
            <w:gridSpan w:val="4"/>
            <w:vAlign w:val="center"/>
          </w:tcPr>
          <w:p w14:paraId="60C6C461"/>
        </w:tc>
        <w:tc>
          <w:tcPr>
            <w:tcW w:w="1417" w:type="dxa"/>
            <w:vAlign w:val="center"/>
          </w:tcPr>
          <w:p w14:paraId="4468998D"/>
        </w:tc>
        <w:tc>
          <w:tcPr>
            <w:tcW w:w="2579" w:type="dxa"/>
            <w:gridSpan w:val="2"/>
            <w:vAlign w:val="center"/>
          </w:tcPr>
          <w:p w14:paraId="7BD787AB"/>
        </w:tc>
      </w:tr>
      <w:tr w14:paraId="356AB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34" w:type="dxa"/>
            <w:gridSpan w:val="2"/>
            <w:vAlign w:val="center"/>
          </w:tcPr>
          <w:p w14:paraId="449225D5"/>
        </w:tc>
        <w:tc>
          <w:tcPr>
            <w:tcW w:w="3841" w:type="dxa"/>
            <w:gridSpan w:val="4"/>
            <w:vAlign w:val="center"/>
          </w:tcPr>
          <w:p w14:paraId="35C234F2"/>
        </w:tc>
        <w:tc>
          <w:tcPr>
            <w:tcW w:w="1417" w:type="dxa"/>
            <w:vAlign w:val="center"/>
          </w:tcPr>
          <w:p w14:paraId="7675F636"/>
        </w:tc>
        <w:tc>
          <w:tcPr>
            <w:tcW w:w="2579" w:type="dxa"/>
            <w:gridSpan w:val="2"/>
            <w:vAlign w:val="center"/>
          </w:tcPr>
          <w:p w14:paraId="26736EB4"/>
        </w:tc>
      </w:tr>
    </w:tbl>
    <w:p w14:paraId="5A04CD24">
      <w:r>
        <w:t>注：</w:t>
      </w:r>
      <w:r>
        <w:rPr>
          <w:rFonts w:hint="eastAsia"/>
        </w:rPr>
        <w:t>响应</w:t>
      </w:r>
      <w:r>
        <w:t>人应根据</w:t>
      </w:r>
      <w:r>
        <w:rPr>
          <w:rFonts w:hint="eastAsia"/>
        </w:rPr>
        <w:t>响应</w:t>
      </w:r>
      <w:r>
        <w:t>人须知第</w:t>
      </w:r>
      <w:r>
        <w:rPr>
          <w:rFonts w:hint="eastAsia"/>
        </w:rPr>
        <w:t>1.8</w:t>
      </w:r>
      <w:r>
        <w:t>项的要求在本表后附相关证明材料。</w:t>
      </w:r>
    </w:p>
    <w:p w14:paraId="053ED571">
      <w:r>
        <w:t>Note : Les soumissionnaires doivent joindre à ce formulaire les documents justificatifs pertinents conformément aux exigences du point 1.8 des Instructions aux soumissionnaires.</w:t>
      </w:r>
    </w:p>
    <w:p w14:paraId="568F1116">
      <w:pPr>
        <w:pStyle w:val="164"/>
        <w:ind w:left="5250"/>
        <w:rPr>
          <w:rFonts w:eastAsia="宋体"/>
          <w:szCs w:val="21"/>
        </w:rPr>
      </w:pPr>
    </w:p>
    <w:p w14:paraId="498F6C4E">
      <w:pPr>
        <w:pStyle w:val="164"/>
        <w:ind w:left="5250"/>
        <w:rPr>
          <w:rFonts w:eastAsia="宋体"/>
          <w:szCs w:val="21"/>
        </w:rPr>
      </w:pPr>
    </w:p>
    <w:p w14:paraId="1E3ADB15">
      <w:pPr>
        <w:numPr>
          <w:ilvl w:val="0"/>
          <w:numId w:val="7"/>
        </w:numPr>
        <w:spacing w:line="360" w:lineRule="auto"/>
        <w:rPr>
          <w:szCs w:val="21"/>
        </w:rPr>
      </w:pPr>
      <w:r>
        <w:rPr>
          <w:rFonts w:hint="eastAsia"/>
          <w:szCs w:val="21"/>
        </w:rPr>
        <w:t>响应人提供近36个月内不存在骗取中标、严重违约及因自身的责任而使任何合同被解除的情形的承诺或证明材料</w:t>
      </w:r>
    </w:p>
    <w:p w14:paraId="52F379F0">
      <w:pPr>
        <w:pStyle w:val="164"/>
        <w:ind w:left="5250"/>
        <w:rPr>
          <w:rFonts w:eastAsia="宋体"/>
          <w:szCs w:val="21"/>
        </w:rPr>
      </w:pPr>
    </w:p>
    <w:p w14:paraId="6199C6B3">
      <w:pPr>
        <w:pStyle w:val="164"/>
        <w:ind w:left="5250"/>
        <w:rPr>
          <w:rFonts w:eastAsia="宋体"/>
          <w:szCs w:val="21"/>
        </w:rPr>
      </w:pPr>
    </w:p>
    <w:p w14:paraId="6368AB0D">
      <w:pPr>
        <w:numPr>
          <w:ilvl w:val="0"/>
          <w:numId w:val="7"/>
        </w:numPr>
        <w:spacing w:line="360" w:lineRule="auto"/>
      </w:pPr>
      <w:r>
        <w:rPr>
          <w:rFonts w:hint="eastAsia"/>
          <w:szCs w:val="21"/>
        </w:rPr>
        <w:t>响应人经营状况良好，提供没有处于被责令停业，财产被接管、冻结，破产状态的承诺或证明材料</w:t>
      </w:r>
    </w:p>
    <w:p w14:paraId="4176EC63">
      <w:pPr>
        <w:pStyle w:val="164"/>
        <w:ind w:left="5250"/>
        <w:rPr>
          <w:rFonts w:eastAsia="宋体"/>
          <w:szCs w:val="21"/>
        </w:rPr>
      </w:pPr>
    </w:p>
    <w:p w14:paraId="0A576391">
      <w:pPr>
        <w:pStyle w:val="164"/>
        <w:ind w:left="5250"/>
        <w:rPr>
          <w:rFonts w:eastAsia="宋体"/>
          <w:szCs w:val="21"/>
        </w:rPr>
      </w:pPr>
    </w:p>
    <w:p w14:paraId="55935DBC">
      <w:pPr>
        <w:numPr>
          <w:ilvl w:val="0"/>
          <w:numId w:val="7"/>
        </w:numPr>
        <w:spacing w:line="360" w:lineRule="auto"/>
      </w:pPr>
      <w:r>
        <w:rPr>
          <w:rFonts w:hint="eastAsia"/>
          <w:szCs w:val="21"/>
        </w:rPr>
        <w:t>响应人提供近18个月内不存在较大及以上安全生产责任事故的承诺或证明材料</w:t>
      </w:r>
    </w:p>
    <w:p w14:paraId="117FC7A5">
      <w:pPr>
        <w:pStyle w:val="164"/>
        <w:ind w:left="5250"/>
        <w:rPr>
          <w:rFonts w:eastAsia="宋体"/>
          <w:szCs w:val="21"/>
        </w:rPr>
      </w:pPr>
    </w:p>
    <w:p w14:paraId="6E1AD051">
      <w:pPr>
        <w:pStyle w:val="164"/>
        <w:ind w:left="5250"/>
        <w:rPr>
          <w:rFonts w:eastAsia="宋体"/>
          <w:szCs w:val="21"/>
        </w:rPr>
      </w:pPr>
    </w:p>
    <w:p w14:paraId="15B6A94A">
      <w:pPr>
        <w:pStyle w:val="164"/>
        <w:ind w:left="0" w:leftChars="0"/>
        <w:rPr>
          <w:rFonts w:eastAsia="宋体"/>
          <w:szCs w:val="21"/>
        </w:rPr>
      </w:pPr>
      <w:r>
        <w:rPr>
          <w:rFonts w:hint="eastAsia" w:eastAsia="宋体"/>
          <w:szCs w:val="21"/>
        </w:rPr>
        <w:t>(五) Le soumissionnaire s'engage ou certifie qu'il n'y a pas eu d'attribution frauduleuse de l'offre, de rupture grave de contrat ou d'annulation de contrat de sa propre responsabilité au cours des 36 derniers mois.</w:t>
      </w:r>
    </w:p>
    <w:p w14:paraId="1B894B16">
      <w:pPr>
        <w:pStyle w:val="164"/>
        <w:ind w:left="5250"/>
        <w:rPr>
          <w:rFonts w:eastAsia="宋体"/>
          <w:szCs w:val="21"/>
        </w:rPr>
      </w:pPr>
    </w:p>
    <w:p w14:paraId="7D123E3D">
      <w:pPr>
        <w:pStyle w:val="164"/>
        <w:ind w:left="0" w:leftChars="0"/>
        <w:rPr>
          <w:rFonts w:eastAsia="宋体"/>
          <w:szCs w:val="21"/>
        </w:rPr>
      </w:pPr>
      <w:r>
        <w:rPr>
          <w:rFonts w:hint="eastAsia" w:eastAsia="宋体"/>
          <w:szCs w:val="21"/>
        </w:rPr>
        <w:t>(六) Le défendeur est en bonne santé commerciale et fournit l'engagement ou le matériel de certification attestant qu'il n'est pas en état de cessation d'activité, de reprise de biens, de gel ou de faillite.</w:t>
      </w:r>
    </w:p>
    <w:p w14:paraId="3FEAB3A7">
      <w:pPr>
        <w:pStyle w:val="164"/>
        <w:ind w:left="5250"/>
        <w:rPr>
          <w:rFonts w:eastAsia="宋体"/>
          <w:szCs w:val="21"/>
        </w:rPr>
      </w:pPr>
    </w:p>
    <w:p w14:paraId="29FAF37F">
      <w:pPr>
        <w:pStyle w:val="164"/>
        <w:ind w:left="0" w:leftChars="0"/>
      </w:pPr>
      <w:r>
        <w:rPr>
          <w:rFonts w:hint="eastAsia" w:eastAsia="宋体"/>
          <w:szCs w:val="21"/>
        </w:rPr>
        <w:t>(七) Les répondants fournissent des engagements ou des certificats attestant qu'il n'y a pas eu, au cours des 18 derniers mois, d'accidents majeurs ou plus graves liés à la responsabilité en matière de sécurité de la production.</w:t>
      </w:r>
    </w:p>
    <w:p w14:paraId="1B5C2335">
      <w:pPr>
        <w:spacing w:line="360" w:lineRule="auto"/>
        <w:rPr>
          <w:szCs w:val="21"/>
        </w:rPr>
      </w:pPr>
    </w:p>
    <w:p w14:paraId="38BF7A73">
      <w:pPr>
        <w:spacing w:line="360" w:lineRule="auto"/>
        <w:rPr>
          <w:szCs w:val="21"/>
        </w:rPr>
      </w:pPr>
    </w:p>
    <w:p w14:paraId="24C97195">
      <w:pPr>
        <w:pStyle w:val="164"/>
        <w:ind w:left="0" w:leftChars="0"/>
        <w:rPr>
          <w:rFonts w:eastAsia="宋体"/>
        </w:rPr>
      </w:pPr>
    </w:p>
    <w:p w14:paraId="5F1738DE">
      <w:pPr>
        <w:pStyle w:val="33"/>
        <w:adjustRightInd/>
        <w:ind w:left="420" w:leftChars="200" w:firstLine="0" w:firstLineChars="0"/>
        <w:rPr>
          <w:sz w:val="21"/>
          <w:szCs w:val="21"/>
        </w:rPr>
      </w:pPr>
    </w:p>
    <w:p w14:paraId="18ED9164">
      <w:pPr>
        <w:topLinePunct/>
        <w:spacing w:line="360" w:lineRule="auto"/>
        <w:ind w:firstLine="562" w:firstLineChars="200"/>
        <w:rPr>
          <w:rFonts w:cs="宋体"/>
          <w:b/>
          <w:sz w:val="28"/>
          <w:szCs w:val="21"/>
        </w:rPr>
        <w:sectPr>
          <w:pgSz w:w="11906" w:h="16838"/>
          <w:pgMar w:top="1417" w:right="1134" w:bottom="1134" w:left="1417" w:header="851" w:footer="850" w:gutter="0"/>
          <w:cols w:space="720" w:num="1"/>
          <w:docGrid w:linePitch="312" w:charSpace="0"/>
        </w:sectPr>
      </w:pPr>
    </w:p>
    <w:p w14:paraId="6CEF5CA7">
      <w:pPr>
        <w:topLinePunct/>
        <w:spacing w:line="440" w:lineRule="exact"/>
        <w:jc w:val="center"/>
        <w:outlineLvl w:val="1"/>
        <w:rPr>
          <w:rFonts w:cs="宋体"/>
          <w:b/>
          <w:sz w:val="28"/>
          <w:szCs w:val="21"/>
        </w:rPr>
      </w:pPr>
      <w:bookmarkStart w:id="231" w:name="_Toc8517"/>
      <w:r>
        <w:rPr>
          <w:rFonts w:hint="eastAsia" w:cs="宋体"/>
          <w:b/>
          <w:sz w:val="28"/>
          <w:szCs w:val="21"/>
        </w:rPr>
        <w:t>六、近年完成的类似项目情况表</w:t>
      </w:r>
      <w:bookmarkEnd w:id="231"/>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7"/>
        <w:gridCol w:w="1188"/>
        <w:gridCol w:w="1424"/>
        <w:gridCol w:w="1204"/>
        <w:gridCol w:w="1206"/>
        <w:gridCol w:w="1206"/>
        <w:gridCol w:w="1207"/>
        <w:gridCol w:w="1582"/>
      </w:tblGrid>
      <w:tr w14:paraId="3C87E2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717" w:type="dxa"/>
            <w:vAlign w:val="center"/>
          </w:tcPr>
          <w:p w14:paraId="35C25CC4">
            <w:pPr>
              <w:widowControl/>
              <w:jc w:val="center"/>
              <w:rPr>
                <w:b/>
                <w:bCs/>
              </w:rPr>
            </w:pPr>
            <w:r>
              <w:rPr>
                <w:rFonts w:hint="eastAsia" w:cs="宋体"/>
                <w:b/>
                <w:bCs/>
                <w:kern w:val="0"/>
                <w:szCs w:val="21"/>
              </w:rPr>
              <w:t>序号</w:t>
            </w:r>
          </w:p>
        </w:tc>
        <w:tc>
          <w:tcPr>
            <w:tcW w:w="1188" w:type="dxa"/>
            <w:vAlign w:val="center"/>
          </w:tcPr>
          <w:p w14:paraId="7C6DACD5">
            <w:pPr>
              <w:widowControl/>
              <w:jc w:val="center"/>
              <w:rPr>
                <w:b/>
                <w:bCs/>
              </w:rPr>
            </w:pPr>
            <w:r>
              <w:rPr>
                <w:rFonts w:hint="eastAsia" w:cs="宋体"/>
                <w:b/>
                <w:bCs/>
                <w:kern w:val="0"/>
                <w:szCs w:val="21"/>
              </w:rPr>
              <w:t>项目名称</w:t>
            </w:r>
          </w:p>
        </w:tc>
        <w:tc>
          <w:tcPr>
            <w:tcW w:w="1424" w:type="dxa"/>
            <w:vAlign w:val="center"/>
          </w:tcPr>
          <w:p w14:paraId="168C5B39">
            <w:pPr>
              <w:widowControl/>
              <w:jc w:val="center"/>
              <w:rPr>
                <w:b/>
                <w:bCs/>
              </w:rPr>
            </w:pPr>
            <w:r>
              <w:rPr>
                <w:rFonts w:hint="eastAsia" w:cs="宋体"/>
                <w:b/>
                <w:bCs/>
                <w:kern w:val="0"/>
                <w:szCs w:val="21"/>
              </w:rPr>
              <w:t>项目所在地</w:t>
            </w:r>
          </w:p>
        </w:tc>
        <w:tc>
          <w:tcPr>
            <w:tcW w:w="1204" w:type="dxa"/>
            <w:vAlign w:val="center"/>
          </w:tcPr>
          <w:p w14:paraId="2194464B">
            <w:pPr>
              <w:widowControl/>
              <w:jc w:val="center"/>
              <w:rPr>
                <w:b/>
                <w:bCs/>
              </w:rPr>
            </w:pPr>
            <w:r>
              <w:rPr>
                <w:rFonts w:hint="eastAsia" w:cs="宋体"/>
                <w:b/>
                <w:bCs/>
                <w:kern w:val="0"/>
                <w:szCs w:val="21"/>
              </w:rPr>
              <w:t>合同价格</w:t>
            </w:r>
          </w:p>
        </w:tc>
        <w:tc>
          <w:tcPr>
            <w:tcW w:w="1206" w:type="dxa"/>
            <w:vAlign w:val="center"/>
          </w:tcPr>
          <w:p w14:paraId="505961A5">
            <w:pPr>
              <w:widowControl/>
              <w:jc w:val="center"/>
              <w:rPr>
                <w:b/>
                <w:bCs/>
              </w:rPr>
            </w:pPr>
            <w:r>
              <w:rPr>
                <w:rFonts w:hint="eastAsia" w:cs="宋体"/>
                <w:b/>
                <w:bCs/>
                <w:kern w:val="0"/>
                <w:szCs w:val="21"/>
              </w:rPr>
              <w:t>服务期限</w:t>
            </w:r>
          </w:p>
        </w:tc>
        <w:tc>
          <w:tcPr>
            <w:tcW w:w="1206" w:type="dxa"/>
            <w:vAlign w:val="center"/>
          </w:tcPr>
          <w:p w14:paraId="1003CBD7">
            <w:pPr>
              <w:widowControl/>
              <w:jc w:val="center"/>
              <w:rPr>
                <w:b/>
                <w:bCs/>
              </w:rPr>
            </w:pPr>
            <w:r>
              <w:rPr>
                <w:rFonts w:hint="eastAsia" w:cs="宋体"/>
                <w:b/>
                <w:bCs/>
                <w:kern w:val="0"/>
                <w:szCs w:val="21"/>
              </w:rPr>
              <w:t>总负责人</w:t>
            </w:r>
          </w:p>
        </w:tc>
        <w:tc>
          <w:tcPr>
            <w:tcW w:w="1207" w:type="dxa"/>
            <w:vAlign w:val="center"/>
          </w:tcPr>
          <w:p w14:paraId="7CAFA2DC">
            <w:pPr>
              <w:widowControl/>
              <w:jc w:val="center"/>
              <w:rPr>
                <w:b/>
                <w:bCs/>
                <w:szCs w:val="21"/>
              </w:rPr>
            </w:pPr>
            <w:r>
              <w:rPr>
                <w:rFonts w:hint="eastAsia" w:cs="宋体"/>
                <w:b/>
                <w:bCs/>
                <w:kern w:val="0"/>
                <w:szCs w:val="21"/>
              </w:rPr>
              <w:t>项目描述</w:t>
            </w:r>
          </w:p>
        </w:tc>
        <w:tc>
          <w:tcPr>
            <w:tcW w:w="1582" w:type="dxa"/>
            <w:vAlign w:val="center"/>
          </w:tcPr>
          <w:p w14:paraId="7907D51E">
            <w:pPr>
              <w:widowControl/>
              <w:jc w:val="center"/>
              <w:rPr>
                <w:b/>
                <w:bCs/>
              </w:rPr>
            </w:pPr>
            <w:r>
              <w:rPr>
                <w:rFonts w:hint="eastAsia" w:cs="宋体"/>
                <w:b/>
                <w:bCs/>
                <w:kern w:val="0"/>
                <w:szCs w:val="21"/>
              </w:rPr>
              <w:t>备注</w:t>
            </w:r>
          </w:p>
        </w:tc>
      </w:tr>
      <w:tr w14:paraId="34F1B7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717" w:type="dxa"/>
            <w:vAlign w:val="center"/>
          </w:tcPr>
          <w:p w14:paraId="43FD9392">
            <w:pPr>
              <w:jc w:val="center"/>
            </w:pPr>
          </w:p>
        </w:tc>
        <w:tc>
          <w:tcPr>
            <w:tcW w:w="1188" w:type="dxa"/>
            <w:vAlign w:val="center"/>
          </w:tcPr>
          <w:p w14:paraId="72132818">
            <w:pPr>
              <w:jc w:val="center"/>
            </w:pPr>
          </w:p>
        </w:tc>
        <w:tc>
          <w:tcPr>
            <w:tcW w:w="1424" w:type="dxa"/>
            <w:vAlign w:val="center"/>
          </w:tcPr>
          <w:p w14:paraId="63F61BAD">
            <w:pPr>
              <w:jc w:val="center"/>
            </w:pPr>
          </w:p>
        </w:tc>
        <w:tc>
          <w:tcPr>
            <w:tcW w:w="1204" w:type="dxa"/>
            <w:vAlign w:val="center"/>
          </w:tcPr>
          <w:p w14:paraId="73909888">
            <w:pPr>
              <w:jc w:val="center"/>
            </w:pPr>
          </w:p>
        </w:tc>
        <w:tc>
          <w:tcPr>
            <w:tcW w:w="1206" w:type="dxa"/>
            <w:vAlign w:val="center"/>
          </w:tcPr>
          <w:p w14:paraId="0D388DB3">
            <w:pPr>
              <w:jc w:val="center"/>
            </w:pPr>
          </w:p>
        </w:tc>
        <w:tc>
          <w:tcPr>
            <w:tcW w:w="1206" w:type="dxa"/>
            <w:vAlign w:val="center"/>
          </w:tcPr>
          <w:p w14:paraId="4DA0BBE8">
            <w:pPr>
              <w:jc w:val="center"/>
            </w:pPr>
          </w:p>
        </w:tc>
        <w:tc>
          <w:tcPr>
            <w:tcW w:w="1207" w:type="dxa"/>
            <w:vAlign w:val="center"/>
          </w:tcPr>
          <w:p w14:paraId="2A558FBF">
            <w:pPr>
              <w:jc w:val="center"/>
            </w:pPr>
          </w:p>
        </w:tc>
        <w:tc>
          <w:tcPr>
            <w:tcW w:w="1582" w:type="dxa"/>
            <w:vAlign w:val="center"/>
          </w:tcPr>
          <w:p w14:paraId="2F784B69">
            <w:pPr>
              <w:jc w:val="center"/>
            </w:pPr>
          </w:p>
        </w:tc>
      </w:tr>
      <w:tr w14:paraId="4DCAEC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717" w:type="dxa"/>
            <w:vAlign w:val="center"/>
          </w:tcPr>
          <w:p w14:paraId="38152C4E">
            <w:pPr>
              <w:jc w:val="center"/>
            </w:pPr>
          </w:p>
        </w:tc>
        <w:tc>
          <w:tcPr>
            <w:tcW w:w="1188" w:type="dxa"/>
            <w:vAlign w:val="center"/>
          </w:tcPr>
          <w:p w14:paraId="1F516FEC">
            <w:pPr>
              <w:jc w:val="center"/>
            </w:pPr>
          </w:p>
        </w:tc>
        <w:tc>
          <w:tcPr>
            <w:tcW w:w="1424" w:type="dxa"/>
            <w:vAlign w:val="center"/>
          </w:tcPr>
          <w:p w14:paraId="123F846F">
            <w:pPr>
              <w:jc w:val="center"/>
            </w:pPr>
          </w:p>
        </w:tc>
        <w:tc>
          <w:tcPr>
            <w:tcW w:w="1204" w:type="dxa"/>
            <w:vAlign w:val="center"/>
          </w:tcPr>
          <w:p w14:paraId="29C845AE">
            <w:pPr>
              <w:jc w:val="center"/>
            </w:pPr>
          </w:p>
        </w:tc>
        <w:tc>
          <w:tcPr>
            <w:tcW w:w="1206" w:type="dxa"/>
            <w:vAlign w:val="center"/>
          </w:tcPr>
          <w:p w14:paraId="0325F643">
            <w:pPr>
              <w:jc w:val="center"/>
            </w:pPr>
          </w:p>
        </w:tc>
        <w:tc>
          <w:tcPr>
            <w:tcW w:w="1206" w:type="dxa"/>
            <w:vAlign w:val="center"/>
          </w:tcPr>
          <w:p w14:paraId="626517D8">
            <w:pPr>
              <w:jc w:val="center"/>
            </w:pPr>
          </w:p>
        </w:tc>
        <w:tc>
          <w:tcPr>
            <w:tcW w:w="1207" w:type="dxa"/>
            <w:vAlign w:val="center"/>
          </w:tcPr>
          <w:p w14:paraId="5B509974">
            <w:pPr>
              <w:jc w:val="center"/>
            </w:pPr>
          </w:p>
        </w:tc>
        <w:tc>
          <w:tcPr>
            <w:tcW w:w="1582" w:type="dxa"/>
            <w:vAlign w:val="center"/>
          </w:tcPr>
          <w:p w14:paraId="3E1BDBC5">
            <w:pPr>
              <w:jc w:val="center"/>
            </w:pPr>
          </w:p>
        </w:tc>
      </w:tr>
      <w:tr w14:paraId="4C5733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717" w:type="dxa"/>
            <w:vAlign w:val="center"/>
          </w:tcPr>
          <w:p w14:paraId="7CD58133">
            <w:pPr>
              <w:jc w:val="center"/>
            </w:pPr>
          </w:p>
        </w:tc>
        <w:tc>
          <w:tcPr>
            <w:tcW w:w="1188" w:type="dxa"/>
            <w:vAlign w:val="center"/>
          </w:tcPr>
          <w:p w14:paraId="25CA85B4">
            <w:pPr>
              <w:jc w:val="center"/>
            </w:pPr>
          </w:p>
        </w:tc>
        <w:tc>
          <w:tcPr>
            <w:tcW w:w="1424" w:type="dxa"/>
            <w:vAlign w:val="center"/>
          </w:tcPr>
          <w:p w14:paraId="65780DC0">
            <w:pPr>
              <w:jc w:val="center"/>
            </w:pPr>
          </w:p>
        </w:tc>
        <w:tc>
          <w:tcPr>
            <w:tcW w:w="1204" w:type="dxa"/>
            <w:vAlign w:val="center"/>
          </w:tcPr>
          <w:p w14:paraId="49B463E7">
            <w:pPr>
              <w:jc w:val="center"/>
            </w:pPr>
          </w:p>
        </w:tc>
        <w:tc>
          <w:tcPr>
            <w:tcW w:w="1206" w:type="dxa"/>
            <w:vAlign w:val="center"/>
          </w:tcPr>
          <w:p w14:paraId="28697700">
            <w:pPr>
              <w:jc w:val="center"/>
            </w:pPr>
          </w:p>
        </w:tc>
        <w:tc>
          <w:tcPr>
            <w:tcW w:w="1206" w:type="dxa"/>
            <w:vAlign w:val="center"/>
          </w:tcPr>
          <w:p w14:paraId="71070BEB">
            <w:pPr>
              <w:jc w:val="center"/>
            </w:pPr>
          </w:p>
        </w:tc>
        <w:tc>
          <w:tcPr>
            <w:tcW w:w="1207" w:type="dxa"/>
            <w:vAlign w:val="center"/>
          </w:tcPr>
          <w:p w14:paraId="36613D2B">
            <w:pPr>
              <w:jc w:val="center"/>
            </w:pPr>
          </w:p>
        </w:tc>
        <w:tc>
          <w:tcPr>
            <w:tcW w:w="1582" w:type="dxa"/>
            <w:vAlign w:val="center"/>
          </w:tcPr>
          <w:p w14:paraId="4B746BC5">
            <w:pPr>
              <w:jc w:val="center"/>
            </w:pPr>
          </w:p>
        </w:tc>
      </w:tr>
      <w:tr w14:paraId="008D3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717" w:type="dxa"/>
            <w:vAlign w:val="center"/>
          </w:tcPr>
          <w:p w14:paraId="48612035">
            <w:pPr>
              <w:jc w:val="center"/>
            </w:pPr>
          </w:p>
        </w:tc>
        <w:tc>
          <w:tcPr>
            <w:tcW w:w="1188" w:type="dxa"/>
            <w:vAlign w:val="center"/>
          </w:tcPr>
          <w:p w14:paraId="511D5A62">
            <w:pPr>
              <w:jc w:val="center"/>
            </w:pPr>
          </w:p>
        </w:tc>
        <w:tc>
          <w:tcPr>
            <w:tcW w:w="1424" w:type="dxa"/>
            <w:vAlign w:val="center"/>
          </w:tcPr>
          <w:p w14:paraId="6E21463A">
            <w:pPr>
              <w:jc w:val="center"/>
            </w:pPr>
          </w:p>
        </w:tc>
        <w:tc>
          <w:tcPr>
            <w:tcW w:w="1204" w:type="dxa"/>
            <w:vAlign w:val="center"/>
          </w:tcPr>
          <w:p w14:paraId="0D901D1A">
            <w:pPr>
              <w:jc w:val="center"/>
            </w:pPr>
          </w:p>
        </w:tc>
        <w:tc>
          <w:tcPr>
            <w:tcW w:w="1206" w:type="dxa"/>
            <w:vAlign w:val="center"/>
          </w:tcPr>
          <w:p w14:paraId="6CB93600">
            <w:pPr>
              <w:jc w:val="center"/>
            </w:pPr>
          </w:p>
        </w:tc>
        <w:tc>
          <w:tcPr>
            <w:tcW w:w="1206" w:type="dxa"/>
            <w:vAlign w:val="center"/>
          </w:tcPr>
          <w:p w14:paraId="185989C0">
            <w:pPr>
              <w:jc w:val="center"/>
            </w:pPr>
          </w:p>
        </w:tc>
        <w:tc>
          <w:tcPr>
            <w:tcW w:w="1207" w:type="dxa"/>
            <w:vAlign w:val="center"/>
          </w:tcPr>
          <w:p w14:paraId="3E064605">
            <w:pPr>
              <w:jc w:val="center"/>
            </w:pPr>
          </w:p>
        </w:tc>
        <w:tc>
          <w:tcPr>
            <w:tcW w:w="1582" w:type="dxa"/>
            <w:vAlign w:val="center"/>
          </w:tcPr>
          <w:p w14:paraId="11B8FB4C">
            <w:pPr>
              <w:jc w:val="center"/>
            </w:pPr>
          </w:p>
        </w:tc>
      </w:tr>
    </w:tbl>
    <w:p w14:paraId="45B857D2">
      <w:r>
        <w:t xml:space="preserve">注：1. </w:t>
      </w:r>
      <w:r>
        <w:rPr>
          <w:rFonts w:hint="eastAsia"/>
        </w:rPr>
        <w:t>响应</w:t>
      </w:r>
      <w:r>
        <w:t>人应根据</w:t>
      </w:r>
      <w:r>
        <w:rPr>
          <w:rFonts w:hint="eastAsia"/>
          <w:lang w:val="en-US"/>
        </w:rPr>
        <w:t>采购</w:t>
      </w:r>
      <w:r>
        <w:rPr>
          <w:rFonts w:hint="eastAsia"/>
        </w:rPr>
        <w:t>文件</w:t>
      </w:r>
      <w:r>
        <w:t>要求</w:t>
      </w:r>
      <w:r>
        <w:rPr>
          <w:rFonts w:hint="eastAsia"/>
        </w:rPr>
        <w:t>的业绩</w:t>
      </w:r>
      <w:r>
        <w:t>在本表后附相关证明材料</w:t>
      </w:r>
      <w:r>
        <w:rPr>
          <w:rFonts w:hint="eastAsia"/>
        </w:rPr>
        <w:t>；</w:t>
      </w:r>
    </w:p>
    <w:p w14:paraId="4C0DF06D">
      <w:pPr>
        <w:ind w:firstLine="420" w:firstLineChars="200"/>
        <w:rPr>
          <w:szCs w:val="21"/>
        </w:rPr>
      </w:pPr>
      <w:r>
        <w:rPr>
          <w:rFonts w:hint="eastAsia"/>
          <w:szCs w:val="21"/>
        </w:rPr>
        <w:t>2.</w:t>
      </w:r>
      <w:r>
        <w:rPr>
          <w:szCs w:val="21"/>
        </w:rPr>
        <w:t xml:space="preserve"> </w:t>
      </w:r>
      <w:r>
        <w:rPr>
          <w:rFonts w:hint="eastAsia"/>
          <w:szCs w:val="21"/>
        </w:rPr>
        <w:t>提供业绩数量以满足资格要求的合同复印件数量为准。响应人在递交响应文件时，须同时提交能证明响应人满足业绩资格要求的合同复印件（提供合同封面、签字盖章页和服务范围页）。</w:t>
      </w:r>
    </w:p>
    <w:p w14:paraId="4DCD626F">
      <w:pPr>
        <w:ind w:firstLine="420" w:firstLineChars="200"/>
      </w:pPr>
      <w:r>
        <w:rPr>
          <w:rFonts w:hint="eastAsia"/>
          <w:szCs w:val="21"/>
        </w:rPr>
        <w:t>3</w:t>
      </w:r>
      <w:r>
        <w:rPr>
          <w:szCs w:val="21"/>
        </w:rPr>
        <w:t xml:space="preserve">. </w:t>
      </w:r>
      <w:r>
        <w:rPr>
          <w:rFonts w:hint="eastAsia"/>
          <w:szCs w:val="21"/>
        </w:rPr>
        <w:t>业绩证明：</w:t>
      </w:r>
      <w:r>
        <w:rPr>
          <w:rFonts w:hint="eastAsia"/>
        </w:rPr>
        <w:t>响应人</w:t>
      </w:r>
      <w:r>
        <w:t xml:space="preserve">具有已竣工 </w:t>
      </w:r>
      <w:r>
        <w:rPr>
          <w:rFonts w:hint="eastAsia"/>
        </w:rPr>
        <w:t>1</w:t>
      </w:r>
      <w:r>
        <w:t>个及以上</w:t>
      </w:r>
      <w:r>
        <w:rPr>
          <w:rFonts w:hint="eastAsia"/>
          <w:u w:val="single"/>
        </w:rPr>
        <w:t>道路类</w:t>
      </w:r>
      <w:r>
        <w:t>工程施工项目经理业绩，提供业绩证明材料（工程合同或竣工验收证明或质量验收单或用户证明等复印件）</w:t>
      </w:r>
    </w:p>
    <w:p w14:paraId="5B46182F">
      <w:pPr>
        <w:ind w:firstLine="420" w:firstLineChars="200"/>
        <w:rPr>
          <w:szCs w:val="21"/>
        </w:rPr>
      </w:pPr>
    </w:p>
    <w:p w14:paraId="2B1AB771">
      <w:pPr>
        <w:jc w:val="center"/>
        <w:rPr>
          <w:b/>
          <w:bCs/>
        </w:rPr>
      </w:pPr>
      <w:bookmarkStart w:id="232" w:name="_Toc28020"/>
      <w:r>
        <w:rPr>
          <w:rFonts w:hint="eastAsia"/>
          <w:b/>
          <w:bCs/>
        </w:rPr>
        <w:t>VI. tableau des projets similaires réalisés au cours des dernières années</w:t>
      </w:r>
    </w:p>
    <w:bookmarkEnd w:id="232"/>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7"/>
        <w:gridCol w:w="1188"/>
        <w:gridCol w:w="1424"/>
        <w:gridCol w:w="1204"/>
        <w:gridCol w:w="1120"/>
        <w:gridCol w:w="1427"/>
        <w:gridCol w:w="1506"/>
        <w:gridCol w:w="1148"/>
      </w:tblGrid>
      <w:tr w14:paraId="23D992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717" w:type="dxa"/>
            <w:vAlign w:val="center"/>
          </w:tcPr>
          <w:p w14:paraId="3AFC20E6">
            <w:pPr>
              <w:widowControl/>
              <w:jc w:val="center"/>
              <w:rPr>
                <w:b/>
                <w:bCs/>
              </w:rPr>
            </w:pPr>
            <w:r>
              <w:rPr>
                <w:rFonts w:hint="eastAsia" w:cs="宋体"/>
                <w:b/>
                <w:bCs/>
                <w:kern w:val="0"/>
                <w:szCs w:val="21"/>
              </w:rPr>
              <w:t>N</w:t>
            </w:r>
          </w:p>
        </w:tc>
        <w:tc>
          <w:tcPr>
            <w:tcW w:w="1188" w:type="dxa"/>
            <w:vAlign w:val="center"/>
          </w:tcPr>
          <w:p w14:paraId="7586EFE4">
            <w:pPr>
              <w:widowControl/>
              <w:jc w:val="center"/>
              <w:rPr>
                <w:b/>
                <w:bCs/>
              </w:rPr>
            </w:pPr>
            <w:r>
              <w:rPr>
                <w:rFonts w:hint="eastAsia" w:cs="宋体"/>
                <w:b/>
                <w:bCs/>
                <w:kern w:val="0"/>
                <w:szCs w:val="21"/>
              </w:rPr>
              <w:t>Nom du projet</w:t>
            </w:r>
          </w:p>
        </w:tc>
        <w:tc>
          <w:tcPr>
            <w:tcW w:w="1424" w:type="dxa"/>
            <w:vAlign w:val="center"/>
          </w:tcPr>
          <w:p w14:paraId="54AE03F3">
            <w:pPr>
              <w:widowControl/>
              <w:jc w:val="center"/>
              <w:rPr>
                <w:b/>
                <w:bCs/>
              </w:rPr>
            </w:pPr>
            <w:r>
              <w:rPr>
                <w:rFonts w:hint="eastAsia" w:cs="宋体"/>
                <w:b/>
                <w:bCs/>
                <w:kern w:val="0"/>
                <w:szCs w:val="21"/>
              </w:rPr>
              <w:t>Emplacement du projet</w:t>
            </w:r>
          </w:p>
        </w:tc>
        <w:tc>
          <w:tcPr>
            <w:tcW w:w="1204" w:type="dxa"/>
            <w:vAlign w:val="center"/>
          </w:tcPr>
          <w:p w14:paraId="32DA6083">
            <w:pPr>
              <w:widowControl/>
              <w:jc w:val="center"/>
              <w:rPr>
                <w:b/>
                <w:bCs/>
              </w:rPr>
            </w:pPr>
            <w:r>
              <w:rPr>
                <w:rFonts w:hint="eastAsia" w:cs="宋体"/>
                <w:b/>
                <w:bCs/>
                <w:kern w:val="0"/>
                <w:szCs w:val="21"/>
              </w:rPr>
              <w:t>prix du contrat</w:t>
            </w:r>
          </w:p>
        </w:tc>
        <w:tc>
          <w:tcPr>
            <w:tcW w:w="1120" w:type="dxa"/>
            <w:vAlign w:val="center"/>
          </w:tcPr>
          <w:p w14:paraId="7EB55641">
            <w:pPr>
              <w:widowControl/>
              <w:jc w:val="center"/>
              <w:rPr>
                <w:b/>
                <w:bCs/>
              </w:rPr>
            </w:pPr>
            <w:r>
              <w:rPr>
                <w:rFonts w:hint="eastAsia" w:cs="宋体"/>
                <w:b/>
                <w:bCs/>
                <w:kern w:val="0"/>
                <w:szCs w:val="21"/>
              </w:rPr>
              <w:t>Durée du service</w:t>
            </w:r>
          </w:p>
        </w:tc>
        <w:tc>
          <w:tcPr>
            <w:tcW w:w="1427" w:type="dxa"/>
            <w:vAlign w:val="center"/>
          </w:tcPr>
          <w:p w14:paraId="0DBB058F">
            <w:pPr>
              <w:widowControl/>
              <w:jc w:val="center"/>
              <w:rPr>
                <w:b/>
                <w:bCs/>
              </w:rPr>
            </w:pPr>
            <w:r>
              <w:rPr>
                <w:rFonts w:hint="eastAsia" w:cs="宋体"/>
                <w:b/>
                <w:bCs/>
                <w:kern w:val="0"/>
                <w:szCs w:val="21"/>
              </w:rPr>
              <w:t>personne responsable</w:t>
            </w:r>
          </w:p>
        </w:tc>
        <w:tc>
          <w:tcPr>
            <w:tcW w:w="1506" w:type="dxa"/>
            <w:vAlign w:val="center"/>
          </w:tcPr>
          <w:p w14:paraId="5AD101DC">
            <w:pPr>
              <w:widowControl/>
              <w:jc w:val="center"/>
              <w:rPr>
                <w:b/>
                <w:bCs/>
                <w:szCs w:val="21"/>
              </w:rPr>
            </w:pPr>
            <w:r>
              <w:rPr>
                <w:rFonts w:hint="eastAsia" w:cs="宋体"/>
                <w:b/>
                <w:bCs/>
                <w:kern w:val="0"/>
                <w:szCs w:val="21"/>
              </w:rPr>
              <w:t>Description du projet</w:t>
            </w:r>
          </w:p>
        </w:tc>
        <w:tc>
          <w:tcPr>
            <w:tcW w:w="1148" w:type="dxa"/>
            <w:vAlign w:val="center"/>
          </w:tcPr>
          <w:p w14:paraId="1F4136A1">
            <w:pPr>
              <w:widowControl/>
              <w:jc w:val="center"/>
              <w:rPr>
                <w:b/>
                <w:bCs/>
              </w:rPr>
            </w:pPr>
            <w:r>
              <w:rPr>
                <w:rFonts w:hint="eastAsia" w:cs="宋体"/>
                <w:b/>
                <w:bCs/>
                <w:kern w:val="0"/>
                <w:szCs w:val="21"/>
              </w:rPr>
              <w:t>note</w:t>
            </w:r>
          </w:p>
        </w:tc>
      </w:tr>
      <w:tr w14:paraId="45B1B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717" w:type="dxa"/>
            <w:vAlign w:val="center"/>
          </w:tcPr>
          <w:p w14:paraId="6CE6A97F">
            <w:pPr>
              <w:jc w:val="center"/>
            </w:pPr>
          </w:p>
        </w:tc>
        <w:tc>
          <w:tcPr>
            <w:tcW w:w="1188" w:type="dxa"/>
            <w:vAlign w:val="center"/>
          </w:tcPr>
          <w:p w14:paraId="680162B2">
            <w:pPr>
              <w:jc w:val="center"/>
            </w:pPr>
          </w:p>
        </w:tc>
        <w:tc>
          <w:tcPr>
            <w:tcW w:w="1424" w:type="dxa"/>
            <w:vAlign w:val="center"/>
          </w:tcPr>
          <w:p w14:paraId="183446B8">
            <w:pPr>
              <w:jc w:val="center"/>
            </w:pPr>
          </w:p>
        </w:tc>
        <w:tc>
          <w:tcPr>
            <w:tcW w:w="1204" w:type="dxa"/>
            <w:vAlign w:val="center"/>
          </w:tcPr>
          <w:p w14:paraId="2889C495">
            <w:pPr>
              <w:jc w:val="center"/>
            </w:pPr>
          </w:p>
        </w:tc>
        <w:tc>
          <w:tcPr>
            <w:tcW w:w="1120" w:type="dxa"/>
            <w:vAlign w:val="center"/>
          </w:tcPr>
          <w:p w14:paraId="48474366">
            <w:pPr>
              <w:jc w:val="center"/>
            </w:pPr>
          </w:p>
        </w:tc>
        <w:tc>
          <w:tcPr>
            <w:tcW w:w="1427" w:type="dxa"/>
            <w:vAlign w:val="center"/>
          </w:tcPr>
          <w:p w14:paraId="70F16D87">
            <w:pPr>
              <w:jc w:val="center"/>
            </w:pPr>
          </w:p>
        </w:tc>
        <w:tc>
          <w:tcPr>
            <w:tcW w:w="1506" w:type="dxa"/>
            <w:vAlign w:val="center"/>
          </w:tcPr>
          <w:p w14:paraId="7903CD33">
            <w:pPr>
              <w:jc w:val="center"/>
            </w:pPr>
          </w:p>
        </w:tc>
        <w:tc>
          <w:tcPr>
            <w:tcW w:w="1148" w:type="dxa"/>
            <w:vAlign w:val="center"/>
          </w:tcPr>
          <w:p w14:paraId="21E412CB">
            <w:pPr>
              <w:jc w:val="center"/>
            </w:pPr>
          </w:p>
        </w:tc>
      </w:tr>
      <w:tr w14:paraId="6EA7D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717" w:type="dxa"/>
            <w:vAlign w:val="center"/>
          </w:tcPr>
          <w:p w14:paraId="4D426F88">
            <w:pPr>
              <w:jc w:val="center"/>
            </w:pPr>
          </w:p>
        </w:tc>
        <w:tc>
          <w:tcPr>
            <w:tcW w:w="1188" w:type="dxa"/>
            <w:vAlign w:val="center"/>
          </w:tcPr>
          <w:p w14:paraId="08BD948B">
            <w:pPr>
              <w:jc w:val="center"/>
            </w:pPr>
          </w:p>
        </w:tc>
        <w:tc>
          <w:tcPr>
            <w:tcW w:w="1424" w:type="dxa"/>
            <w:vAlign w:val="center"/>
          </w:tcPr>
          <w:p w14:paraId="6BF84DB1">
            <w:pPr>
              <w:jc w:val="center"/>
            </w:pPr>
          </w:p>
        </w:tc>
        <w:tc>
          <w:tcPr>
            <w:tcW w:w="1204" w:type="dxa"/>
            <w:vAlign w:val="center"/>
          </w:tcPr>
          <w:p w14:paraId="2FC97E28">
            <w:pPr>
              <w:jc w:val="center"/>
            </w:pPr>
          </w:p>
        </w:tc>
        <w:tc>
          <w:tcPr>
            <w:tcW w:w="1120" w:type="dxa"/>
            <w:vAlign w:val="center"/>
          </w:tcPr>
          <w:p w14:paraId="5FF98BF0">
            <w:pPr>
              <w:jc w:val="center"/>
            </w:pPr>
          </w:p>
        </w:tc>
        <w:tc>
          <w:tcPr>
            <w:tcW w:w="1427" w:type="dxa"/>
            <w:vAlign w:val="center"/>
          </w:tcPr>
          <w:p w14:paraId="037A5400">
            <w:pPr>
              <w:jc w:val="center"/>
            </w:pPr>
          </w:p>
        </w:tc>
        <w:tc>
          <w:tcPr>
            <w:tcW w:w="1506" w:type="dxa"/>
            <w:vAlign w:val="center"/>
          </w:tcPr>
          <w:p w14:paraId="06F5475D">
            <w:pPr>
              <w:jc w:val="center"/>
            </w:pPr>
          </w:p>
        </w:tc>
        <w:tc>
          <w:tcPr>
            <w:tcW w:w="1148" w:type="dxa"/>
            <w:vAlign w:val="center"/>
          </w:tcPr>
          <w:p w14:paraId="0ABF7994">
            <w:pPr>
              <w:jc w:val="center"/>
            </w:pPr>
          </w:p>
        </w:tc>
      </w:tr>
      <w:tr w14:paraId="76E85C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717" w:type="dxa"/>
            <w:vAlign w:val="center"/>
          </w:tcPr>
          <w:p w14:paraId="390F0BF8">
            <w:pPr>
              <w:jc w:val="center"/>
            </w:pPr>
          </w:p>
        </w:tc>
        <w:tc>
          <w:tcPr>
            <w:tcW w:w="1188" w:type="dxa"/>
            <w:vAlign w:val="center"/>
          </w:tcPr>
          <w:p w14:paraId="114B0988">
            <w:pPr>
              <w:jc w:val="center"/>
            </w:pPr>
          </w:p>
        </w:tc>
        <w:tc>
          <w:tcPr>
            <w:tcW w:w="1424" w:type="dxa"/>
            <w:vAlign w:val="center"/>
          </w:tcPr>
          <w:p w14:paraId="06B9511F">
            <w:pPr>
              <w:jc w:val="center"/>
            </w:pPr>
          </w:p>
        </w:tc>
        <w:tc>
          <w:tcPr>
            <w:tcW w:w="1204" w:type="dxa"/>
            <w:vAlign w:val="center"/>
          </w:tcPr>
          <w:p w14:paraId="0E69B3E8">
            <w:pPr>
              <w:jc w:val="center"/>
            </w:pPr>
          </w:p>
        </w:tc>
        <w:tc>
          <w:tcPr>
            <w:tcW w:w="1120" w:type="dxa"/>
            <w:vAlign w:val="center"/>
          </w:tcPr>
          <w:p w14:paraId="0827941E">
            <w:pPr>
              <w:jc w:val="center"/>
            </w:pPr>
          </w:p>
        </w:tc>
        <w:tc>
          <w:tcPr>
            <w:tcW w:w="1427" w:type="dxa"/>
            <w:vAlign w:val="center"/>
          </w:tcPr>
          <w:p w14:paraId="7169E54A">
            <w:pPr>
              <w:jc w:val="center"/>
            </w:pPr>
          </w:p>
        </w:tc>
        <w:tc>
          <w:tcPr>
            <w:tcW w:w="1506" w:type="dxa"/>
            <w:vAlign w:val="center"/>
          </w:tcPr>
          <w:p w14:paraId="068E3009">
            <w:pPr>
              <w:jc w:val="center"/>
            </w:pPr>
          </w:p>
        </w:tc>
        <w:tc>
          <w:tcPr>
            <w:tcW w:w="1148" w:type="dxa"/>
            <w:vAlign w:val="center"/>
          </w:tcPr>
          <w:p w14:paraId="17D58F55">
            <w:pPr>
              <w:jc w:val="center"/>
            </w:pPr>
          </w:p>
        </w:tc>
      </w:tr>
      <w:tr w14:paraId="27D2A8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717" w:type="dxa"/>
            <w:vAlign w:val="center"/>
          </w:tcPr>
          <w:p w14:paraId="4B4416B9">
            <w:pPr>
              <w:jc w:val="center"/>
            </w:pPr>
          </w:p>
        </w:tc>
        <w:tc>
          <w:tcPr>
            <w:tcW w:w="1188" w:type="dxa"/>
            <w:vAlign w:val="center"/>
          </w:tcPr>
          <w:p w14:paraId="0E2895B2">
            <w:pPr>
              <w:jc w:val="center"/>
            </w:pPr>
          </w:p>
        </w:tc>
        <w:tc>
          <w:tcPr>
            <w:tcW w:w="1424" w:type="dxa"/>
            <w:vAlign w:val="center"/>
          </w:tcPr>
          <w:p w14:paraId="46038303">
            <w:pPr>
              <w:jc w:val="center"/>
            </w:pPr>
          </w:p>
        </w:tc>
        <w:tc>
          <w:tcPr>
            <w:tcW w:w="1204" w:type="dxa"/>
            <w:vAlign w:val="center"/>
          </w:tcPr>
          <w:p w14:paraId="0FC5F085">
            <w:pPr>
              <w:jc w:val="center"/>
            </w:pPr>
          </w:p>
        </w:tc>
        <w:tc>
          <w:tcPr>
            <w:tcW w:w="1120" w:type="dxa"/>
            <w:vAlign w:val="center"/>
          </w:tcPr>
          <w:p w14:paraId="37A8DD68">
            <w:pPr>
              <w:jc w:val="center"/>
            </w:pPr>
          </w:p>
        </w:tc>
        <w:tc>
          <w:tcPr>
            <w:tcW w:w="1427" w:type="dxa"/>
            <w:vAlign w:val="center"/>
          </w:tcPr>
          <w:p w14:paraId="6442B65F">
            <w:pPr>
              <w:jc w:val="center"/>
            </w:pPr>
          </w:p>
        </w:tc>
        <w:tc>
          <w:tcPr>
            <w:tcW w:w="1506" w:type="dxa"/>
            <w:vAlign w:val="center"/>
          </w:tcPr>
          <w:p w14:paraId="6E5B4150">
            <w:pPr>
              <w:jc w:val="center"/>
            </w:pPr>
          </w:p>
        </w:tc>
        <w:tc>
          <w:tcPr>
            <w:tcW w:w="1148" w:type="dxa"/>
            <w:vAlign w:val="center"/>
          </w:tcPr>
          <w:p w14:paraId="3DE57BFF">
            <w:pPr>
              <w:jc w:val="center"/>
            </w:pPr>
          </w:p>
        </w:tc>
      </w:tr>
    </w:tbl>
    <w:p w14:paraId="579EA44E">
      <w:pPr>
        <w:pStyle w:val="164"/>
        <w:spacing w:line="360" w:lineRule="auto"/>
        <w:ind w:left="0" w:leftChars="0"/>
        <w:rPr>
          <w:rFonts w:eastAsia="宋体"/>
        </w:rPr>
      </w:pPr>
    </w:p>
    <w:p w14:paraId="7C1236E6">
      <w:pPr>
        <w:pStyle w:val="164"/>
        <w:spacing w:line="360" w:lineRule="auto"/>
        <w:ind w:left="0" w:leftChars="0"/>
        <w:rPr>
          <w:rFonts w:eastAsia="宋体"/>
          <w:b/>
          <w:bCs/>
        </w:rPr>
      </w:pPr>
      <w:r>
        <w:rPr>
          <w:rFonts w:hint="eastAsia" w:eastAsia="宋体"/>
          <w:b/>
          <w:bCs/>
        </w:rPr>
        <w:t xml:space="preserve">Note : </w:t>
      </w:r>
    </w:p>
    <w:p w14:paraId="61D10B57">
      <w:pPr>
        <w:pStyle w:val="164"/>
        <w:spacing w:line="360" w:lineRule="auto"/>
        <w:ind w:left="0" w:leftChars="0"/>
        <w:rPr>
          <w:rFonts w:eastAsia="宋体"/>
        </w:rPr>
      </w:pPr>
      <w:r>
        <w:rPr>
          <w:rFonts w:hint="eastAsia" w:eastAsia="宋体"/>
          <w:b/>
          <w:bCs/>
        </w:rPr>
        <w:t>1.</w:t>
      </w:r>
      <w:r>
        <w:rPr>
          <w:rFonts w:hint="eastAsia" w:eastAsia="宋体"/>
        </w:rPr>
        <w:t xml:space="preserve"> Les soumissionnaires doivent joindre à ce formulaire les pièces justificatives pertinentes en fonction des performances exigées par les documents de passation de marché. ;</w:t>
      </w:r>
    </w:p>
    <w:p w14:paraId="2BACF720">
      <w:pPr>
        <w:pStyle w:val="164"/>
        <w:numPr>
          <w:ilvl w:val="0"/>
          <w:numId w:val="8"/>
        </w:numPr>
        <w:spacing w:line="360" w:lineRule="auto"/>
        <w:ind w:left="0" w:leftChars="0"/>
        <w:rPr>
          <w:rFonts w:eastAsia="宋体"/>
        </w:rPr>
      </w:pPr>
      <w:r>
        <w:rPr>
          <w:rFonts w:hint="eastAsia" w:eastAsia="宋体"/>
        </w:rPr>
        <w:t>le nombre de performances fournies est basé sur le nombre de copies de contrats satisfaisant aux exigences de qualification. Lors de la soumission des documents de réponse, les soumissionnaires doivent également soumettre des copies des contrats qui peuvent prouver que les soumissionnaires répondent aux exigences de qualification de la performance (fournir la page de couverture, la page de signature et de sceau et la page de l'étendue du service du contrat).</w:t>
      </w:r>
    </w:p>
    <w:p w14:paraId="25915D65">
      <w:pPr>
        <w:adjustRightInd w:val="0"/>
        <w:snapToGrid w:val="0"/>
        <w:jc w:val="left"/>
        <w:rPr>
          <w:szCs w:val="21"/>
        </w:rPr>
      </w:pPr>
      <w:r>
        <w:rPr>
          <w:rFonts w:hint="eastAsia"/>
          <w:b/>
          <w:bCs/>
          <w:szCs w:val="21"/>
          <w:lang w:val="en-US"/>
        </w:rPr>
        <w:t>3.</w:t>
      </w:r>
      <w:r>
        <w:rPr>
          <w:rFonts w:hint="eastAsia"/>
          <w:b/>
          <w:bCs/>
          <w:szCs w:val="21"/>
        </w:rPr>
        <w:t>Preuve de performance：</w:t>
      </w:r>
      <w:r>
        <w:t>L</w:t>
      </w:r>
      <w:r>
        <w:rPr>
          <w:rFonts w:hint="eastAsia"/>
          <w:szCs w:val="21"/>
        </w:rPr>
        <w:t>e soumissionnaire doit justifier d’au moins un projet de construction routière achevé ou en cours d’exécution entre janvier 2023 et janvier 2026. (Fournir une copie scannée du contrat de performance qui répond aux exigences de ce marché, y compris la couverture du contrat, la page du champ d’application du contrat, la page de signature, etc.)</w:t>
      </w:r>
    </w:p>
    <w:p w14:paraId="54B8AC34">
      <w:pPr>
        <w:rPr>
          <w:b/>
          <w:bCs/>
          <w:szCs w:val="21"/>
        </w:rPr>
      </w:pPr>
      <w:bookmarkStart w:id="233" w:name="_Toc107567229"/>
    </w:p>
    <w:p w14:paraId="4BB32FCA">
      <w:pPr>
        <w:rPr>
          <w:b/>
          <w:bCs/>
          <w:szCs w:val="21"/>
        </w:rPr>
      </w:pPr>
    </w:p>
    <w:p w14:paraId="343D3D9D">
      <w:pPr>
        <w:rPr>
          <w:b/>
          <w:bCs/>
          <w:szCs w:val="21"/>
        </w:rPr>
      </w:pPr>
    </w:p>
    <w:p w14:paraId="2C7172B9">
      <w:pPr>
        <w:rPr>
          <w:b/>
          <w:bCs/>
          <w:szCs w:val="21"/>
        </w:rPr>
      </w:pPr>
    </w:p>
    <w:p w14:paraId="174AF003">
      <w:pPr>
        <w:rPr>
          <w:b/>
          <w:bCs/>
          <w:szCs w:val="21"/>
        </w:rPr>
      </w:pPr>
    </w:p>
    <w:p w14:paraId="30E65D89">
      <w:pPr>
        <w:rPr>
          <w:b/>
          <w:bCs/>
          <w:szCs w:val="21"/>
        </w:rPr>
      </w:pPr>
    </w:p>
    <w:p w14:paraId="109F1E53">
      <w:pPr>
        <w:rPr>
          <w:b/>
          <w:bCs/>
          <w:szCs w:val="21"/>
        </w:rPr>
      </w:pPr>
    </w:p>
    <w:p w14:paraId="435B098E">
      <w:pPr>
        <w:pStyle w:val="21"/>
      </w:pPr>
    </w:p>
    <w:p w14:paraId="168A574B">
      <w:pPr>
        <w:pStyle w:val="3"/>
        <w:adjustRightInd/>
        <w:spacing w:before="0" w:after="0" w:line="360" w:lineRule="auto"/>
        <w:jc w:val="both"/>
        <w:textAlignment w:val="auto"/>
        <w:rPr>
          <w:rFonts w:ascii="Times New Roman" w:hAnsi="Times New Roman" w:cs="宋体"/>
          <w:kern w:val="2"/>
          <w:szCs w:val="21"/>
        </w:rPr>
      </w:pPr>
      <w:bookmarkStart w:id="234" w:name="_Toc4954"/>
    </w:p>
    <w:p w14:paraId="54438F64">
      <w:pPr>
        <w:pStyle w:val="3"/>
        <w:adjustRightInd/>
        <w:spacing w:before="0" w:after="0" w:line="360" w:lineRule="auto"/>
        <w:textAlignment w:val="auto"/>
        <w:rPr>
          <w:rFonts w:ascii="Times New Roman" w:hAnsi="Times New Roman" w:cs="宋体"/>
          <w:kern w:val="2"/>
          <w:szCs w:val="21"/>
        </w:rPr>
      </w:pPr>
      <w:r>
        <w:rPr>
          <w:rFonts w:hint="eastAsia" w:ascii="Times New Roman" w:hAnsi="Times New Roman" w:cs="宋体"/>
          <w:kern w:val="2"/>
          <w:szCs w:val="21"/>
        </w:rPr>
        <w:t>七、</w:t>
      </w:r>
      <w:bookmarkEnd w:id="233"/>
      <w:r>
        <w:rPr>
          <w:rFonts w:hint="eastAsia" w:ascii="Times New Roman" w:hAnsi="Times New Roman" w:cs="宋体"/>
          <w:kern w:val="2"/>
          <w:szCs w:val="21"/>
        </w:rPr>
        <w:t>施工组织设计</w:t>
      </w:r>
      <w:bookmarkEnd w:id="234"/>
    </w:p>
    <w:p w14:paraId="3EE0E38B">
      <w:pPr>
        <w:adjustRightInd w:val="0"/>
        <w:snapToGrid w:val="0"/>
        <w:spacing w:line="360" w:lineRule="auto"/>
        <w:ind w:firstLine="420" w:firstLineChars="200"/>
        <w:rPr>
          <w:szCs w:val="21"/>
        </w:rPr>
      </w:pPr>
      <w:r>
        <w:rPr>
          <w:szCs w:val="21"/>
        </w:rPr>
        <w:t>1．</w:t>
      </w:r>
      <w:r>
        <w:rPr>
          <w:rFonts w:hint="eastAsia"/>
          <w:szCs w:val="21"/>
        </w:rPr>
        <w:t>响应人</w:t>
      </w:r>
      <w:r>
        <w:rPr>
          <w:szCs w:val="21"/>
        </w:rPr>
        <w:t>编制</w:t>
      </w:r>
      <w:r>
        <w:rPr>
          <w:rFonts w:hint="eastAsia"/>
          <w:szCs w:val="21"/>
        </w:rPr>
        <w:t>报价方案</w:t>
      </w:r>
      <w:r>
        <w:rPr>
          <w:szCs w:val="21"/>
        </w:rPr>
        <w:t>的要求：编制时应采用文字并结合图表形式说明施工方法；拟投入</w:t>
      </w:r>
      <w:r>
        <w:rPr>
          <w:rFonts w:hint="eastAsia"/>
          <w:szCs w:val="21"/>
        </w:rPr>
        <w:t>本项目</w:t>
      </w:r>
      <w:r>
        <w:rPr>
          <w:szCs w:val="21"/>
        </w:rPr>
        <w:t>的主要施工设备情况、拟配备</w:t>
      </w:r>
      <w:r>
        <w:rPr>
          <w:rFonts w:hint="eastAsia"/>
          <w:szCs w:val="21"/>
        </w:rPr>
        <w:t>本项目</w:t>
      </w:r>
      <w:r>
        <w:rPr>
          <w:szCs w:val="21"/>
        </w:rPr>
        <w:t>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54861AC5">
      <w:pPr>
        <w:adjustRightInd w:val="0"/>
        <w:snapToGrid w:val="0"/>
        <w:spacing w:line="360" w:lineRule="auto"/>
        <w:ind w:firstLine="420" w:firstLineChars="200"/>
        <w:rPr>
          <w:szCs w:val="21"/>
        </w:rPr>
      </w:pPr>
      <w:r>
        <w:rPr>
          <w:szCs w:val="21"/>
        </w:rPr>
        <w:t>2．</w:t>
      </w:r>
      <w:r>
        <w:rPr>
          <w:rFonts w:hint="eastAsia"/>
          <w:szCs w:val="21"/>
        </w:rPr>
        <w:t>施工组织设计</w:t>
      </w:r>
      <w:r>
        <w:rPr>
          <w:szCs w:val="21"/>
        </w:rPr>
        <w:t>除采用文字表述外可附下列图表，图表及格式要求附后。</w:t>
      </w:r>
    </w:p>
    <w:p w14:paraId="37BDD826">
      <w:pPr>
        <w:adjustRightInd w:val="0"/>
        <w:snapToGrid w:val="0"/>
        <w:spacing w:line="360" w:lineRule="auto"/>
        <w:ind w:firstLine="420" w:firstLineChars="200"/>
        <w:rPr>
          <w:szCs w:val="21"/>
        </w:rPr>
      </w:pPr>
      <w:r>
        <w:rPr>
          <w:szCs w:val="21"/>
        </w:rPr>
        <w:t>附表一  拟投入</w:t>
      </w:r>
      <w:r>
        <w:rPr>
          <w:rFonts w:hint="eastAsia"/>
          <w:szCs w:val="21"/>
        </w:rPr>
        <w:t>本项目</w:t>
      </w:r>
      <w:r>
        <w:rPr>
          <w:szCs w:val="21"/>
        </w:rPr>
        <w:t>的主要施工设备表</w:t>
      </w:r>
    </w:p>
    <w:p w14:paraId="091A08D1">
      <w:pPr>
        <w:adjustRightInd w:val="0"/>
        <w:snapToGrid w:val="0"/>
        <w:spacing w:line="360" w:lineRule="auto"/>
        <w:ind w:firstLine="420" w:firstLineChars="200"/>
        <w:rPr>
          <w:szCs w:val="21"/>
        </w:rPr>
      </w:pPr>
      <w:r>
        <w:rPr>
          <w:szCs w:val="21"/>
        </w:rPr>
        <w:t>附表二  拟配备</w:t>
      </w:r>
      <w:r>
        <w:rPr>
          <w:rFonts w:hint="eastAsia"/>
          <w:szCs w:val="21"/>
        </w:rPr>
        <w:t>本项目</w:t>
      </w:r>
      <w:r>
        <w:rPr>
          <w:szCs w:val="21"/>
        </w:rPr>
        <w:t>的试验和检测仪器设备表</w:t>
      </w:r>
    </w:p>
    <w:p w14:paraId="46D0F9B1">
      <w:pPr>
        <w:adjustRightInd w:val="0"/>
        <w:snapToGrid w:val="0"/>
        <w:spacing w:line="360" w:lineRule="auto"/>
        <w:ind w:firstLine="420" w:firstLineChars="200"/>
        <w:rPr>
          <w:szCs w:val="21"/>
        </w:rPr>
      </w:pPr>
      <w:r>
        <w:rPr>
          <w:szCs w:val="21"/>
        </w:rPr>
        <w:t>附表三  劳动力计划表</w:t>
      </w:r>
    </w:p>
    <w:p w14:paraId="5A07C4E1">
      <w:pPr>
        <w:adjustRightInd w:val="0"/>
        <w:snapToGrid w:val="0"/>
        <w:spacing w:line="360" w:lineRule="auto"/>
        <w:ind w:firstLine="420" w:firstLineChars="200"/>
        <w:rPr>
          <w:szCs w:val="21"/>
        </w:rPr>
      </w:pPr>
      <w:r>
        <w:rPr>
          <w:szCs w:val="21"/>
        </w:rPr>
        <w:t>附表四  计划开、竣工日期和施工进度网络图</w:t>
      </w:r>
    </w:p>
    <w:p w14:paraId="7718D3D0">
      <w:pPr>
        <w:jc w:val="center"/>
        <w:rPr>
          <w:b/>
          <w:bCs/>
        </w:rPr>
      </w:pPr>
      <w:r>
        <w:rPr>
          <w:b/>
          <w:bCs/>
        </w:rPr>
        <w:t>VII. conception de l'organisation de la construction</w:t>
      </w:r>
    </w:p>
    <w:p w14:paraId="0E82B7DE">
      <w:pPr>
        <w:pStyle w:val="30"/>
        <w:widowControl/>
        <w:rPr>
          <w:lang w:val="fr-FR"/>
        </w:rPr>
      </w:pPr>
      <w:r>
        <w:rPr>
          <w:lang w:val="fr-FR"/>
        </w:rPr>
        <w:t>1) Exigences du répondant pour préparer le programme de devis : la préparation doit utiliser le texte et la combinaison avec la forme de graphiques pour expliquer la méthode de construction ; les principaux équipements de construction à investir dans le projet, à équiper avec les instruments et équipements d'essai et d'inspection du projet, le plan de la main-d'œuvre, etc. Dans le même temps, les processus clés, les liens complexes doivent se concentrer sur les mesures techniques correspondantes, telles que la technologie de construction en hiver et en saison des pluies, la réduction du bruit, la réduction de la pollution environnementale, les pipelines souterrains et autres installations souterraines sur le terrain, telles que les mesures de protection et de renforcement.</w:t>
      </w:r>
    </w:p>
    <w:p w14:paraId="47D4894E">
      <w:pPr>
        <w:pStyle w:val="30"/>
        <w:widowControl/>
        <w:rPr>
          <w:lang w:val="fr-FR"/>
        </w:rPr>
      </w:pPr>
      <w:r>
        <w:rPr>
          <w:lang w:val="fr-FR"/>
        </w:rPr>
        <w:t>(2) La conception de l'organisation de la construction peut être accompagnée des tableaux suivants en plus des expressions textuelles, et les tableaux et les exigences de format sont joints.</w:t>
      </w:r>
    </w:p>
    <w:p w14:paraId="3FA43E04">
      <w:pPr>
        <w:pStyle w:val="30"/>
        <w:widowControl/>
        <w:rPr>
          <w:lang w:val="fr-FR"/>
        </w:rPr>
      </w:pPr>
      <w:r>
        <w:rPr>
          <w:lang w:val="fr-FR"/>
        </w:rPr>
        <w:t>Annexe I Principaux équipements de construction à intégrer dans le tableau du projet</w:t>
      </w:r>
    </w:p>
    <w:p w14:paraId="1AEC00A3">
      <w:pPr>
        <w:pStyle w:val="30"/>
        <w:widowControl/>
        <w:rPr>
          <w:lang w:val="fr-FR"/>
        </w:rPr>
      </w:pPr>
      <w:r>
        <w:rPr>
          <w:lang w:val="fr-FR"/>
        </w:rPr>
        <w:t>Annexe II Tableau des instruments et équipements d'essai et d'inspection à fournir pour le projet</w:t>
      </w:r>
    </w:p>
    <w:p w14:paraId="6AE1373E">
      <w:pPr>
        <w:pStyle w:val="30"/>
        <w:widowControl/>
        <w:rPr>
          <w:lang w:val="fr-FR"/>
        </w:rPr>
      </w:pPr>
      <w:r>
        <w:rPr>
          <w:lang w:val="fr-FR"/>
        </w:rPr>
        <w:t>Annexe III Calendrier de travail</w:t>
      </w:r>
    </w:p>
    <w:p w14:paraId="5D11310B">
      <w:pPr>
        <w:pStyle w:val="30"/>
        <w:widowControl/>
        <w:rPr>
          <w:lang w:val="fr-FR"/>
        </w:rPr>
      </w:pPr>
      <w:r>
        <w:rPr>
          <w:lang w:val="fr-FR"/>
        </w:rPr>
        <w:t>Annexe IV Dates prévues de début et d'achèvement et diagrammes du réseau d'avancement de la construction</w:t>
      </w:r>
    </w:p>
    <w:p w14:paraId="77936602">
      <w:pPr>
        <w:pStyle w:val="30"/>
        <w:widowControl/>
        <w:rPr>
          <w:lang w:val="fr-FR"/>
        </w:rPr>
      </w:pPr>
    </w:p>
    <w:p w14:paraId="6CBD53F5">
      <w:pPr>
        <w:adjustRightInd w:val="0"/>
        <w:snapToGrid w:val="0"/>
        <w:spacing w:line="360" w:lineRule="auto"/>
        <w:ind w:firstLine="420" w:firstLineChars="200"/>
        <w:rPr>
          <w:szCs w:val="21"/>
        </w:rPr>
        <w:sectPr>
          <w:headerReference r:id="rId8" w:type="first"/>
          <w:headerReference r:id="rId6" w:type="default"/>
          <w:headerReference r:id="rId7" w:type="even"/>
          <w:pgSz w:w="11906" w:h="16838"/>
          <w:pgMar w:top="1417" w:right="1134" w:bottom="1134" w:left="1417" w:header="851" w:footer="850" w:gutter="0"/>
          <w:cols w:space="720" w:num="1"/>
          <w:docGrid w:linePitch="312" w:charSpace="0"/>
        </w:sectPr>
      </w:pPr>
    </w:p>
    <w:p w14:paraId="364ADA50">
      <w:pPr>
        <w:keepNext/>
        <w:keepLines/>
        <w:spacing w:before="20" w:line="200" w:lineRule="exact"/>
        <w:ind w:firstLine="103" w:firstLineChars="49"/>
        <w:rPr>
          <w:b/>
          <w:szCs w:val="21"/>
        </w:rPr>
      </w:pPr>
      <w:bookmarkStart w:id="235" w:name="_Toc6701353"/>
      <w:bookmarkStart w:id="236" w:name="_Toc5714791"/>
      <w:bookmarkStart w:id="237" w:name="_Toc6702510"/>
      <w:r>
        <w:rPr>
          <w:b/>
          <w:szCs w:val="21"/>
        </w:rPr>
        <w:t>附表一：拟投入</w:t>
      </w:r>
      <w:r>
        <w:rPr>
          <w:rFonts w:hint="eastAsia"/>
          <w:b/>
          <w:szCs w:val="21"/>
        </w:rPr>
        <w:t>本项目</w:t>
      </w:r>
      <w:r>
        <w:rPr>
          <w:b/>
          <w:szCs w:val="21"/>
        </w:rPr>
        <w:t>的主要施工设备表</w:t>
      </w:r>
      <w:bookmarkEnd w:id="235"/>
      <w:bookmarkEnd w:id="236"/>
      <w:bookmarkEnd w:id="237"/>
    </w:p>
    <w:p w14:paraId="70A5EFB9">
      <w:pPr>
        <w:pStyle w:val="30"/>
        <w:widowControl/>
        <w:spacing w:line="200" w:lineRule="exact"/>
        <w:rPr>
          <w:lang w:val="fr-FR"/>
        </w:rPr>
      </w:pPr>
      <w:r>
        <w:rPr>
          <w:b/>
          <w:bCs/>
          <w:lang w:val="fr-FR"/>
        </w:rPr>
        <w:t>Annexe I : Calendrier des principaux équipements de construction à mettre en place sur le projet</w:t>
      </w:r>
    </w:p>
    <w:tbl>
      <w:tblPr>
        <w:tblStyle w:val="34"/>
        <w:tblW w:w="0" w:type="auto"/>
        <w:tblInd w:w="0" w:type="dxa"/>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Layout w:type="fixed"/>
        <w:tblCellMar>
          <w:top w:w="0" w:type="dxa"/>
          <w:left w:w="108" w:type="dxa"/>
          <w:bottom w:w="0" w:type="dxa"/>
          <w:right w:w="108" w:type="dxa"/>
        </w:tblCellMar>
      </w:tblPr>
      <w:tblGrid>
        <w:gridCol w:w="702"/>
        <w:gridCol w:w="1156"/>
        <w:gridCol w:w="956"/>
        <w:gridCol w:w="615"/>
        <w:gridCol w:w="796"/>
        <w:gridCol w:w="1055"/>
        <w:gridCol w:w="1134"/>
        <w:gridCol w:w="1236"/>
        <w:gridCol w:w="1188"/>
        <w:gridCol w:w="732"/>
      </w:tblGrid>
      <w:tr w14:paraId="0CEA56C6">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2016" w:hRule="atLeast"/>
        </w:trPr>
        <w:tc>
          <w:tcPr>
            <w:tcW w:w="702" w:type="dxa"/>
            <w:vAlign w:val="center"/>
          </w:tcPr>
          <w:p w14:paraId="28EA830C">
            <w:pPr>
              <w:jc w:val="center"/>
            </w:pPr>
            <w:r>
              <w:t>序号</w:t>
            </w:r>
          </w:p>
          <w:p w14:paraId="47B21A22">
            <w:pPr>
              <w:jc w:val="center"/>
            </w:pPr>
            <w:r>
              <w:rPr>
                <w:rFonts w:hint="eastAsia"/>
              </w:rPr>
              <w:t>N</w:t>
            </w:r>
          </w:p>
        </w:tc>
        <w:tc>
          <w:tcPr>
            <w:tcW w:w="1156" w:type="dxa"/>
            <w:vAlign w:val="center"/>
          </w:tcPr>
          <w:p w14:paraId="16A15BBA">
            <w:pPr>
              <w:jc w:val="center"/>
            </w:pPr>
            <w:r>
              <w:t>设备名称</w:t>
            </w:r>
          </w:p>
          <w:p w14:paraId="4748AC16">
            <w:pPr>
              <w:jc w:val="center"/>
            </w:pPr>
            <w:r>
              <w:t>Nom de l'équipement</w:t>
            </w:r>
          </w:p>
          <w:p w14:paraId="49FEA6B4">
            <w:pPr>
              <w:jc w:val="center"/>
            </w:pPr>
          </w:p>
        </w:tc>
        <w:tc>
          <w:tcPr>
            <w:tcW w:w="956" w:type="dxa"/>
            <w:vAlign w:val="center"/>
          </w:tcPr>
          <w:p w14:paraId="494E11A5">
            <w:pPr>
              <w:jc w:val="center"/>
            </w:pPr>
            <w:r>
              <w:t>型号</w:t>
            </w:r>
          </w:p>
          <w:p w14:paraId="5307C101">
            <w:pPr>
              <w:jc w:val="center"/>
            </w:pPr>
            <w:r>
              <w:t>规格</w:t>
            </w:r>
          </w:p>
          <w:p w14:paraId="6B8429F0">
            <w:pPr>
              <w:jc w:val="center"/>
            </w:pPr>
            <w:r>
              <w:t>Modèle</w:t>
            </w:r>
          </w:p>
          <w:p w14:paraId="4849CF94">
            <w:pPr>
              <w:jc w:val="center"/>
            </w:pPr>
            <w:r>
              <w:t>Spécification</w:t>
            </w:r>
          </w:p>
          <w:p w14:paraId="52AD301D">
            <w:pPr>
              <w:jc w:val="center"/>
            </w:pPr>
          </w:p>
        </w:tc>
        <w:tc>
          <w:tcPr>
            <w:tcW w:w="615" w:type="dxa"/>
            <w:vAlign w:val="center"/>
          </w:tcPr>
          <w:p w14:paraId="591BB016">
            <w:pPr>
              <w:jc w:val="center"/>
            </w:pPr>
            <w:r>
              <w:t>数量</w:t>
            </w:r>
          </w:p>
          <w:p w14:paraId="163F16E2">
            <w:pPr>
              <w:jc w:val="center"/>
            </w:pPr>
            <w:r>
              <w:t>quantités</w:t>
            </w:r>
          </w:p>
          <w:p w14:paraId="0D5D9C3E">
            <w:pPr>
              <w:jc w:val="center"/>
            </w:pPr>
          </w:p>
        </w:tc>
        <w:tc>
          <w:tcPr>
            <w:tcW w:w="796" w:type="dxa"/>
            <w:vAlign w:val="center"/>
          </w:tcPr>
          <w:p w14:paraId="5B3FBC94">
            <w:pPr>
              <w:jc w:val="center"/>
            </w:pPr>
            <w:r>
              <w:t>国别</w:t>
            </w:r>
          </w:p>
          <w:p w14:paraId="3732739A">
            <w:pPr>
              <w:jc w:val="center"/>
            </w:pPr>
            <w:r>
              <w:t>产地</w:t>
            </w:r>
          </w:p>
          <w:p w14:paraId="25899BC3">
            <w:pPr>
              <w:jc w:val="center"/>
            </w:pPr>
            <w:r>
              <w:t>Pays d'origine</w:t>
            </w:r>
          </w:p>
          <w:p w14:paraId="2B293FE3">
            <w:pPr>
              <w:jc w:val="center"/>
            </w:pPr>
            <w:r>
              <w:t>Lieu d'origine</w:t>
            </w:r>
          </w:p>
          <w:p w14:paraId="6884BC35">
            <w:pPr>
              <w:jc w:val="center"/>
            </w:pPr>
          </w:p>
        </w:tc>
        <w:tc>
          <w:tcPr>
            <w:tcW w:w="1055" w:type="dxa"/>
            <w:vAlign w:val="center"/>
          </w:tcPr>
          <w:p w14:paraId="473527CD">
            <w:pPr>
              <w:jc w:val="center"/>
            </w:pPr>
            <w:r>
              <w:t>制造</w:t>
            </w:r>
          </w:p>
          <w:p w14:paraId="5D44C88D">
            <w:pPr>
              <w:jc w:val="center"/>
            </w:pPr>
            <w:r>
              <w:t>年份</w:t>
            </w:r>
          </w:p>
          <w:p w14:paraId="32CEA456">
            <w:pPr>
              <w:jc w:val="center"/>
            </w:pPr>
            <w:r>
              <w:t>Fabrication</w:t>
            </w:r>
          </w:p>
          <w:p w14:paraId="3C834C49">
            <w:pPr>
              <w:jc w:val="center"/>
            </w:pPr>
            <w:r>
              <w:t>Année</w:t>
            </w:r>
          </w:p>
          <w:p w14:paraId="14126C95">
            <w:pPr>
              <w:jc w:val="center"/>
            </w:pPr>
          </w:p>
        </w:tc>
        <w:tc>
          <w:tcPr>
            <w:tcW w:w="1134" w:type="dxa"/>
            <w:vAlign w:val="center"/>
          </w:tcPr>
          <w:p w14:paraId="21DC3E5D">
            <w:pPr>
              <w:jc w:val="center"/>
            </w:pPr>
            <w:r>
              <w:t>额定功率</w:t>
            </w:r>
          </w:p>
          <w:p w14:paraId="19512C09">
            <w:pPr>
              <w:jc w:val="center"/>
            </w:pPr>
            <w:r>
              <w:t>( KW )</w:t>
            </w:r>
          </w:p>
          <w:p w14:paraId="5A131C3A">
            <w:pPr>
              <w:jc w:val="center"/>
            </w:pPr>
            <w:r>
              <w:t>Puissance nominale</w:t>
            </w:r>
          </w:p>
          <w:p w14:paraId="2A2EB76F">
            <w:pPr>
              <w:jc w:val="center"/>
            </w:pPr>
            <w:r>
              <w:t>( KW )</w:t>
            </w:r>
          </w:p>
          <w:p w14:paraId="5D3FF969">
            <w:pPr>
              <w:jc w:val="center"/>
            </w:pPr>
          </w:p>
        </w:tc>
        <w:tc>
          <w:tcPr>
            <w:tcW w:w="1236" w:type="dxa"/>
            <w:vAlign w:val="center"/>
          </w:tcPr>
          <w:p w14:paraId="7A50140C">
            <w:pPr>
              <w:jc w:val="center"/>
            </w:pPr>
            <w:r>
              <w:t>生产</w:t>
            </w:r>
          </w:p>
          <w:p w14:paraId="6D1E0791">
            <w:pPr>
              <w:jc w:val="center"/>
            </w:pPr>
            <w:r>
              <w:t>能力</w:t>
            </w:r>
          </w:p>
          <w:p w14:paraId="34154594">
            <w:pPr>
              <w:jc w:val="center"/>
            </w:pPr>
            <w:r>
              <w:t>Production de l'entreprise</w:t>
            </w:r>
          </w:p>
          <w:p w14:paraId="2F1B1B01">
            <w:pPr>
              <w:jc w:val="center"/>
            </w:pPr>
            <w:r>
              <w:t>Capacité de production</w:t>
            </w:r>
          </w:p>
          <w:p w14:paraId="3DE7BFD8">
            <w:pPr>
              <w:jc w:val="center"/>
            </w:pPr>
          </w:p>
        </w:tc>
        <w:tc>
          <w:tcPr>
            <w:tcW w:w="1188" w:type="dxa"/>
            <w:vAlign w:val="center"/>
          </w:tcPr>
          <w:p w14:paraId="7EB78A12">
            <w:pPr>
              <w:jc w:val="center"/>
            </w:pPr>
            <w:r>
              <w:t>用于施</w:t>
            </w:r>
          </w:p>
          <w:p w14:paraId="6238D51D">
            <w:pPr>
              <w:jc w:val="center"/>
            </w:pPr>
            <w:r>
              <w:t>工部位</w:t>
            </w:r>
          </w:p>
          <w:p w14:paraId="3954AE0D">
            <w:pPr>
              <w:jc w:val="center"/>
            </w:pPr>
            <w:r>
              <w:t>Pour la construction</w:t>
            </w:r>
          </w:p>
          <w:p w14:paraId="00A5ED83">
            <w:pPr>
              <w:jc w:val="center"/>
            </w:pPr>
            <w:r>
              <w:t>Espace de travail</w:t>
            </w:r>
          </w:p>
          <w:p w14:paraId="78956452">
            <w:pPr>
              <w:jc w:val="center"/>
            </w:pPr>
          </w:p>
        </w:tc>
        <w:tc>
          <w:tcPr>
            <w:tcW w:w="732" w:type="dxa"/>
            <w:vAlign w:val="center"/>
          </w:tcPr>
          <w:p w14:paraId="1636A4AA">
            <w:pPr>
              <w:jc w:val="center"/>
            </w:pPr>
            <w:r>
              <w:t>备注</w:t>
            </w:r>
          </w:p>
          <w:p w14:paraId="4957CAF9">
            <w:pPr>
              <w:jc w:val="center"/>
            </w:pPr>
            <w:r>
              <w:t>note</w:t>
            </w:r>
          </w:p>
          <w:p w14:paraId="48129BA8">
            <w:pPr>
              <w:jc w:val="center"/>
            </w:pPr>
          </w:p>
        </w:tc>
      </w:tr>
      <w:tr w14:paraId="05CBA964">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702" w:type="dxa"/>
          </w:tcPr>
          <w:p w14:paraId="150F9C22">
            <w:pPr>
              <w:rPr>
                <w:szCs w:val="21"/>
              </w:rPr>
            </w:pPr>
          </w:p>
        </w:tc>
        <w:tc>
          <w:tcPr>
            <w:tcW w:w="1156" w:type="dxa"/>
          </w:tcPr>
          <w:p w14:paraId="12E592A8">
            <w:pPr>
              <w:ind w:firstLine="420" w:firstLineChars="200"/>
              <w:rPr>
                <w:szCs w:val="21"/>
              </w:rPr>
            </w:pPr>
          </w:p>
        </w:tc>
        <w:tc>
          <w:tcPr>
            <w:tcW w:w="956" w:type="dxa"/>
          </w:tcPr>
          <w:p w14:paraId="0C37E364">
            <w:pPr>
              <w:rPr>
                <w:szCs w:val="21"/>
              </w:rPr>
            </w:pPr>
          </w:p>
        </w:tc>
        <w:tc>
          <w:tcPr>
            <w:tcW w:w="615" w:type="dxa"/>
          </w:tcPr>
          <w:p w14:paraId="571B3B2F">
            <w:pPr>
              <w:rPr>
                <w:szCs w:val="21"/>
              </w:rPr>
            </w:pPr>
          </w:p>
        </w:tc>
        <w:tc>
          <w:tcPr>
            <w:tcW w:w="796" w:type="dxa"/>
          </w:tcPr>
          <w:p w14:paraId="4ABA5B55">
            <w:pPr>
              <w:rPr>
                <w:szCs w:val="21"/>
              </w:rPr>
            </w:pPr>
          </w:p>
        </w:tc>
        <w:tc>
          <w:tcPr>
            <w:tcW w:w="1055" w:type="dxa"/>
          </w:tcPr>
          <w:p w14:paraId="6A4E9CE0">
            <w:pPr>
              <w:rPr>
                <w:szCs w:val="21"/>
              </w:rPr>
            </w:pPr>
          </w:p>
        </w:tc>
        <w:tc>
          <w:tcPr>
            <w:tcW w:w="1134" w:type="dxa"/>
          </w:tcPr>
          <w:p w14:paraId="64E524C6">
            <w:pPr>
              <w:rPr>
                <w:szCs w:val="21"/>
              </w:rPr>
            </w:pPr>
          </w:p>
        </w:tc>
        <w:tc>
          <w:tcPr>
            <w:tcW w:w="1236" w:type="dxa"/>
          </w:tcPr>
          <w:p w14:paraId="45C0B33F">
            <w:pPr>
              <w:rPr>
                <w:szCs w:val="21"/>
              </w:rPr>
            </w:pPr>
          </w:p>
        </w:tc>
        <w:tc>
          <w:tcPr>
            <w:tcW w:w="1188" w:type="dxa"/>
          </w:tcPr>
          <w:p w14:paraId="0CA94045">
            <w:pPr>
              <w:rPr>
                <w:szCs w:val="21"/>
              </w:rPr>
            </w:pPr>
          </w:p>
        </w:tc>
        <w:tc>
          <w:tcPr>
            <w:tcW w:w="732" w:type="dxa"/>
          </w:tcPr>
          <w:p w14:paraId="54135C60">
            <w:pPr>
              <w:rPr>
                <w:szCs w:val="21"/>
              </w:rPr>
            </w:pPr>
          </w:p>
        </w:tc>
      </w:tr>
      <w:tr w14:paraId="66A64240">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702" w:type="dxa"/>
          </w:tcPr>
          <w:p w14:paraId="712E24FC">
            <w:pPr>
              <w:rPr>
                <w:szCs w:val="21"/>
              </w:rPr>
            </w:pPr>
          </w:p>
        </w:tc>
        <w:tc>
          <w:tcPr>
            <w:tcW w:w="1156" w:type="dxa"/>
          </w:tcPr>
          <w:p w14:paraId="124DD894">
            <w:pPr>
              <w:rPr>
                <w:szCs w:val="21"/>
              </w:rPr>
            </w:pPr>
          </w:p>
        </w:tc>
        <w:tc>
          <w:tcPr>
            <w:tcW w:w="956" w:type="dxa"/>
          </w:tcPr>
          <w:p w14:paraId="4F7A5126">
            <w:pPr>
              <w:rPr>
                <w:szCs w:val="21"/>
              </w:rPr>
            </w:pPr>
          </w:p>
        </w:tc>
        <w:tc>
          <w:tcPr>
            <w:tcW w:w="615" w:type="dxa"/>
          </w:tcPr>
          <w:p w14:paraId="2287FF2A">
            <w:pPr>
              <w:rPr>
                <w:szCs w:val="21"/>
              </w:rPr>
            </w:pPr>
          </w:p>
        </w:tc>
        <w:tc>
          <w:tcPr>
            <w:tcW w:w="796" w:type="dxa"/>
          </w:tcPr>
          <w:p w14:paraId="5654B85C">
            <w:pPr>
              <w:rPr>
                <w:szCs w:val="21"/>
              </w:rPr>
            </w:pPr>
          </w:p>
        </w:tc>
        <w:tc>
          <w:tcPr>
            <w:tcW w:w="1055" w:type="dxa"/>
          </w:tcPr>
          <w:p w14:paraId="0B3193EA">
            <w:pPr>
              <w:rPr>
                <w:szCs w:val="21"/>
              </w:rPr>
            </w:pPr>
          </w:p>
        </w:tc>
        <w:tc>
          <w:tcPr>
            <w:tcW w:w="1134" w:type="dxa"/>
          </w:tcPr>
          <w:p w14:paraId="08044078">
            <w:pPr>
              <w:rPr>
                <w:szCs w:val="21"/>
              </w:rPr>
            </w:pPr>
          </w:p>
        </w:tc>
        <w:tc>
          <w:tcPr>
            <w:tcW w:w="1236" w:type="dxa"/>
          </w:tcPr>
          <w:p w14:paraId="2629E182">
            <w:pPr>
              <w:rPr>
                <w:szCs w:val="21"/>
              </w:rPr>
            </w:pPr>
          </w:p>
        </w:tc>
        <w:tc>
          <w:tcPr>
            <w:tcW w:w="1188" w:type="dxa"/>
          </w:tcPr>
          <w:p w14:paraId="2FBD0E9F">
            <w:pPr>
              <w:rPr>
                <w:szCs w:val="21"/>
              </w:rPr>
            </w:pPr>
          </w:p>
        </w:tc>
        <w:tc>
          <w:tcPr>
            <w:tcW w:w="732" w:type="dxa"/>
          </w:tcPr>
          <w:p w14:paraId="02E6ADCD">
            <w:pPr>
              <w:rPr>
                <w:szCs w:val="21"/>
              </w:rPr>
            </w:pPr>
          </w:p>
        </w:tc>
      </w:tr>
      <w:tr w14:paraId="03CE8D28">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702" w:type="dxa"/>
          </w:tcPr>
          <w:p w14:paraId="1348749C">
            <w:pPr>
              <w:rPr>
                <w:szCs w:val="21"/>
              </w:rPr>
            </w:pPr>
          </w:p>
        </w:tc>
        <w:tc>
          <w:tcPr>
            <w:tcW w:w="1156" w:type="dxa"/>
          </w:tcPr>
          <w:p w14:paraId="5DAE499B">
            <w:pPr>
              <w:rPr>
                <w:szCs w:val="21"/>
              </w:rPr>
            </w:pPr>
          </w:p>
        </w:tc>
        <w:tc>
          <w:tcPr>
            <w:tcW w:w="956" w:type="dxa"/>
          </w:tcPr>
          <w:p w14:paraId="024A9D59">
            <w:pPr>
              <w:rPr>
                <w:szCs w:val="21"/>
              </w:rPr>
            </w:pPr>
          </w:p>
        </w:tc>
        <w:tc>
          <w:tcPr>
            <w:tcW w:w="615" w:type="dxa"/>
          </w:tcPr>
          <w:p w14:paraId="0383113D">
            <w:pPr>
              <w:rPr>
                <w:szCs w:val="21"/>
              </w:rPr>
            </w:pPr>
          </w:p>
        </w:tc>
        <w:tc>
          <w:tcPr>
            <w:tcW w:w="796" w:type="dxa"/>
          </w:tcPr>
          <w:p w14:paraId="56390397">
            <w:pPr>
              <w:rPr>
                <w:szCs w:val="21"/>
              </w:rPr>
            </w:pPr>
          </w:p>
        </w:tc>
        <w:tc>
          <w:tcPr>
            <w:tcW w:w="1055" w:type="dxa"/>
          </w:tcPr>
          <w:p w14:paraId="644B8BB0">
            <w:pPr>
              <w:rPr>
                <w:szCs w:val="21"/>
              </w:rPr>
            </w:pPr>
          </w:p>
        </w:tc>
        <w:tc>
          <w:tcPr>
            <w:tcW w:w="1134" w:type="dxa"/>
          </w:tcPr>
          <w:p w14:paraId="413AD9AC">
            <w:pPr>
              <w:rPr>
                <w:szCs w:val="21"/>
              </w:rPr>
            </w:pPr>
          </w:p>
        </w:tc>
        <w:tc>
          <w:tcPr>
            <w:tcW w:w="1236" w:type="dxa"/>
          </w:tcPr>
          <w:p w14:paraId="09BD6332">
            <w:pPr>
              <w:rPr>
                <w:szCs w:val="21"/>
              </w:rPr>
            </w:pPr>
          </w:p>
        </w:tc>
        <w:tc>
          <w:tcPr>
            <w:tcW w:w="1188" w:type="dxa"/>
          </w:tcPr>
          <w:p w14:paraId="4193221F">
            <w:pPr>
              <w:rPr>
                <w:szCs w:val="21"/>
              </w:rPr>
            </w:pPr>
          </w:p>
        </w:tc>
        <w:tc>
          <w:tcPr>
            <w:tcW w:w="732" w:type="dxa"/>
          </w:tcPr>
          <w:p w14:paraId="4490D880">
            <w:pPr>
              <w:rPr>
                <w:szCs w:val="21"/>
              </w:rPr>
            </w:pPr>
          </w:p>
        </w:tc>
      </w:tr>
      <w:tr w14:paraId="6655560C">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702" w:type="dxa"/>
          </w:tcPr>
          <w:p w14:paraId="2609E52A">
            <w:pPr>
              <w:rPr>
                <w:szCs w:val="21"/>
              </w:rPr>
            </w:pPr>
          </w:p>
        </w:tc>
        <w:tc>
          <w:tcPr>
            <w:tcW w:w="1156" w:type="dxa"/>
          </w:tcPr>
          <w:p w14:paraId="64A9477C">
            <w:pPr>
              <w:rPr>
                <w:szCs w:val="21"/>
              </w:rPr>
            </w:pPr>
          </w:p>
        </w:tc>
        <w:tc>
          <w:tcPr>
            <w:tcW w:w="956" w:type="dxa"/>
          </w:tcPr>
          <w:p w14:paraId="4D2847F9">
            <w:pPr>
              <w:rPr>
                <w:szCs w:val="21"/>
              </w:rPr>
            </w:pPr>
          </w:p>
        </w:tc>
        <w:tc>
          <w:tcPr>
            <w:tcW w:w="615" w:type="dxa"/>
          </w:tcPr>
          <w:p w14:paraId="1D5DF2D3">
            <w:pPr>
              <w:rPr>
                <w:szCs w:val="21"/>
              </w:rPr>
            </w:pPr>
          </w:p>
        </w:tc>
        <w:tc>
          <w:tcPr>
            <w:tcW w:w="796" w:type="dxa"/>
          </w:tcPr>
          <w:p w14:paraId="38395A8D">
            <w:pPr>
              <w:rPr>
                <w:szCs w:val="21"/>
              </w:rPr>
            </w:pPr>
          </w:p>
        </w:tc>
        <w:tc>
          <w:tcPr>
            <w:tcW w:w="1055" w:type="dxa"/>
          </w:tcPr>
          <w:p w14:paraId="0B539B28">
            <w:pPr>
              <w:rPr>
                <w:szCs w:val="21"/>
              </w:rPr>
            </w:pPr>
          </w:p>
        </w:tc>
        <w:tc>
          <w:tcPr>
            <w:tcW w:w="1134" w:type="dxa"/>
          </w:tcPr>
          <w:p w14:paraId="21740F65">
            <w:pPr>
              <w:rPr>
                <w:szCs w:val="21"/>
              </w:rPr>
            </w:pPr>
          </w:p>
        </w:tc>
        <w:tc>
          <w:tcPr>
            <w:tcW w:w="1236" w:type="dxa"/>
          </w:tcPr>
          <w:p w14:paraId="7C7F6291">
            <w:pPr>
              <w:rPr>
                <w:szCs w:val="21"/>
              </w:rPr>
            </w:pPr>
          </w:p>
        </w:tc>
        <w:tc>
          <w:tcPr>
            <w:tcW w:w="1188" w:type="dxa"/>
          </w:tcPr>
          <w:p w14:paraId="3DF53C74">
            <w:pPr>
              <w:rPr>
                <w:szCs w:val="21"/>
              </w:rPr>
            </w:pPr>
          </w:p>
        </w:tc>
        <w:tc>
          <w:tcPr>
            <w:tcW w:w="732" w:type="dxa"/>
          </w:tcPr>
          <w:p w14:paraId="041CF7A6">
            <w:pPr>
              <w:rPr>
                <w:szCs w:val="21"/>
              </w:rPr>
            </w:pPr>
          </w:p>
        </w:tc>
      </w:tr>
      <w:tr w14:paraId="5826166C">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702" w:type="dxa"/>
          </w:tcPr>
          <w:p w14:paraId="72D2F3C8">
            <w:pPr>
              <w:rPr>
                <w:szCs w:val="21"/>
              </w:rPr>
            </w:pPr>
          </w:p>
        </w:tc>
        <w:tc>
          <w:tcPr>
            <w:tcW w:w="1156" w:type="dxa"/>
          </w:tcPr>
          <w:p w14:paraId="21DF2F4D">
            <w:pPr>
              <w:rPr>
                <w:szCs w:val="21"/>
              </w:rPr>
            </w:pPr>
          </w:p>
        </w:tc>
        <w:tc>
          <w:tcPr>
            <w:tcW w:w="956" w:type="dxa"/>
          </w:tcPr>
          <w:p w14:paraId="0A266954">
            <w:pPr>
              <w:rPr>
                <w:szCs w:val="21"/>
              </w:rPr>
            </w:pPr>
          </w:p>
        </w:tc>
        <w:tc>
          <w:tcPr>
            <w:tcW w:w="615" w:type="dxa"/>
          </w:tcPr>
          <w:p w14:paraId="7EA37282">
            <w:pPr>
              <w:rPr>
                <w:szCs w:val="21"/>
              </w:rPr>
            </w:pPr>
          </w:p>
        </w:tc>
        <w:tc>
          <w:tcPr>
            <w:tcW w:w="796" w:type="dxa"/>
          </w:tcPr>
          <w:p w14:paraId="5F6CF1DE">
            <w:pPr>
              <w:rPr>
                <w:szCs w:val="21"/>
              </w:rPr>
            </w:pPr>
          </w:p>
        </w:tc>
        <w:tc>
          <w:tcPr>
            <w:tcW w:w="1055" w:type="dxa"/>
          </w:tcPr>
          <w:p w14:paraId="7187A93D">
            <w:pPr>
              <w:rPr>
                <w:szCs w:val="21"/>
              </w:rPr>
            </w:pPr>
          </w:p>
        </w:tc>
        <w:tc>
          <w:tcPr>
            <w:tcW w:w="1134" w:type="dxa"/>
          </w:tcPr>
          <w:p w14:paraId="7C746FF5">
            <w:pPr>
              <w:rPr>
                <w:szCs w:val="21"/>
              </w:rPr>
            </w:pPr>
          </w:p>
        </w:tc>
        <w:tc>
          <w:tcPr>
            <w:tcW w:w="1236" w:type="dxa"/>
          </w:tcPr>
          <w:p w14:paraId="19F8124D">
            <w:pPr>
              <w:rPr>
                <w:szCs w:val="21"/>
              </w:rPr>
            </w:pPr>
          </w:p>
        </w:tc>
        <w:tc>
          <w:tcPr>
            <w:tcW w:w="1188" w:type="dxa"/>
          </w:tcPr>
          <w:p w14:paraId="5CE2D708">
            <w:pPr>
              <w:rPr>
                <w:szCs w:val="21"/>
              </w:rPr>
            </w:pPr>
          </w:p>
        </w:tc>
        <w:tc>
          <w:tcPr>
            <w:tcW w:w="732" w:type="dxa"/>
          </w:tcPr>
          <w:p w14:paraId="05603D8E">
            <w:pPr>
              <w:rPr>
                <w:szCs w:val="21"/>
              </w:rPr>
            </w:pPr>
          </w:p>
        </w:tc>
      </w:tr>
      <w:tr w14:paraId="1B8C2260">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702" w:type="dxa"/>
          </w:tcPr>
          <w:p w14:paraId="48372305">
            <w:pPr>
              <w:rPr>
                <w:szCs w:val="21"/>
              </w:rPr>
            </w:pPr>
          </w:p>
        </w:tc>
        <w:tc>
          <w:tcPr>
            <w:tcW w:w="1156" w:type="dxa"/>
          </w:tcPr>
          <w:p w14:paraId="06476557">
            <w:pPr>
              <w:rPr>
                <w:szCs w:val="21"/>
              </w:rPr>
            </w:pPr>
          </w:p>
        </w:tc>
        <w:tc>
          <w:tcPr>
            <w:tcW w:w="956" w:type="dxa"/>
          </w:tcPr>
          <w:p w14:paraId="7C076B01">
            <w:pPr>
              <w:rPr>
                <w:szCs w:val="21"/>
              </w:rPr>
            </w:pPr>
          </w:p>
        </w:tc>
        <w:tc>
          <w:tcPr>
            <w:tcW w:w="615" w:type="dxa"/>
          </w:tcPr>
          <w:p w14:paraId="43A1129A">
            <w:pPr>
              <w:rPr>
                <w:szCs w:val="21"/>
              </w:rPr>
            </w:pPr>
          </w:p>
        </w:tc>
        <w:tc>
          <w:tcPr>
            <w:tcW w:w="796" w:type="dxa"/>
          </w:tcPr>
          <w:p w14:paraId="155386EC">
            <w:pPr>
              <w:rPr>
                <w:szCs w:val="21"/>
              </w:rPr>
            </w:pPr>
          </w:p>
        </w:tc>
        <w:tc>
          <w:tcPr>
            <w:tcW w:w="1055" w:type="dxa"/>
          </w:tcPr>
          <w:p w14:paraId="406BD191">
            <w:pPr>
              <w:rPr>
                <w:szCs w:val="21"/>
              </w:rPr>
            </w:pPr>
          </w:p>
        </w:tc>
        <w:tc>
          <w:tcPr>
            <w:tcW w:w="1134" w:type="dxa"/>
          </w:tcPr>
          <w:p w14:paraId="03538C9C">
            <w:pPr>
              <w:rPr>
                <w:szCs w:val="21"/>
              </w:rPr>
            </w:pPr>
          </w:p>
        </w:tc>
        <w:tc>
          <w:tcPr>
            <w:tcW w:w="1236" w:type="dxa"/>
          </w:tcPr>
          <w:p w14:paraId="3745E37C">
            <w:pPr>
              <w:rPr>
                <w:szCs w:val="21"/>
              </w:rPr>
            </w:pPr>
          </w:p>
        </w:tc>
        <w:tc>
          <w:tcPr>
            <w:tcW w:w="1188" w:type="dxa"/>
          </w:tcPr>
          <w:p w14:paraId="0F34E957">
            <w:pPr>
              <w:rPr>
                <w:szCs w:val="21"/>
              </w:rPr>
            </w:pPr>
          </w:p>
        </w:tc>
        <w:tc>
          <w:tcPr>
            <w:tcW w:w="732" w:type="dxa"/>
          </w:tcPr>
          <w:p w14:paraId="7BE85830">
            <w:pPr>
              <w:rPr>
                <w:szCs w:val="21"/>
              </w:rPr>
            </w:pPr>
          </w:p>
        </w:tc>
      </w:tr>
      <w:tr w14:paraId="183F1647">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702" w:type="dxa"/>
          </w:tcPr>
          <w:p w14:paraId="6A0F76F1">
            <w:pPr>
              <w:rPr>
                <w:szCs w:val="21"/>
              </w:rPr>
            </w:pPr>
          </w:p>
        </w:tc>
        <w:tc>
          <w:tcPr>
            <w:tcW w:w="1156" w:type="dxa"/>
          </w:tcPr>
          <w:p w14:paraId="6E52F2FC">
            <w:pPr>
              <w:rPr>
                <w:szCs w:val="21"/>
              </w:rPr>
            </w:pPr>
          </w:p>
        </w:tc>
        <w:tc>
          <w:tcPr>
            <w:tcW w:w="956" w:type="dxa"/>
          </w:tcPr>
          <w:p w14:paraId="7F409BEA">
            <w:pPr>
              <w:rPr>
                <w:szCs w:val="21"/>
              </w:rPr>
            </w:pPr>
          </w:p>
        </w:tc>
        <w:tc>
          <w:tcPr>
            <w:tcW w:w="615" w:type="dxa"/>
          </w:tcPr>
          <w:p w14:paraId="6CAA4F46">
            <w:pPr>
              <w:rPr>
                <w:szCs w:val="21"/>
              </w:rPr>
            </w:pPr>
          </w:p>
        </w:tc>
        <w:tc>
          <w:tcPr>
            <w:tcW w:w="796" w:type="dxa"/>
          </w:tcPr>
          <w:p w14:paraId="5CB02697">
            <w:pPr>
              <w:rPr>
                <w:szCs w:val="21"/>
              </w:rPr>
            </w:pPr>
          </w:p>
        </w:tc>
        <w:tc>
          <w:tcPr>
            <w:tcW w:w="1055" w:type="dxa"/>
          </w:tcPr>
          <w:p w14:paraId="6CC559ED">
            <w:pPr>
              <w:rPr>
                <w:szCs w:val="21"/>
              </w:rPr>
            </w:pPr>
          </w:p>
        </w:tc>
        <w:tc>
          <w:tcPr>
            <w:tcW w:w="1134" w:type="dxa"/>
          </w:tcPr>
          <w:p w14:paraId="6A17C897">
            <w:pPr>
              <w:rPr>
                <w:szCs w:val="21"/>
              </w:rPr>
            </w:pPr>
          </w:p>
        </w:tc>
        <w:tc>
          <w:tcPr>
            <w:tcW w:w="1236" w:type="dxa"/>
          </w:tcPr>
          <w:p w14:paraId="2D772D7C">
            <w:pPr>
              <w:rPr>
                <w:szCs w:val="21"/>
              </w:rPr>
            </w:pPr>
          </w:p>
        </w:tc>
        <w:tc>
          <w:tcPr>
            <w:tcW w:w="1188" w:type="dxa"/>
          </w:tcPr>
          <w:p w14:paraId="5018C5B6">
            <w:pPr>
              <w:rPr>
                <w:szCs w:val="21"/>
              </w:rPr>
            </w:pPr>
          </w:p>
        </w:tc>
        <w:tc>
          <w:tcPr>
            <w:tcW w:w="732" w:type="dxa"/>
          </w:tcPr>
          <w:p w14:paraId="6165C4E3">
            <w:pPr>
              <w:rPr>
                <w:szCs w:val="21"/>
              </w:rPr>
            </w:pPr>
          </w:p>
        </w:tc>
      </w:tr>
      <w:tr w14:paraId="2C02A48C">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702" w:type="dxa"/>
          </w:tcPr>
          <w:p w14:paraId="47466527">
            <w:pPr>
              <w:rPr>
                <w:szCs w:val="21"/>
              </w:rPr>
            </w:pPr>
          </w:p>
        </w:tc>
        <w:tc>
          <w:tcPr>
            <w:tcW w:w="1156" w:type="dxa"/>
          </w:tcPr>
          <w:p w14:paraId="72A36E52">
            <w:pPr>
              <w:rPr>
                <w:szCs w:val="21"/>
              </w:rPr>
            </w:pPr>
          </w:p>
        </w:tc>
        <w:tc>
          <w:tcPr>
            <w:tcW w:w="956" w:type="dxa"/>
          </w:tcPr>
          <w:p w14:paraId="02CC21E0">
            <w:pPr>
              <w:rPr>
                <w:szCs w:val="21"/>
              </w:rPr>
            </w:pPr>
          </w:p>
        </w:tc>
        <w:tc>
          <w:tcPr>
            <w:tcW w:w="615" w:type="dxa"/>
          </w:tcPr>
          <w:p w14:paraId="6C3C3902">
            <w:pPr>
              <w:rPr>
                <w:szCs w:val="21"/>
              </w:rPr>
            </w:pPr>
          </w:p>
        </w:tc>
        <w:tc>
          <w:tcPr>
            <w:tcW w:w="796" w:type="dxa"/>
          </w:tcPr>
          <w:p w14:paraId="5D63E921">
            <w:pPr>
              <w:rPr>
                <w:szCs w:val="21"/>
              </w:rPr>
            </w:pPr>
          </w:p>
        </w:tc>
        <w:tc>
          <w:tcPr>
            <w:tcW w:w="1055" w:type="dxa"/>
          </w:tcPr>
          <w:p w14:paraId="5CF37B04">
            <w:pPr>
              <w:rPr>
                <w:szCs w:val="21"/>
              </w:rPr>
            </w:pPr>
          </w:p>
        </w:tc>
        <w:tc>
          <w:tcPr>
            <w:tcW w:w="1134" w:type="dxa"/>
          </w:tcPr>
          <w:p w14:paraId="03C3351A">
            <w:pPr>
              <w:rPr>
                <w:szCs w:val="21"/>
              </w:rPr>
            </w:pPr>
          </w:p>
        </w:tc>
        <w:tc>
          <w:tcPr>
            <w:tcW w:w="1236" w:type="dxa"/>
          </w:tcPr>
          <w:p w14:paraId="72D8E874">
            <w:pPr>
              <w:rPr>
                <w:szCs w:val="21"/>
              </w:rPr>
            </w:pPr>
          </w:p>
        </w:tc>
        <w:tc>
          <w:tcPr>
            <w:tcW w:w="1188" w:type="dxa"/>
          </w:tcPr>
          <w:p w14:paraId="065AAB52">
            <w:pPr>
              <w:rPr>
                <w:szCs w:val="21"/>
              </w:rPr>
            </w:pPr>
          </w:p>
        </w:tc>
        <w:tc>
          <w:tcPr>
            <w:tcW w:w="732" w:type="dxa"/>
          </w:tcPr>
          <w:p w14:paraId="5F6B21F5">
            <w:pPr>
              <w:rPr>
                <w:szCs w:val="21"/>
              </w:rPr>
            </w:pPr>
          </w:p>
        </w:tc>
      </w:tr>
      <w:tr w14:paraId="7DF1DAB3">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702" w:type="dxa"/>
          </w:tcPr>
          <w:p w14:paraId="7C6F61F4">
            <w:pPr>
              <w:rPr>
                <w:szCs w:val="21"/>
              </w:rPr>
            </w:pPr>
          </w:p>
        </w:tc>
        <w:tc>
          <w:tcPr>
            <w:tcW w:w="1156" w:type="dxa"/>
          </w:tcPr>
          <w:p w14:paraId="580DB856">
            <w:pPr>
              <w:rPr>
                <w:szCs w:val="21"/>
              </w:rPr>
            </w:pPr>
          </w:p>
        </w:tc>
        <w:tc>
          <w:tcPr>
            <w:tcW w:w="956" w:type="dxa"/>
          </w:tcPr>
          <w:p w14:paraId="2165AE42">
            <w:pPr>
              <w:rPr>
                <w:szCs w:val="21"/>
              </w:rPr>
            </w:pPr>
          </w:p>
        </w:tc>
        <w:tc>
          <w:tcPr>
            <w:tcW w:w="615" w:type="dxa"/>
          </w:tcPr>
          <w:p w14:paraId="54DAECD9">
            <w:pPr>
              <w:rPr>
                <w:szCs w:val="21"/>
              </w:rPr>
            </w:pPr>
          </w:p>
        </w:tc>
        <w:tc>
          <w:tcPr>
            <w:tcW w:w="796" w:type="dxa"/>
          </w:tcPr>
          <w:p w14:paraId="6DBD169F">
            <w:pPr>
              <w:rPr>
                <w:szCs w:val="21"/>
              </w:rPr>
            </w:pPr>
          </w:p>
        </w:tc>
        <w:tc>
          <w:tcPr>
            <w:tcW w:w="1055" w:type="dxa"/>
          </w:tcPr>
          <w:p w14:paraId="0A19D125">
            <w:pPr>
              <w:rPr>
                <w:szCs w:val="21"/>
              </w:rPr>
            </w:pPr>
          </w:p>
        </w:tc>
        <w:tc>
          <w:tcPr>
            <w:tcW w:w="1134" w:type="dxa"/>
          </w:tcPr>
          <w:p w14:paraId="1B7923D4">
            <w:pPr>
              <w:rPr>
                <w:szCs w:val="21"/>
              </w:rPr>
            </w:pPr>
          </w:p>
        </w:tc>
        <w:tc>
          <w:tcPr>
            <w:tcW w:w="1236" w:type="dxa"/>
          </w:tcPr>
          <w:p w14:paraId="11603603">
            <w:pPr>
              <w:rPr>
                <w:szCs w:val="21"/>
              </w:rPr>
            </w:pPr>
          </w:p>
        </w:tc>
        <w:tc>
          <w:tcPr>
            <w:tcW w:w="1188" w:type="dxa"/>
          </w:tcPr>
          <w:p w14:paraId="3304DB32">
            <w:pPr>
              <w:rPr>
                <w:szCs w:val="21"/>
              </w:rPr>
            </w:pPr>
          </w:p>
        </w:tc>
        <w:tc>
          <w:tcPr>
            <w:tcW w:w="732" w:type="dxa"/>
          </w:tcPr>
          <w:p w14:paraId="5C59D94A">
            <w:pPr>
              <w:rPr>
                <w:szCs w:val="21"/>
              </w:rPr>
            </w:pPr>
          </w:p>
        </w:tc>
      </w:tr>
      <w:tr w14:paraId="24A515C0">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702" w:type="dxa"/>
          </w:tcPr>
          <w:p w14:paraId="425FF7AB">
            <w:pPr>
              <w:rPr>
                <w:szCs w:val="21"/>
              </w:rPr>
            </w:pPr>
          </w:p>
        </w:tc>
        <w:tc>
          <w:tcPr>
            <w:tcW w:w="1156" w:type="dxa"/>
          </w:tcPr>
          <w:p w14:paraId="76AD31A9">
            <w:pPr>
              <w:rPr>
                <w:szCs w:val="21"/>
              </w:rPr>
            </w:pPr>
          </w:p>
        </w:tc>
        <w:tc>
          <w:tcPr>
            <w:tcW w:w="956" w:type="dxa"/>
          </w:tcPr>
          <w:p w14:paraId="6D5718BA">
            <w:pPr>
              <w:rPr>
                <w:szCs w:val="21"/>
              </w:rPr>
            </w:pPr>
          </w:p>
        </w:tc>
        <w:tc>
          <w:tcPr>
            <w:tcW w:w="615" w:type="dxa"/>
          </w:tcPr>
          <w:p w14:paraId="415C8CFC">
            <w:pPr>
              <w:rPr>
                <w:szCs w:val="21"/>
              </w:rPr>
            </w:pPr>
          </w:p>
        </w:tc>
        <w:tc>
          <w:tcPr>
            <w:tcW w:w="796" w:type="dxa"/>
          </w:tcPr>
          <w:p w14:paraId="16996B4D">
            <w:pPr>
              <w:rPr>
                <w:szCs w:val="21"/>
              </w:rPr>
            </w:pPr>
          </w:p>
        </w:tc>
        <w:tc>
          <w:tcPr>
            <w:tcW w:w="1055" w:type="dxa"/>
          </w:tcPr>
          <w:p w14:paraId="16B634F4">
            <w:pPr>
              <w:rPr>
                <w:szCs w:val="21"/>
              </w:rPr>
            </w:pPr>
          </w:p>
        </w:tc>
        <w:tc>
          <w:tcPr>
            <w:tcW w:w="1134" w:type="dxa"/>
          </w:tcPr>
          <w:p w14:paraId="671A2F28">
            <w:pPr>
              <w:rPr>
                <w:szCs w:val="21"/>
              </w:rPr>
            </w:pPr>
          </w:p>
        </w:tc>
        <w:tc>
          <w:tcPr>
            <w:tcW w:w="1236" w:type="dxa"/>
          </w:tcPr>
          <w:p w14:paraId="72900C69">
            <w:pPr>
              <w:rPr>
                <w:szCs w:val="21"/>
              </w:rPr>
            </w:pPr>
          </w:p>
        </w:tc>
        <w:tc>
          <w:tcPr>
            <w:tcW w:w="1188" w:type="dxa"/>
          </w:tcPr>
          <w:p w14:paraId="1B391427">
            <w:pPr>
              <w:rPr>
                <w:szCs w:val="21"/>
              </w:rPr>
            </w:pPr>
          </w:p>
        </w:tc>
        <w:tc>
          <w:tcPr>
            <w:tcW w:w="732" w:type="dxa"/>
          </w:tcPr>
          <w:p w14:paraId="77C6E751">
            <w:pPr>
              <w:rPr>
                <w:szCs w:val="21"/>
              </w:rPr>
            </w:pPr>
          </w:p>
        </w:tc>
      </w:tr>
      <w:tr w14:paraId="4CDCEB4B">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702" w:type="dxa"/>
          </w:tcPr>
          <w:p w14:paraId="6C401C06">
            <w:pPr>
              <w:rPr>
                <w:szCs w:val="21"/>
              </w:rPr>
            </w:pPr>
          </w:p>
        </w:tc>
        <w:tc>
          <w:tcPr>
            <w:tcW w:w="1156" w:type="dxa"/>
          </w:tcPr>
          <w:p w14:paraId="727FF1A3">
            <w:pPr>
              <w:rPr>
                <w:szCs w:val="21"/>
              </w:rPr>
            </w:pPr>
          </w:p>
        </w:tc>
        <w:tc>
          <w:tcPr>
            <w:tcW w:w="956" w:type="dxa"/>
          </w:tcPr>
          <w:p w14:paraId="3165E3F1">
            <w:pPr>
              <w:rPr>
                <w:szCs w:val="21"/>
              </w:rPr>
            </w:pPr>
          </w:p>
        </w:tc>
        <w:tc>
          <w:tcPr>
            <w:tcW w:w="615" w:type="dxa"/>
          </w:tcPr>
          <w:p w14:paraId="2CE6536B">
            <w:pPr>
              <w:rPr>
                <w:szCs w:val="21"/>
              </w:rPr>
            </w:pPr>
          </w:p>
        </w:tc>
        <w:tc>
          <w:tcPr>
            <w:tcW w:w="796" w:type="dxa"/>
          </w:tcPr>
          <w:p w14:paraId="1B1AF28F">
            <w:pPr>
              <w:rPr>
                <w:szCs w:val="21"/>
              </w:rPr>
            </w:pPr>
          </w:p>
        </w:tc>
        <w:tc>
          <w:tcPr>
            <w:tcW w:w="1055" w:type="dxa"/>
          </w:tcPr>
          <w:p w14:paraId="73D824BF">
            <w:pPr>
              <w:rPr>
                <w:szCs w:val="21"/>
              </w:rPr>
            </w:pPr>
          </w:p>
        </w:tc>
        <w:tc>
          <w:tcPr>
            <w:tcW w:w="1134" w:type="dxa"/>
          </w:tcPr>
          <w:p w14:paraId="4606BA8F">
            <w:pPr>
              <w:rPr>
                <w:szCs w:val="21"/>
              </w:rPr>
            </w:pPr>
          </w:p>
        </w:tc>
        <w:tc>
          <w:tcPr>
            <w:tcW w:w="1236" w:type="dxa"/>
          </w:tcPr>
          <w:p w14:paraId="0B2FCD81">
            <w:pPr>
              <w:rPr>
                <w:szCs w:val="21"/>
              </w:rPr>
            </w:pPr>
          </w:p>
        </w:tc>
        <w:tc>
          <w:tcPr>
            <w:tcW w:w="1188" w:type="dxa"/>
          </w:tcPr>
          <w:p w14:paraId="43EB8144">
            <w:pPr>
              <w:rPr>
                <w:szCs w:val="21"/>
              </w:rPr>
            </w:pPr>
          </w:p>
        </w:tc>
        <w:tc>
          <w:tcPr>
            <w:tcW w:w="732" w:type="dxa"/>
          </w:tcPr>
          <w:p w14:paraId="3CCAD868">
            <w:pPr>
              <w:rPr>
                <w:szCs w:val="21"/>
              </w:rPr>
            </w:pPr>
          </w:p>
        </w:tc>
      </w:tr>
      <w:tr w14:paraId="5F15FAE0">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702" w:type="dxa"/>
          </w:tcPr>
          <w:p w14:paraId="523B6A19">
            <w:pPr>
              <w:rPr>
                <w:szCs w:val="21"/>
              </w:rPr>
            </w:pPr>
          </w:p>
        </w:tc>
        <w:tc>
          <w:tcPr>
            <w:tcW w:w="1156" w:type="dxa"/>
          </w:tcPr>
          <w:p w14:paraId="4C62105B">
            <w:pPr>
              <w:rPr>
                <w:szCs w:val="21"/>
              </w:rPr>
            </w:pPr>
          </w:p>
        </w:tc>
        <w:tc>
          <w:tcPr>
            <w:tcW w:w="956" w:type="dxa"/>
          </w:tcPr>
          <w:p w14:paraId="691A53A4">
            <w:pPr>
              <w:rPr>
                <w:szCs w:val="21"/>
              </w:rPr>
            </w:pPr>
          </w:p>
        </w:tc>
        <w:tc>
          <w:tcPr>
            <w:tcW w:w="615" w:type="dxa"/>
          </w:tcPr>
          <w:p w14:paraId="32079997">
            <w:pPr>
              <w:rPr>
                <w:szCs w:val="21"/>
              </w:rPr>
            </w:pPr>
          </w:p>
        </w:tc>
        <w:tc>
          <w:tcPr>
            <w:tcW w:w="796" w:type="dxa"/>
          </w:tcPr>
          <w:p w14:paraId="689BF59E">
            <w:pPr>
              <w:rPr>
                <w:szCs w:val="21"/>
              </w:rPr>
            </w:pPr>
          </w:p>
        </w:tc>
        <w:tc>
          <w:tcPr>
            <w:tcW w:w="1055" w:type="dxa"/>
          </w:tcPr>
          <w:p w14:paraId="422A9E57">
            <w:pPr>
              <w:rPr>
                <w:szCs w:val="21"/>
              </w:rPr>
            </w:pPr>
          </w:p>
        </w:tc>
        <w:tc>
          <w:tcPr>
            <w:tcW w:w="1134" w:type="dxa"/>
          </w:tcPr>
          <w:p w14:paraId="780957AE">
            <w:pPr>
              <w:rPr>
                <w:szCs w:val="21"/>
              </w:rPr>
            </w:pPr>
          </w:p>
        </w:tc>
        <w:tc>
          <w:tcPr>
            <w:tcW w:w="1236" w:type="dxa"/>
          </w:tcPr>
          <w:p w14:paraId="19759384">
            <w:pPr>
              <w:rPr>
                <w:szCs w:val="21"/>
              </w:rPr>
            </w:pPr>
          </w:p>
        </w:tc>
        <w:tc>
          <w:tcPr>
            <w:tcW w:w="1188" w:type="dxa"/>
          </w:tcPr>
          <w:p w14:paraId="4EA8F89B">
            <w:pPr>
              <w:rPr>
                <w:szCs w:val="21"/>
              </w:rPr>
            </w:pPr>
          </w:p>
        </w:tc>
        <w:tc>
          <w:tcPr>
            <w:tcW w:w="732" w:type="dxa"/>
          </w:tcPr>
          <w:p w14:paraId="4356415A">
            <w:pPr>
              <w:rPr>
                <w:szCs w:val="21"/>
              </w:rPr>
            </w:pPr>
          </w:p>
        </w:tc>
      </w:tr>
    </w:tbl>
    <w:p w14:paraId="694653C4">
      <w:pPr>
        <w:spacing w:line="360" w:lineRule="auto"/>
        <w:ind w:firstLine="420" w:firstLineChars="200"/>
        <w:rPr>
          <w:szCs w:val="21"/>
        </w:rPr>
      </w:pPr>
      <w:r>
        <w:rPr>
          <w:rFonts w:hint="eastAsia"/>
          <w:szCs w:val="21"/>
        </w:rPr>
        <w:t>说明：只填写用于本项目的主要施工设备。</w:t>
      </w:r>
    </w:p>
    <w:p w14:paraId="4A0871BA">
      <w:pPr>
        <w:sectPr>
          <w:pgSz w:w="11906" w:h="16838"/>
          <w:pgMar w:top="1417" w:right="1134" w:bottom="1134" w:left="1417" w:header="851" w:footer="850" w:gutter="0"/>
          <w:cols w:space="720" w:num="1"/>
          <w:docGrid w:linePitch="312" w:charSpace="0"/>
        </w:sectPr>
      </w:pPr>
      <w:r>
        <w:rPr>
          <w:rFonts w:hint="eastAsia"/>
        </w:rPr>
        <w:t>Note : N'indiquez que les principaux équipements de construction qui seront utilisés pour le projet.</w:t>
      </w:r>
    </w:p>
    <w:p w14:paraId="40FFB926">
      <w:pPr>
        <w:keepNext/>
        <w:keepLines/>
        <w:spacing w:before="20" w:line="200" w:lineRule="exact"/>
        <w:ind w:firstLine="103" w:firstLineChars="49"/>
        <w:rPr>
          <w:b/>
          <w:szCs w:val="21"/>
        </w:rPr>
      </w:pPr>
      <w:bookmarkStart w:id="238" w:name="_Toc6701354"/>
      <w:bookmarkStart w:id="239" w:name="_Toc6702511"/>
      <w:bookmarkStart w:id="240" w:name="_Toc5714792"/>
      <w:r>
        <w:rPr>
          <w:b/>
          <w:szCs w:val="21"/>
        </w:rPr>
        <w:t>附表二：拟配备</w:t>
      </w:r>
      <w:r>
        <w:rPr>
          <w:rFonts w:hint="eastAsia"/>
          <w:b/>
          <w:szCs w:val="21"/>
        </w:rPr>
        <w:t>本项目</w:t>
      </w:r>
      <w:r>
        <w:rPr>
          <w:b/>
          <w:szCs w:val="21"/>
        </w:rPr>
        <w:t>的试验和检测仪器设备表</w:t>
      </w:r>
      <w:bookmarkEnd w:id="238"/>
      <w:bookmarkEnd w:id="239"/>
      <w:bookmarkEnd w:id="240"/>
    </w:p>
    <w:p w14:paraId="2D6EB2B5">
      <w:pPr>
        <w:keepNext/>
        <w:keepLines/>
        <w:spacing w:before="20" w:line="200" w:lineRule="exact"/>
        <w:ind w:firstLine="103" w:firstLineChars="49"/>
        <w:rPr>
          <w:b/>
          <w:szCs w:val="21"/>
        </w:rPr>
      </w:pPr>
      <w:r>
        <w:rPr>
          <w:b/>
          <w:szCs w:val="21"/>
        </w:rPr>
        <w:t>Annexe II : Liste des instruments et équipements d'essai et d'inspection à prévoir pour le projet</w:t>
      </w:r>
    </w:p>
    <w:p w14:paraId="0ACAA3AC">
      <w:pPr>
        <w:keepNext/>
        <w:keepLines/>
        <w:spacing w:before="20" w:line="200" w:lineRule="exact"/>
        <w:ind w:firstLine="103" w:firstLineChars="49"/>
        <w:rPr>
          <w:b/>
          <w:szCs w:val="21"/>
        </w:rPr>
      </w:pPr>
    </w:p>
    <w:tbl>
      <w:tblPr>
        <w:tblStyle w:val="34"/>
        <w:tblW w:w="0" w:type="auto"/>
        <w:tblInd w:w="0" w:type="dxa"/>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Layout w:type="fixed"/>
        <w:tblCellMar>
          <w:top w:w="0" w:type="dxa"/>
          <w:left w:w="108" w:type="dxa"/>
          <w:bottom w:w="0" w:type="dxa"/>
          <w:right w:w="108" w:type="dxa"/>
        </w:tblCellMar>
      </w:tblPr>
      <w:tblGrid>
        <w:gridCol w:w="648"/>
        <w:gridCol w:w="1504"/>
        <w:gridCol w:w="1078"/>
        <w:gridCol w:w="649"/>
        <w:gridCol w:w="1078"/>
        <w:gridCol w:w="1193"/>
        <w:gridCol w:w="1573"/>
        <w:gridCol w:w="1016"/>
        <w:gridCol w:w="831"/>
      </w:tblGrid>
      <w:tr w14:paraId="4A274DC4">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1320" w:hRule="atLeast"/>
        </w:trPr>
        <w:tc>
          <w:tcPr>
            <w:tcW w:w="648" w:type="dxa"/>
            <w:vAlign w:val="center"/>
          </w:tcPr>
          <w:p w14:paraId="1AF5AFC4">
            <w:pPr>
              <w:jc w:val="center"/>
            </w:pPr>
            <w:r>
              <w:t>序号</w:t>
            </w:r>
          </w:p>
          <w:p w14:paraId="5E64A11B">
            <w:pPr>
              <w:jc w:val="center"/>
            </w:pPr>
            <w:r>
              <w:rPr>
                <w:rFonts w:hint="eastAsia"/>
              </w:rPr>
              <w:t>N</w:t>
            </w:r>
          </w:p>
        </w:tc>
        <w:tc>
          <w:tcPr>
            <w:tcW w:w="1504" w:type="dxa"/>
            <w:vAlign w:val="center"/>
          </w:tcPr>
          <w:p w14:paraId="55857DC5">
            <w:pPr>
              <w:jc w:val="center"/>
            </w:pPr>
            <w:r>
              <w:t>仪器设备名称</w:t>
            </w:r>
          </w:p>
          <w:p w14:paraId="7D36DD28">
            <w:pPr>
              <w:jc w:val="center"/>
            </w:pPr>
            <w:r>
              <w:t>Nom de l'instrument</w:t>
            </w:r>
          </w:p>
          <w:p w14:paraId="3CCF4BA1">
            <w:pPr>
              <w:jc w:val="center"/>
            </w:pPr>
          </w:p>
        </w:tc>
        <w:tc>
          <w:tcPr>
            <w:tcW w:w="1078" w:type="dxa"/>
            <w:vAlign w:val="center"/>
          </w:tcPr>
          <w:p w14:paraId="77954251">
            <w:pPr>
              <w:jc w:val="center"/>
            </w:pPr>
            <w:r>
              <w:t>型号规格</w:t>
            </w:r>
          </w:p>
          <w:p w14:paraId="341E0DAB">
            <w:pPr>
              <w:jc w:val="center"/>
            </w:pPr>
            <w:r>
              <w:t>Modèle</w:t>
            </w:r>
          </w:p>
          <w:p w14:paraId="7FFF36DA">
            <w:pPr>
              <w:jc w:val="center"/>
            </w:pPr>
            <w:r>
              <w:t>Spécification</w:t>
            </w:r>
          </w:p>
          <w:p w14:paraId="7CE85250">
            <w:pPr>
              <w:jc w:val="center"/>
            </w:pPr>
          </w:p>
        </w:tc>
        <w:tc>
          <w:tcPr>
            <w:tcW w:w="649" w:type="dxa"/>
            <w:vAlign w:val="center"/>
          </w:tcPr>
          <w:p w14:paraId="77AAB07C">
            <w:pPr>
              <w:jc w:val="center"/>
            </w:pPr>
            <w:r>
              <w:t>数量</w:t>
            </w:r>
          </w:p>
          <w:p w14:paraId="6A4174C3">
            <w:pPr>
              <w:jc w:val="center"/>
            </w:pPr>
            <w:r>
              <w:t>quantités</w:t>
            </w:r>
          </w:p>
          <w:p w14:paraId="6C295672">
            <w:pPr>
              <w:jc w:val="center"/>
            </w:pPr>
          </w:p>
        </w:tc>
        <w:tc>
          <w:tcPr>
            <w:tcW w:w="1078" w:type="dxa"/>
            <w:vAlign w:val="center"/>
          </w:tcPr>
          <w:p w14:paraId="08E64C0D">
            <w:pPr>
              <w:jc w:val="center"/>
            </w:pPr>
            <w:r>
              <w:t>国别产地</w:t>
            </w:r>
          </w:p>
          <w:p w14:paraId="06005349">
            <w:pPr>
              <w:jc w:val="center"/>
            </w:pPr>
            <w:r>
              <w:t>Pays d'origine</w:t>
            </w:r>
          </w:p>
          <w:p w14:paraId="5587D2B6">
            <w:pPr>
              <w:jc w:val="center"/>
            </w:pPr>
            <w:r>
              <w:t>Lieu d'origine</w:t>
            </w:r>
          </w:p>
          <w:p w14:paraId="56AB7CFD">
            <w:pPr>
              <w:jc w:val="center"/>
            </w:pPr>
          </w:p>
        </w:tc>
        <w:tc>
          <w:tcPr>
            <w:tcW w:w="1193" w:type="dxa"/>
            <w:vAlign w:val="center"/>
          </w:tcPr>
          <w:p w14:paraId="0BE6CCD5">
            <w:pPr>
              <w:jc w:val="center"/>
            </w:pPr>
            <w:r>
              <w:t>制造年份</w:t>
            </w:r>
          </w:p>
          <w:p w14:paraId="304CAF78">
            <w:pPr>
              <w:jc w:val="center"/>
            </w:pPr>
            <w:r>
              <w:t>Fabrication</w:t>
            </w:r>
          </w:p>
          <w:p w14:paraId="08F448E4">
            <w:pPr>
              <w:jc w:val="center"/>
            </w:pPr>
            <w:r>
              <w:t>Année</w:t>
            </w:r>
          </w:p>
          <w:p w14:paraId="1E9D1272">
            <w:pPr>
              <w:jc w:val="center"/>
            </w:pPr>
          </w:p>
        </w:tc>
        <w:tc>
          <w:tcPr>
            <w:tcW w:w="1573" w:type="dxa"/>
            <w:vAlign w:val="center"/>
          </w:tcPr>
          <w:p w14:paraId="0AD95B10">
            <w:pPr>
              <w:jc w:val="center"/>
            </w:pPr>
            <w:r>
              <w:t>己使用台时数</w:t>
            </w:r>
          </w:p>
          <w:p w14:paraId="4F871867">
            <w:pPr>
              <w:jc w:val="center"/>
            </w:pPr>
            <w:r>
              <w:t>Nombre d'heures d'utilisation</w:t>
            </w:r>
          </w:p>
          <w:p w14:paraId="0CC00BFA">
            <w:pPr>
              <w:jc w:val="center"/>
            </w:pPr>
          </w:p>
        </w:tc>
        <w:tc>
          <w:tcPr>
            <w:tcW w:w="1016" w:type="dxa"/>
            <w:vAlign w:val="center"/>
          </w:tcPr>
          <w:p w14:paraId="3E982028">
            <w:pPr>
              <w:jc w:val="center"/>
            </w:pPr>
            <w:r>
              <w:t>用途</w:t>
            </w:r>
          </w:p>
          <w:p w14:paraId="6D166A0E">
            <w:pPr>
              <w:jc w:val="center"/>
            </w:pPr>
            <w:r>
              <w:t>utiliser</w:t>
            </w:r>
          </w:p>
          <w:p w14:paraId="0FEF9EE3">
            <w:pPr>
              <w:jc w:val="center"/>
            </w:pPr>
          </w:p>
        </w:tc>
        <w:tc>
          <w:tcPr>
            <w:tcW w:w="831" w:type="dxa"/>
            <w:vAlign w:val="center"/>
          </w:tcPr>
          <w:p w14:paraId="76AF316B">
            <w:pPr>
              <w:jc w:val="center"/>
            </w:pPr>
            <w:r>
              <w:t>备注</w:t>
            </w:r>
          </w:p>
          <w:p w14:paraId="3A07D699">
            <w:pPr>
              <w:jc w:val="center"/>
            </w:pPr>
            <w:r>
              <w:t>note</w:t>
            </w:r>
          </w:p>
          <w:p w14:paraId="59C087D1">
            <w:pPr>
              <w:jc w:val="center"/>
            </w:pPr>
          </w:p>
        </w:tc>
      </w:tr>
      <w:tr w14:paraId="078BCCCA">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648" w:type="dxa"/>
            <w:vAlign w:val="center"/>
          </w:tcPr>
          <w:p w14:paraId="60DF472C">
            <w:pPr>
              <w:spacing w:line="360" w:lineRule="auto"/>
              <w:ind w:firstLine="420" w:firstLineChars="200"/>
              <w:rPr>
                <w:szCs w:val="21"/>
              </w:rPr>
            </w:pPr>
          </w:p>
        </w:tc>
        <w:tc>
          <w:tcPr>
            <w:tcW w:w="1504" w:type="dxa"/>
            <w:vAlign w:val="center"/>
          </w:tcPr>
          <w:p w14:paraId="70BA3D32">
            <w:pPr>
              <w:spacing w:line="360" w:lineRule="auto"/>
              <w:ind w:firstLine="420" w:firstLineChars="200"/>
              <w:rPr>
                <w:szCs w:val="21"/>
              </w:rPr>
            </w:pPr>
          </w:p>
        </w:tc>
        <w:tc>
          <w:tcPr>
            <w:tcW w:w="1078" w:type="dxa"/>
            <w:vAlign w:val="center"/>
          </w:tcPr>
          <w:p w14:paraId="33CA9BAE">
            <w:pPr>
              <w:spacing w:line="360" w:lineRule="auto"/>
              <w:ind w:firstLine="420" w:firstLineChars="200"/>
              <w:rPr>
                <w:szCs w:val="21"/>
              </w:rPr>
            </w:pPr>
          </w:p>
        </w:tc>
        <w:tc>
          <w:tcPr>
            <w:tcW w:w="649" w:type="dxa"/>
            <w:vAlign w:val="center"/>
          </w:tcPr>
          <w:p w14:paraId="7EC32711">
            <w:pPr>
              <w:spacing w:line="360" w:lineRule="auto"/>
              <w:ind w:firstLine="420" w:firstLineChars="200"/>
              <w:rPr>
                <w:szCs w:val="21"/>
              </w:rPr>
            </w:pPr>
          </w:p>
        </w:tc>
        <w:tc>
          <w:tcPr>
            <w:tcW w:w="1078" w:type="dxa"/>
            <w:vAlign w:val="center"/>
          </w:tcPr>
          <w:p w14:paraId="1FBEB49C">
            <w:pPr>
              <w:spacing w:line="360" w:lineRule="auto"/>
              <w:ind w:firstLine="420" w:firstLineChars="200"/>
              <w:rPr>
                <w:szCs w:val="21"/>
              </w:rPr>
            </w:pPr>
          </w:p>
        </w:tc>
        <w:tc>
          <w:tcPr>
            <w:tcW w:w="1193" w:type="dxa"/>
            <w:vAlign w:val="center"/>
          </w:tcPr>
          <w:p w14:paraId="72237AD8">
            <w:pPr>
              <w:spacing w:line="360" w:lineRule="auto"/>
              <w:ind w:firstLine="420" w:firstLineChars="200"/>
              <w:rPr>
                <w:szCs w:val="21"/>
              </w:rPr>
            </w:pPr>
          </w:p>
        </w:tc>
        <w:tc>
          <w:tcPr>
            <w:tcW w:w="1573" w:type="dxa"/>
            <w:vAlign w:val="center"/>
          </w:tcPr>
          <w:p w14:paraId="562C96D2">
            <w:pPr>
              <w:spacing w:line="360" w:lineRule="auto"/>
              <w:ind w:firstLine="420" w:firstLineChars="200"/>
              <w:rPr>
                <w:szCs w:val="21"/>
              </w:rPr>
            </w:pPr>
          </w:p>
        </w:tc>
        <w:tc>
          <w:tcPr>
            <w:tcW w:w="1016" w:type="dxa"/>
            <w:vAlign w:val="center"/>
          </w:tcPr>
          <w:p w14:paraId="07A2D4ED">
            <w:pPr>
              <w:spacing w:line="360" w:lineRule="auto"/>
              <w:ind w:firstLine="420" w:firstLineChars="200"/>
              <w:rPr>
                <w:szCs w:val="21"/>
              </w:rPr>
            </w:pPr>
          </w:p>
        </w:tc>
        <w:tc>
          <w:tcPr>
            <w:tcW w:w="831" w:type="dxa"/>
            <w:vAlign w:val="center"/>
          </w:tcPr>
          <w:p w14:paraId="0CCF4B63">
            <w:pPr>
              <w:spacing w:line="360" w:lineRule="auto"/>
              <w:ind w:firstLine="420" w:firstLineChars="200"/>
              <w:rPr>
                <w:szCs w:val="21"/>
              </w:rPr>
            </w:pPr>
          </w:p>
        </w:tc>
      </w:tr>
      <w:tr w14:paraId="185C3173">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648" w:type="dxa"/>
            <w:vAlign w:val="center"/>
          </w:tcPr>
          <w:p w14:paraId="193C2139">
            <w:pPr>
              <w:spacing w:line="360" w:lineRule="auto"/>
              <w:ind w:firstLine="420" w:firstLineChars="200"/>
              <w:rPr>
                <w:szCs w:val="21"/>
              </w:rPr>
            </w:pPr>
          </w:p>
        </w:tc>
        <w:tc>
          <w:tcPr>
            <w:tcW w:w="1504" w:type="dxa"/>
            <w:vAlign w:val="center"/>
          </w:tcPr>
          <w:p w14:paraId="32D35842">
            <w:pPr>
              <w:spacing w:line="360" w:lineRule="auto"/>
              <w:ind w:firstLine="420" w:firstLineChars="200"/>
              <w:rPr>
                <w:szCs w:val="21"/>
              </w:rPr>
            </w:pPr>
          </w:p>
        </w:tc>
        <w:tc>
          <w:tcPr>
            <w:tcW w:w="1078" w:type="dxa"/>
            <w:vAlign w:val="center"/>
          </w:tcPr>
          <w:p w14:paraId="70ED9991">
            <w:pPr>
              <w:spacing w:line="360" w:lineRule="auto"/>
              <w:ind w:firstLine="420" w:firstLineChars="200"/>
              <w:rPr>
                <w:szCs w:val="21"/>
              </w:rPr>
            </w:pPr>
          </w:p>
        </w:tc>
        <w:tc>
          <w:tcPr>
            <w:tcW w:w="649" w:type="dxa"/>
            <w:vAlign w:val="center"/>
          </w:tcPr>
          <w:p w14:paraId="6629355A">
            <w:pPr>
              <w:spacing w:line="360" w:lineRule="auto"/>
              <w:ind w:firstLine="420" w:firstLineChars="200"/>
              <w:rPr>
                <w:szCs w:val="21"/>
              </w:rPr>
            </w:pPr>
          </w:p>
        </w:tc>
        <w:tc>
          <w:tcPr>
            <w:tcW w:w="1078" w:type="dxa"/>
            <w:vAlign w:val="center"/>
          </w:tcPr>
          <w:p w14:paraId="55F0AA44">
            <w:pPr>
              <w:spacing w:line="360" w:lineRule="auto"/>
              <w:ind w:firstLine="420" w:firstLineChars="200"/>
              <w:rPr>
                <w:szCs w:val="21"/>
              </w:rPr>
            </w:pPr>
          </w:p>
        </w:tc>
        <w:tc>
          <w:tcPr>
            <w:tcW w:w="1193" w:type="dxa"/>
            <w:vAlign w:val="center"/>
          </w:tcPr>
          <w:p w14:paraId="0CC0D41D">
            <w:pPr>
              <w:spacing w:line="360" w:lineRule="auto"/>
              <w:ind w:firstLine="420" w:firstLineChars="200"/>
              <w:rPr>
                <w:szCs w:val="21"/>
              </w:rPr>
            </w:pPr>
          </w:p>
        </w:tc>
        <w:tc>
          <w:tcPr>
            <w:tcW w:w="1573" w:type="dxa"/>
            <w:vAlign w:val="center"/>
          </w:tcPr>
          <w:p w14:paraId="5C96151B">
            <w:pPr>
              <w:spacing w:line="360" w:lineRule="auto"/>
              <w:ind w:firstLine="420" w:firstLineChars="200"/>
              <w:rPr>
                <w:szCs w:val="21"/>
              </w:rPr>
            </w:pPr>
          </w:p>
        </w:tc>
        <w:tc>
          <w:tcPr>
            <w:tcW w:w="1016" w:type="dxa"/>
            <w:vAlign w:val="center"/>
          </w:tcPr>
          <w:p w14:paraId="04B48BF9">
            <w:pPr>
              <w:spacing w:line="360" w:lineRule="auto"/>
              <w:ind w:firstLine="420" w:firstLineChars="200"/>
              <w:rPr>
                <w:szCs w:val="21"/>
              </w:rPr>
            </w:pPr>
          </w:p>
        </w:tc>
        <w:tc>
          <w:tcPr>
            <w:tcW w:w="831" w:type="dxa"/>
            <w:vAlign w:val="center"/>
          </w:tcPr>
          <w:p w14:paraId="1D6A76CC">
            <w:pPr>
              <w:spacing w:line="360" w:lineRule="auto"/>
              <w:ind w:firstLine="420" w:firstLineChars="200"/>
              <w:rPr>
                <w:szCs w:val="21"/>
              </w:rPr>
            </w:pPr>
          </w:p>
        </w:tc>
      </w:tr>
      <w:tr w14:paraId="7F60977E">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648" w:type="dxa"/>
            <w:vAlign w:val="center"/>
          </w:tcPr>
          <w:p w14:paraId="23E1CB3E">
            <w:pPr>
              <w:spacing w:line="360" w:lineRule="auto"/>
              <w:ind w:firstLine="420" w:firstLineChars="200"/>
              <w:rPr>
                <w:szCs w:val="21"/>
              </w:rPr>
            </w:pPr>
          </w:p>
        </w:tc>
        <w:tc>
          <w:tcPr>
            <w:tcW w:w="1504" w:type="dxa"/>
            <w:vAlign w:val="center"/>
          </w:tcPr>
          <w:p w14:paraId="283EC16C">
            <w:pPr>
              <w:spacing w:line="360" w:lineRule="auto"/>
              <w:ind w:firstLine="420" w:firstLineChars="200"/>
              <w:rPr>
                <w:szCs w:val="21"/>
              </w:rPr>
            </w:pPr>
          </w:p>
        </w:tc>
        <w:tc>
          <w:tcPr>
            <w:tcW w:w="1078" w:type="dxa"/>
            <w:vAlign w:val="center"/>
          </w:tcPr>
          <w:p w14:paraId="0A8F130C">
            <w:pPr>
              <w:spacing w:line="360" w:lineRule="auto"/>
              <w:ind w:firstLine="420" w:firstLineChars="200"/>
              <w:rPr>
                <w:szCs w:val="21"/>
              </w:rPr>
            </w:pPr>
          </w:p>
        </w:tc>
        <w:tc>
          <w:tcPr>
            <w:tcW w:w="649" w:type="dxa"/>
            <w:vAlign w:val="center"/>
          </w:tcPr>
          <w:p w14:paraId="2DDA596D">
            <w:pPr>
              <w:spacing w:line="360" w:lineRule="auto"/>
              <w:ind w:firstLine="420" w:firstLineChars="200"/>
              <w:rPr>
                <w:szCs w:val="21"/>
              </w:rPr>
            </w:pPr>
          </w:p>
        </w:tc>
        <w:tc>
          <w:tcPr>
            <w:tcW w:w="1078" w:type="dxa"/>
            <w:vAlign w:val="center"/>
          </w:tcPr>
          <w:p w14:paraId="2CA56891">
            <w:pPr>
              <w:spacing w:line="360" w:lineRule="auto"/>
              <w:ind w:firstLine="420" w:firstLineChars="200"/>
              <w:rPr>
                <w:szCs w:val="21"/>
              </w:rPr>
            </w:pPr>
          </w:p>
        </w:tc>
        <w:tc>
          <w:tcPr>
            <w:tcW w:w="1193" w:type="dxa"/>
            <w:vAlign w:val="center"/>
          </w:tcPr>
          <w:p w14:paraId="60A93E78">
            <w:pPr>
              <w:spacing w:line="360" w:lineRule="auto"/>
              <w:ind w:firstLine="420" w:firstLineChars="200"/>
              <w:rPr>
                <w:szCs w:val="21"/>
              </w:rPr>
            </w:pPr>
          </w:p>
        </w:tc>
        <w:tc>
          <w:tcPr>
            <w:tcW w:w="1573" w:type="dxa"/>
            <w:vAlign w:val="center"/>
          </w:tcPr>
          <w:p w14:paraId="57CE597C">
            <w:pPr>
              <w:spacing w:line="360" w:lineRule="auto"/>
              <w:ind w:firstLine="420" w:firstLineChars="200"/>
              <w:rPr>
                <w:szCs w:val="21"/>
              </w:rPr>
            </w:pPr>
          </w:p>
        </w:tc>
        <w:tc>
          <w:tcPr>
            <w:tcW w:w="1016" w:type="dxa"/>
            <w:vAlign w:val="center"/>
          </w:tcPr>
          <w:p w14:paraId="224BC65C">
            <w:pPr>
              <w:spacing w:line="360" w:lineRule="auto"/>
              <w:ind w:firstLine="420" w:firstLineChars="200"/>
              <w:rPr>
                <w:szCs w:val="21"/>
              </w:rPr>
            </w:pPr>
          </w:p>
        </w:tc>
        <w:tc>
          <w:tcPr>
            <w:tcW w:w="831" w:type="dxa"/>
            <w:vAlign w:val="center"/>
          </w:tcPr>
          <w:p w14:paraId="500588DE">
            <w:pPr>
              <w:spacing w:line="360" w:lineRule="auto"/>
              <w:ind w:firstLine="420" w:firstLineChars="200"/>
              <w:rPr>
                <w:szCs w:val="21"/>
              </w:rPr>
            </w:pPr>
          </w:p>
        </w:tc>
      </w:tr>
      <w:tr w14:paraId="4AFFED73">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648" w:type="dxa"/>
            <w:vAlign w:val="center"/>
          </w:tcPr>
          <w:p w14:paraId="37A0BDBA">
            <w:pPr>
              <w:spacing w:line="360" w:lineRule="auto"/>
              <w:ind w:firstLine="420" w:firstLineChars="200"/>
              <w:rPr>
                <w:szCs w:val="21"/>
              </w:rPr>
            </w:pPr>
          </w:p>
        </w:tc>
        <w:tc>
          <w:tcPr>
            <w:tcW w:w="1504" w:type="dxa"/>
            <w:vAlign w:val="center"/>
          </w:tcPr>
          <w:p w14:paraId="2C9B5346">
            <w:pPr>
              <w:spacing w:line="360" w:lineRule="auto"/>
              <w:ind w:firstLine="420" w:firstLineChars="200"/>
              <w:rPr>
                <w:szCs w:val="21"/>
              </w:rPr>
            </w:pPr>
          </w:p>
        </w:tc>
        <w:tc>
          <w:tcPr>
            <w:tcW w:w="1078" w:type="dxa"/>
            <w:vAlign w:val="center"/>
          </w:tcPr>
          <w:p w14:paraId="5DD681F0">
            <w:pPr>
              <w:spacing w:line="360" w:lineRule="auto"/>
              <w:ind w:firstLine="420" w:firstLineChars="200"/>
              <w:rPr>
                <w:szCs w:val="21"/>
              </w:rPr>
            </w:pPr>
          </w:p>
        </w:tc>
        <w:tc>
          <w:tcPr>
            <w:tcW w:w="649" w:type="dxa"/>
            <w:vAlign w:val="center"/>
          </w:tcPr>
          <w:p w14:paraId="0943C868">
            <w:pPr>
              <w:spacing w:line="360" w:lineRule="auto"/>
              <w:ind w:firstLine="420" w:firstLineChars="200"/>
              <w:rPr>
                <w:szCs w:val="21"/>
              </w:rPr>
            </w:pPr>
          </w:p>
        </w:tc>
        <w:tc>
          <w:tcPr>
            <w:tcW w:w="1078" w:type="dxa"/>
            <w:vAlign w:val="center"/>
          </w:tcPr>
          <w:p w14:paraId="086BE6B2">
            <w:pPr>
              <w:spacing w:line="360" w:lineRule="auto"/>
              <w:ind w:firstLine="420" w:firstLineChars="200"/>
              <w:rPr>
                <w:szCs w:val="21"/>
              </w:rPr>
            </w:pPr>
          </w:p>
        </w:tc>
        <w:tc>
          <w:tcPr>
            <w:tcW w:w="1193" w:type="dxa"/>
            <w:vAlign w:val="center"/>
          </w:tcPr>
          <w:p w14:paraId="2E7DF4E2">
            <w:pPr>
              <w:spacing w:line="360" w:lineRule="auto"/>
              <w:ind w:firstLine="420" w:firstLineChars="200"/>
              <w:rPr>
                <w:szCs w:val="21"/>
              </w:rPr>
            </w:pPr>
          </w:p>
        </w:tc>
        <w:tc>
          <w:tcPr>
            <w:tcW w:w="1573" w:type="dxa"/>
            <w:vAlign w:val="center"/>
          </w:tcPr>
          <w:p w14:paraId="3128611D">
            <w:pPr>
              <w:spacing w:line="360" w:lineRule="auto"/>
              <w:ind w:firstLine="420" w:firstLineChars="200"/>
              <w:rPr>
                <w:szCs w:val="21"/>
              </w:rPr>
            </w:pPr>
          </w:p>
        </w:tc>
        <w:tc>
          <w:tcPr>
            <w:tcW w:w="1016" w:type="dxa"/>
            <w:vAlign w:val="center"/>
          </w:tcPr>
          <w:p w14:paraId="7522554C">
            <w:pPr>
              <w:spacing w:line="360" w:lineRule="auto"/>
              <w:ind w:firstLine="420" w:firstLineChars="200"/>
              <w:rPr>
                <w:szCs w:val="21"/>
              </w:rPr>
            </w:pPr>
          </w:p>
        </w:tc>
        <w:tc>
          <w:tcPr>
            <w:tcW w:w="831" w:type="dxa"/>
            <w:vAlign w:val="center"/>
          </w:tcPr>
          <w:p w14:paraId="412F348D">
            <w:pPr>
              <w:spacing w:line="360" w:lineRule="auto"/>
              <w:ind w:firstLine="420" w:firstLineChars="200"/>
              <w:rPr>
                <w:szCs w:val="21"/>
              </w:rPr>
            </w:pPr>
          </w:p>
        </w:tc>
      </w:tr>
      <w:tr w14:paraId="4854B994">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648" w:type="dxa"/>
            <w:vAlign w:val="center"/>
          </w:tcPr>
          <w:p w14:paraId="574521A7">
            <w:pPr>
              <w:spacing w:line="360" w:lineRule="auto"/>
              <w:ind w:firstLine="420" w:firstLineChars="200"/>
              <w:rPr>
                <w:szCs w:val="21"/>
              </w:rPr>
            </w:pPr>
          </w:p>
        </w:tc>
        <w:tc>
          <w:tcPr>
            <w:tcW w:w="1504" w:type="dxa"/>
            <w:vAlign w:val="center"/>
          </w:tcPr>
          <w:p w14:paraId="1228EB72">
            <w:pPr>
              <w:spacing w:line="360" w:lineRule="auto"/>
              <w:ind w:firstLine="420" w:firstLineChars="200"/>
              <w:rPr>
                <w:szCs w:val="21"/>
              </w:rPr>
            </w:pPr>
          </w:p>
        </w:tc>
        <w:tc>
          <w:tcPr>
            <w:tcW w:w="1078" w:type="dxa"/>
            <w:vAlign w:val="center"/>
          </w:tcPr>
          <w:p w14:paraId="46DD3DD8">
            <w:pPr>
              <w:spacing w:line="360" w:lineRule="auto"/>
              <w:ind w:firstLine="420" w:firstLineChars="200"/>
              <w:rPr>
                <w:szCs w:val="21"/>
              </w:rPr>
            </w:pPr>
          </w:p>
        </w:tc>
        <w:tc>
          <w:tcPr>
            <w:tcW w:w="649" w:type="dxa"/>
            <w:vAlign w:val="center"/>
          </w:tcPr>
          <w:p w14:paraId="309A619C">
            <w:pPr>
              <w:spacing w:line="360" w:lineRule="auto"/>
              <w:ind w:firstLine="420" w:firstLineChars="200"/>
              <w:rPr>
                <w:szCs w:val="21"/>
              </w:rPr>
            </w:pPr>
          </w:p>
        </w:tc>
        <w:tc>
          <w:tcPr>
            <w:tcW w:w="1078" w:type="dxa"/>
            <w:vAlign w:val="center"/>
          </w:tcPr>
          <w:p w14:paraId="2D9F64DB">
            <w:pPr>
              <w:spacing w:line="360" w:lineRule="auto"/>
              <w:ind w:firstLine="420" w:firstLineChars="200"/>
              <w:rPr>
                <w:szCs w:val="21"/>
              </w:rPr>
            </w:pPr>
          </w:p>
        </w:tc>
        <w:tc>
          <w:tcPr>
            <w:tcW w:w="1193" w:type="dxa"/>
            <w:vAlign w:val="center"/>
          </w:tcPr>
          <w:p w14:paraId="56ECEE76">
            <w:pPr>
              <w:spacing w:line="360" w:lineRule="auto"/>
              <w:ind w:firstLine="420" w:firstLineChars="200"/>
              <w:rPr>
                <w:szCs w:val="21"/>
              </w:rPr>
            </w:pPr>
          </w:p>
        </w:tc>
        <w:tc>
          <w:tcPr>
            <w:tcW w:w="1573" w:type="dxa"/>
            <w:vAlign w:val="center"/>
          </w:tcPr>
          <w:p w14:paraId="5A851AF4">
            <w:pPr>
              <w:spacing w:line="360" w:lineRule="auto"/>
              <w:ind w:firstLine="420" w:firstLineChars="200"/>
              <w:rPr>
                <w:szCs w:val="21"/>
              </w:rPr>
            </w:pPr>
          </w:p>
        </w:tc>
        <w:tc>
          <w:tcPr>
            <w:tcW w:w="1016" w:type="dxa"/>
            <w:vAlign w:val="center"/>
          </w:tcPr>
          <w:p w14:paraId="3F67E6AC">
            <w:pPr>
              <w:spacing w:line="360" w:lineRule="auto"/>
              <w:ind w:firstLine="420" w:firstLineChars="200"/>
              <w:rPr>
                <w:szCs w:val="21"/>
              </w:rPr>
            </w:pPr>
          </w:p>
        </w:tc>
        <w:tc>
          <w:tcPr>
            <w:tcW w:w="831" w:type="dxa"/>
            <w:vAlign w:val="center"/>
          </w:tcPr>
          <w:p w14:paraId="10091AC5">
            <w:pPr>
              <w:spacing w:line="360" w:lineRule="auto"/>
              <w:ind w:firstLine="420" w:firstLineChars="200"/>
              <w:rPr>
                <w:szCs w:val="21"/>
              </w:rPr>
            </w:pPr>
          </w:p>
        </w:tc>
      </w:tr>
      <w:tr w14:paraId="3F806D5B">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648" w:type="dxa"/>
            <w:vAlign w:val="center"/>
          </w:tcPr>
          <w:p w14:paraId="75603D93">
            <w:pPr>
              <w:spacing w:line="360" w:lineRule="auto"/>
              <w:ind w:firstLine="420" w:firstLineChars="200"/>
              <w:rPr>
                <w:szCs w:val="21"/>
              </w:rPr>
            </w:pPr>
          </w:p>
        </w:tc>
        <w:tc>
          <w:tcPr>
            <w:tcW w:w="1504" w:type="dxa"/>
            <w:vAlign w:val="center"/>
          </w:tcPr>
          <w:p w14:paraId="0827364E">
            <w:pPr>
              <w:spacing w:line="360" w:lineRule="auto"/>
              <w:ind w:firstLine="420" w:firstLineChars="200"/>
              <w:rPr>
                <w:szCs w:val="21"/>
              </w:rPr>
            </w:pPr>
          </w:p>
        </w:tc>
        <w:tc>
          <w:tcPr>
            <w:tcW w:w="1078" w:type="dxa"/>
            <w:vAlign w:val="center"/>
          </w:tcPr>
          <w:p w14:paraId="635AF23A">
            <w:pPr>
              <w:spacing w:line="360" w:lineRule="auto"/>
              <w:ind w:firstLine="420" w:firstLineChars="200"/>
              <w:rPr>
                <w:szCs w:val="21"/>
              </w:rPr>
            </w:pPr>
          </w:p>
        </w:tc>
        <w:tc>
          <w:tcPr>
            <w:tcW w:w="649" w:type="dxa"/>
            <w:vAlign w:val="center"/>
          </w:tcPr>
          <w:p w14:paraId="330B7523">
            <w:pPr>
              <w:spacing w:line="360" w:lineRule="auto"/>
              <w:ind w:firstLine="420" w:firstLineChars="200"/>
              <w:rPr>
                <w:szCs w:val="21"/>
              </w:rPr>
            </w:pPr>
          </w:p>
        </w:tc>
        <w:tc>
          <w:tcPr>
            <w:tcW w:w="1078" w:type="dxa"/>
            <w:vAlign w:val="center"/>
          </w:tcPr>
          <w:p w14:paraId="59997FED">
            <w:pPr>
              <w:spacing w:line="360" w:lineRule="auto"/>
              <w:ind w:firstLine="420" w:firstLineChars="200"/>
              <w:rPr>
                <w:szCs w:val="21"/>
              </w:rPr>
            </w:pPr>
          </w:p>
        </w:tc>
        <w:tc>
          <w:tcPr>
            <w:tcW w:w="1193" w:type="dxa"/>
            <w:vAlign w:val="center"/>
          </w:tcPr>
          <w:p w14:paraId="70CD9A7C">
            <w:pPr>
              <w:spacing w:line="360" w:lineRule="auto"/>
              <w:ind w:firstLine="420" w:firstLineChars="200"/>
              <w:rPr>
                <w:szCs w:val="21"/>
              </w:rPr>
            </w:pPr>
          </w:p>
        </w:tc>
        <w:tc>
          <w:tcPr>
            <w:tcW w:w="1573" w:type="dxa"/>
            <w:vAlign w:val="center"/>
          </w:tcPr>
          <w:p w14:paraId="1AAC7CC3">
            <w:pPr>
              <w:spacing w:line="360" w:lineRule="auto"/>
              <w:ind w:firstLine="420" w:firstLineChars="200"/>
              <w:rPr>
                <w:szCs w:val="21"/>
              </w:rPr>
            </w:pPr>
          </w:p>
        </w:tc>
        <w:tc>
          <w:tcPr>
            <w:tcW w:w="1016" w:type="dxa"/>
            <w:vAlign w:val="center"/>
          </w:tcPr>
          <w:p w14:paraId="663B061A">
            <w:pPr>
              <w:spacing w:line="360" w:lineRule="auto"/>
              <w:ind w:firstLine="420" w:firstLineChars="200"/>
              <w:rPr>
                <w:szCs w:val="21"/>
              </w:rPr>
            </w:pPr>
          </w:p>
        </w:tc>
        <w:tc>
          <w:tcPr>
            <w:tcW w:w="831" w:type="dxa"/>
            <w:vAlign w:val="center"/>
          </w:tcPr>
          <w:p w14:paraId="0165F54E">
            <w:pPr>
              <w:spacing w:line="360" w:lineRule="auto"/>
              <w:ind w:firstLine="420" w:firstLineChars="200"/>
              <w:rPr>
                <w:szCs w:val="21"/>
              </w:rPr>
            </w:pPr>
          </w:p>
        </w:tc>
      </w:tr>
      <w:tr w14:paraId="61CE357D">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648" w:type="dxa"/>
            <w:vAlign w:val="center"/>
          </w:tcPr>
          <w:p w14:paraId="3CF0027E">
            <w:pPr>
              <w:spacing w:line="360" w:lineRule="auto"/>
              <w:ind w:firstLine="420" w:firstLineChars="200"/>
              <w:rPr>
                <w:szCs w:val="21"/>
              </w:rPr>
            </w:pPr>
          </w:p>
        </w:tc>
        <w:tc>
          <w:tcPr>
            <w:tcW w:w="1504" w:type="dxa"/>
            <w:vAlign w:val="center"/>
          </w:tcPr>
          <w:p w14:paraId="5E9C772F">
            <w:pPr>
              <w:spacing w:line="360" w:lineRule="auto"/>
              <w:ind w:firstLine="420" w:firstLineChars="200"/>
              <w:rPr>
                <w:szCs w:val="21"/>
              </w:rPr>
            </w:pPr>
          </w:p>
        </w:tc>
        <w:tc>
          <w:tcPr>
            <w:tcW w:w="1078" w:type="dxa"/>
            <w:vAlign w:val="center"/>
          </w:tcPr>
          <w:p w14:paraId="339536FE">
            <w:pPr>
              <w:spacing w:line="360" w:lineRule="auto"/>
              <w:ind w:firstLine="420" w:firstLineChars="200"/>
              <w:rPr>
                <w:szCs w:val="21"/>
              </w:rPr>
            </w:pPr>
          </w:p>
        </w:tc>
        <w:tc>
          <w:tcPr>
            <w:tcW w:w="649" w:type="dxa"/>
            <w:vAlign w:val="center"/>
          </w:tcPr>
          <w:p w14:paraId="7E6B7DD8">
            <w:pPr>
              <w:spacing w:line="360" w:lineRule="auto"/>
              <w:ind w:firstLine="420" w:firstLineChars="200"/>
              <w:rPr>
                <w:szCs w:val="21"/>
              </w:rPr>
            </w:pPr>
          </w:p>
        </w:tc>
        <w:tc>
          <w:tcPr>
            <w:tcW w:w="1078" w:type="dxa"/>
            <w:vAlign w:val="center"/>
          </w:tcPr>
          <w:p w14:paraId="7CC7C3EC">
            <w:pPr>
              <w:spacing w:line="360" w:lineRule="auto"/>
              <w:ind w:firstLine="420" w:firstLineChars="200"/>
              <w:rPr>
                <w:szCs w:val="21"/>
              </w:rPr>
            </w:pPr>
          </w:p>
        </w:tc>
        <w:tc>
          <w:tcPr>
            <w:tcW w:w="1193" w:type="dxa"/>
            <w:vAlign w:val="center"/>
          </w:tcPr>
          <w:p w14:paraId="16B429B3">
            <w:pPr>
              <w:spacing w:line="360" w:lineRule="auto"/>
              <w:ind w:firstLine="420" w:firstLineChars="200"/>
              <w:rPr>
                <w:szCs w:val="21"/>
              </w:rPr>
            </w:pPr>
          </w:p>
        </w:tc>
        <w:tc>
          <w:tcPr>
            <w:tcW w:w="1573" w:type="dxa"/>
            <w:vAlign w:val="center"/>
          </w:tcPr>
          <w:p w14:paraId="18B08056">
            <w:pPr>
              <w:spacing w:line="360" w:lineRule="auto"/>
              <w:ind w:firstLine="420" w:firstLineChars="200"/>
              <w:rPr>
                <w:szCs w:val="21"/>
              </w:rPr>
            </w:pPr>
          </w:p>
        </w:tc>
        <w:tc>
          <w:tcPr>
            <w:tcW w:w="1016" w:type="dxa"/>
            <w:vAlign w:val="center"/>
          </w:tcPr>
          <w:p w14:paraId="46382195">
            <w:pPr>
              <w:spacing w:line="360" w:lineRule="auto"/>
              <w:ind w:firstLine="420" w:firstLineChars="200"/>
              <w:rPr>
                <w:szCs w:val="21"/>
              </w:rPr>
            </w:pPr>
          </w:p>
        </w:tc>
        <w:tc>
          <w:tcPr>
            <w:tcW w:w="831" w:type="dxa"/>
            <w:vAlign w:val="center"/>
          </w:tcPr>
          <w:p w14:paraId="726D2FC3">
            <w:pPr>
              <w:spacing w:line="360" w:lineRule="auto"/>
              <w:ind w:firstLine="420" w:firstLineChars="200"/>
              <w:rPr>
                <w:szCs w:val="21"/>
              </w:rPr>
            </w:pPr>
          </w:p>
        </w:tc>
      </w:tr>
      <w:tr w14:paraId="6E954857">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648" w:type="dxa"/>
            <w:vAlign w:val="center"/>
          </w:tcPr>
          <w:p w14:paraId="3EE6DABF">
            <w:pPr>
              <w:spacing w:line="360" w:lineRule="auto"/>
              <w:ind w:firstLine="420" w:firstLineChars="200"/>
              <w:rPr>
                <w:szCs w:val="21"/>
              </w:rPr>
            </w:pPr>
          </w:p>
        </w:tc>
        <w:tc>
          <w:tcPr>
            <w:tcW w:w="1504" w:type="dxa"/>
            <w:vAlign w:val="center"/>
          </w:tcPr>
          <w:p w14:paraId="39629F2A">
            <w:pPr>
              <w:spacing w:line="360" w:lineRule="auto"/>
              <w:ind w:firstLine="420" w:firstLineChars="200"/>
              <w:rPr>
                <w:szCs w:val="21"/>
              </w:rPr>
            </w:pPr>
          </w:p>
        </w:tc>
        <w:tc>
          <w:tcPr>
            <w:tcW w:w="1078" w:type="dxa"/>
            <w:vAlign w:val="center"/>
          </w:tcPr>
          <w:p w14:paraId="1780D691">
            <w:pPr>
              <w:spacing w:line="360" w:lineRule="auto"/>
              <w:ind w:firstLine="420" w:firstLineChars="200"/>
              <w:rPr>
                <w:szCs w:val="21"/>
              </w:rPr>
            </w:pPr>
          </w:p>
        </w:tc>
        <w:tc>
          <w:tcPr>
            <w:tcW w:w="649" w:type="dxa"/>
            <w:vAlign w:val="center"/>
          </w:tcPr>
          <w:p w14:paraId="44B43704">
            <w:pPr>
              <w:spacing w:line="360" w:lineRule="auto"/>
              <w:ind w:firstLine="420" w:firstLineChars="200"/>
              <w:rPr>
                <w:szCs w:val="21"/>
              </w:rPr>
            </w:pPr>
          </w:p>
        </w:tc>
        <w:tc>
          <w:tcPr>
            <w:tcW w:w="1078" w:type="dxa"/>
            <w:vAlign w:val="center"/>
          </w:tcPr>
          <w:p w14:paraId="50AF7316">
            <w:pPr>
              <w:spacing w:line="360" w:lineRule="auto"/>
              <w:ind w:firstLine="420" w:firstLineChars="200"/>
              <w:rPr>
                <w:szCs w:val="21"/>
              </w:rPr>
            </w:pPr>
          </w:p>
        </w:tc>
        <w:tc>
          <w:tcPr>
            <w:tcW w:w="1193" w:type="dxa"/>
            <w:vAlign w:val="center"/>
          </w:tcPr>
          <w:p w14:paraId="75DEFCA3">
            <w:pPr>
              <w:spacing w:line="360" w:lineRule="auto"/>
              <w:ind w:firstLine="420" w:firstLineChars="200"/>
              <w:rPr>
                <w:szCs w:val="21"/>
              </w:rPr>
            </w:pPr>
          </w:p>
        </w:tc>
        <w:tc>
          <w:tcPr>
            <w:tcW w:w="1573" w:type="dxa"/>
            <w:vAlign w:val="center"/>
          </w:tcPr>
          <w:p w14:paraId="068EFDC4">
            <w:pPr>
              <w:spacing w:line="360" w:lineRule="auto"/>
              <w:ind w:firstLine="420" w:firstLineChars="200"/>
              <w:rPr>
                <w:szCs w:val="21"/>
              </w:rPr>
            </w:pPr>
          </w:p>
        </w:tc>
        <w:tc>
          <w:tcPr>
            <w:tcW w:w="1016" w:type="dxa"/>
            <w:vAlign w:val="center"/>
          </w:tcPr>
          <w:p w14:paraId="36AA081E">
            <w:pPr>
              <w:spacing w:line="360" w:lineRule="auto"/>
              <w:ind w:firstLine="420" w:firstLineChars="200"/>
              <w:rPr>
                <w:szCs w:val="21"/>
              </w:rPr>
            </w:pPr>
          </w:p>
        </w:tc>
        <w:tc>
          <w:tcPr>
            <w:tcW w:w="831" w:type="dxa"/>
            <w:vAlign w:val="center"/>
          </w:tcPr>
          <w:p w14:paraId="34063E6A">
            <w:pPr>
              <w:spacing w:line="360" w:lineRule="auto"/>
              <w:ind w:firstLine="420" w:firstLineChars="200"/>
              <w:rPr>
                <w:szCs w:val="21"/>
              </w:rPr>
            </w:pPr>
          </w:p>
        </w:tc>
      </w:tr>
      <w:tr w14:paraId="364FCB2A">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648" w:type="dxa"/>
            <w:vAlign w:val="center"/>
          </w:tcPr>
          <w:p w14:paraId="700517A8">
            <w:pPr>
              <w:spacing w:line="360" w:lineRule="auto"/>
              <w:ind w:firstLine="420" w:firstLineChars="200"/>
              <w:rPr>
                <w:szCs w:val="21"/>
              </w:rPr>
            </w:pPr>
          </w:p>
        </w:tc>
        <w:tc>
          <w:tcPr>
            <w:tcW w:w="1504" w:type="dxa"/>
            <w:vAlign w:val="center"/>
          </w:tcPr>
          <w:p w14:paraId="0E697129">
            <w:pPr>
              <w:spacing w:line="360" w:lineRule="auto"/>
              <w:ind w:firstLine="420" w:firstLineChars="200"/>
              <w:rPr>
                <w:szCs w:val="21"/>
              </w:rPr>
            </w:pPr>
          </w:p>
        </w:tc>
        <w:tc>
          <w:tcPr>
            <w:tcW w:w="1078" w:type="dxa"/>
            <w:vAlign w:val="center"/>
          </w:tcPr>
          <w:p w14:paraId="7E26DF5F">
            <w:pPr>
              <w:spacing w:line="360" w:lineRule="auto"/>
              <w:ind w:firstLine="420" w:firstLineChars="200"/>
              <w:rPr>
                <w:szCs w:val="21"/>
              </w:rPr>
            </w:pPr>
          </w:p>
        </w:tc>
        <w:tc>
          <w:tcPr>
            <w:tcW w:w="649" w:type="dxa"/>
            <w:vAlign w:val="center"/>
          </w:tcPr>
          <w:p w14:paraId="34544988">
            <w:pPr>
              <w:spacing w:line="360" w:lineRule="auto"/>
              <w:ind w:firstLine="420" w:firstLineChars="200"/>
              <w:rPr>
                <w:szCs w:val="21"/>
              </w:rPr>
            </w:pPr>
          </w:p>
        </w:tc>
        <w:tc>
          <w:tcPr>
            <w:tcW w:w="1078" w:type="dxa"/>
            <w:vAlign w:val="center"/>
          </w:tcPr>
          <w:p w14:paraId="2095B05D">
            <w:pPr>
              <w:spacing w:line="360" w:lineRule="auto"/>
              <w:ind w:firstLine="420" w:firstLineChars="200"/>
              <w:rPr>
                <w:szCs w:val="21"/>
              </w:rPr>
            </w:pPr>
          </w:p>
        </w:tc>
        <w:tc>
          <w:tcPr>
            <w:tcW w:w="1193" w:type="dxa"/>
            <w:vAlign w:val="center"/>
          </w:tcPr>
          <w:p w14:paraId="299B9DFA">
            <w:pPr>
              <w:spacing w:line="360" w:lineRule="auto"/>
              <w:ind w:firstLine="420" w:firstLineChars="200"/>
              <w:rPr>
                <w:szCs w:val="21"/>
              </w:rPr>
            </w:pPr>
          </w:p>
        </w:tc>
        <w:tc>
          <w:tcPr>
            <w:tcW w:w="1573" w:type="dxa"/>
            <w:vAlign w:val="center"/>
          </w:tcPr>
          <w:p w14:paraId="52085084">
            <w:pPr>
              <w:spacing w:line="360" w:lineRule="auto"/>
              <w:ind w:firstLine="420" w:firstLineChars="200"/>
              <w:rPr>
                <w:szCs w:val="21"/>
              </w:rPr>
            </w:pPr>
          </w:p>
        </w:tc>
        <w:tc>
          <w:tcPr>
            <w:tcW w:w="1016" w:type="dxa"/>
            <w:vAlign w:val="center"/>
          </w:tcPr>
          <w:p w14:paraId="2405C9D9">
            <w:pPr>
              <w:spacing w:line="360" w:lineRule="auto"/>
              <w:ind w:firstLine="420" w:firstLineChars="200"/>
              <w:rPr>
                <w:szCs w:val="21"/>
              </w:rPr>
            </w:pPr>
          </w:p>
        </w:tc>
        <w:tc>
          <w:tcPr>
            <w:tcW w:w="831" w:type="dxa"/>
            <w:vAlign w:val="center"/>
          </w:tcPr>
          <w:p w14:paraId="0D1D40E8">
            <w:pPr>
              <w:spacing w:line="360" w:lineRule="auto"/>
              <w:ind w:firstLine="420" w:firstLineChars="200"/>
              <w:rPr>
                <w:szCs w:val="21"/>
              </w:rPr>
            </w:pPr>
          </w:p>
        </w:tc>
      </w:tr>
      <w:tr w14:paraId="40E5DBFF">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648" w:type="dxa"/>
            <w:vAlign w:val="center"/>
          </w:tcPr>
          <w:p w14:paraId="2E31DDA8">
            <w:pPr>
              <w:spacing w:line="360" w:lineRule="auto"/>
              <w:ind w:firstLine="420" w:firstLineChars="200"/>
              <w:rPr>
                <w:szCs w:val="21"/>
              </w:rPr>
            </w:pPr>
          </w:p>
        </w:tc>
        <w:tc>
          <w:tcPr>
            <w:tcW w:w="1504" w:type="dxa"/>
            <w:vAlign w:val="center"/>
          </w:tcPr>
          <w:p w14:paraId="4A112FE0">
            <w:pPr>
              <w:spacing w:line="360" w:lineRule="auto"/>
              <w:ind w:firstLine="420" w:firstLineChars="200"/>
              <w:rPr>
                <w:szCs w:val="21"/>
              </w:rPr>
            </w:pPr>
          </w:p>
        </w:tc>
        <w:tc>
          <w:tcPr>
            <w:tcW w:w="1078" w:type="dxa"/>
            <w:vAlign w:val="center"/>
          </w:tcPr>
          <w:p w14:paraId="106686E9">
            <w:pPr>
              <w:spacing w:line="360" w:lineRule="auto"/>
              <w:ind w:firstLine="420" w:firstLineChars="200"/>
              <w:rPr>
                <w:szCs w:val="21"/>
              </w:rPr>
            </w:pPr>
          </w:p>
        </w:tc>
        <w:tc>
          <w:tcPr>
            <w:tcW w:w="649" w:type="dxa"/>
            <w:vAlign w:val="center"/>
          </w:tcPr>
          <w:p w14:paraId="485246A6">
            <w:pPr>
              <w:spacing w:line="360" w:lineRule="auto"/>
              <w:ind w:firstLine="420" w:firstLineChars="200"/>
              <w:rPr>
                <w:szCs w:val="21"/>
              </w:rPr>
            </w:pPr>
          </w:p>
        </w:tc>
        <w:tc>
          <w:tcPr>
            <w:tcW w:w="1078" w:type="dxa"/>
            <w:vAlign w:val="center"/>
          </w:tcPr>
          <w:p w14:paraId="176D3C61">
            <w:pPr>
              <w:spacing w:line="360" w:lineRule="auto"/>
              <w:ind w:firstLine="420" w:firstLineChars="200"/>
              <w:rPr>
                <w:szCs w:val="21"/>
              </w:rPr>
            </w:pPr>
          </w:p>
        </w:tc>
        <w:tc>
          <w:tcPr>
            <w:tcW w:w="1193" w:type="dxa"/>
            <w:vAlign w:val="center"/>
          </w:tcPr>
          <w:p w14:paraId="54B20232">
            <w:pPr>
              <w:spacing w:line="360" w:lineRule="auto"/>
              <w:ind w:firstLine="420" w:firstLineChars="200"/>
              <w:rPr>
                <w:szCs w:val="21"/>
              </w:rPr>
            </w:pPr>
          </w:p>
        </w:tc>
        <w:tc>
          <w:tcPr>
            <w:tcW w:w="1573" w:type="dxa"/>
            <w:vAlign w:val="center"/>
          </w:tcPr>
          <w:p w14:paraId="4C0B1167">
            <w:pPr>
              <w:spacing w:line="360" w:lineRule="auto"/>
              <w:ind w:firstLine="420" w:firstLineChars="200"/>
              <w:rPr>
                <w:szCs w:val="21"/>
              </w:rPr>
            </w:pPr>
          </w:p>
        </w:tc>
        <w:tc>
          <w:tcPr>
            <w:tcW w:w="1016" w:type="dxa"/>
            <w:vAlign w:val="center"/>
          </w:tcPr>
          <w:p w14:paraId="5FA78311">
            <w:pPr>
              <w:spacing w:line="360" w:lineRule="auto"/>
              <w:ind w:firstLine="420" w:firstLineChars="200"/>
              <w:rPr>
                <w:szCs w:val="21"/>
              </w:rPr>
            </w:pPr>
          </w:p>
        </w:tc>
        <w:tc>
          <w:tcPr>
            <w:tcW w:w="831" w:type="dxa"/>
            <w:vAlign w:val="center"/>
          </w:tcPr>
          <w:p w14:paraId="385C1D89">
            <w:pPr>
              <w:spacing w:line="360" w:lineRule="auto"/>
              <w:ind w:firstLine="420" w:firstLineChars="200"/>
              <w:rPr>
                <w:szCs w:val="21"/>
              </w:rPr>
            </w:pPr>
          </w:p>
        </w:tc>
      </w:tr>
      <w:tr w14:paraId="2D25CCA0">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648" w:type="dxa"/>
            <w:vAlign w:val="center"/>
          </w:tcPr>
          <w:p w14:paraId="4D35AD90">
            <w:pPr>
              <w:spacing w:line="360" w:lineRule="auto"/>
              <w:ind w:firstLine="420" w:firstLineChars="200"/>
              <w:rPr>
                <w:szCs w:val="21"/>
              </w:rPr>
            </w:pPr>
          </w:p>
        </w:tc>
        <w:tc>
          <w:tcPr>
            <w:tcW w:w="1504" w:type="dxa"/>
            <w:vAlign w:val="center"/>
          </w:tcPr>
          <w:p w14:paraId="1F5044AE">
            <w:pPr>
              <w:spacing w:line="360" w:lineRule="auto"/>
              <w:ind w:firstLine="420" w:firstLineChars="200"/>
              <w:rPr>
                <w:szCs w:val="21"/>
              </w:rPr>
            </w:pPr>
          </w:p>
        </w:tc>
        <w:tc>
          <w:tcPr>
            <w:tcW w:w="1078" w:type="dxa"/>
            <w:vAlign w:val="center"/>
          </w:tcPr>
          <w:p w14:paraId="6567991B">
            <w:pPr>
              <w:spacing w:line="360" w:lineRule="auto"/>
              <w:ind w:firstLine="420" w:firstLineChars="200"/>
              <w:rPr>
                <w:szCs w:val="21"/>
              </w:rPr>
            </w:pPr>
          </w:p>
        </w:tc>
        <w:tc>
          <w:tcPr>
            <w:tcW w:w="649" w:type="dxa"/>
            <w:vAlign w:val="center"/>
          </w:tcPr>
          <w:p w14:paraId="52698F1A">
            <w:pPr>
              <w:spacing w:line="360" w:lineRule="auto"/>
              <w:ind w:firstLine="420" w:firstLineChars="200"/>
              <w:rPr>
                <w:szCs w:val="21"/>
              </w:rPr>
            </w:pPr>
          </w:p>
        </w:tc>
        <w:tc>
          <w:tcPr>
            <w:tcW w:w="1078" w:type="dxa"/>
            <w:vAlign w:val="center"/>
          </w:tcPr>
          <w:p w14:paraId="36A3C0AC">
            <w:pPr>
              <w:spacing w:line="360" w:lineRule="auto"/>
              <w:ind w:firstLine="420" w:firstLineChars="200"/>
              <w:rPr>
                <w:szCs w:val="21"/>
              </w:rPr>
            </w:pPr>
          </w:p>
        </w:tc>
        <w:tc>
          <w:tcPr>
            <w:tcW w:w="1193" w:type="dxa"/>
            <w:vAlign w:val="center"/>
          </w:tcPr>
          <w:p w14:paraId="4323535C">
            <w:pPr>
              <w:spacing w:line="360" w:lineRule="auto"/>
              <w:ind w:firstLine="420" w:firstLineChars="200"/>
              <w:rPr>
                <w:szCs w:val="21"/>
              </w:rPr>
            </w:pPr>
          </w:p>
        </w:tc>
        <w:tc>
          <w:tcPr>
            <w:tcW w:w="1573" w:type="dxa"/>
            <w:vAlign w:val="center"/>
          </w:tcPr>
          <w:p w14:paraId="3D41D833">
            <w:pPr>
              <w:spacing w:line="360" w:lineRule="auto"/>
              <w:ind w:firstLine="420" w:firstLineChars="200"/>
              <w:rPr>
                <w:szCs w:val="21"/>
              </w:rPr>
            </w:pPr>
          </w:p>
        </w:tc>
        <w:tc>
          <w:tcPr>
            <w:tcW w:w="1016" w:type="dxa"/>
            <w:vAlign w:val="center"/>
          </w:tcPr>
          <w:p w14:paraId="220FE5F6">
            <w:pPr>
              <w:spacing w:line="360" w:lineRule="auto"/>
              <w:ind w:firstLine="420" w:firstLineChars="200"/>
              <w:rPr>
                <w:szCs w:val="21"/>
              </w:rPr>
            </w:pPr>
          </w:p>
        </w:tc>
        <w:tc>
          <w:tcPr>
            <w:tcW w:w="831" w:type="dxa"/>
            <w:vAlign w:val="center"/>
          </w:tcPr>
          <w:p w14:paraId="56F5C224">
            <w:pPr>
              <w:spacing w:line="360" w:lineRule="auto"/>
              <w:ind w:firstLine="420" w:firstLineChars="200"/>
              <w:rPr>
                <w:szCs w:val="21"/>
              </w:rPr>
            </w:pPr>
          </w:p>
        </w:tc>
      </w:tr>
      <w:tr w14:paraId="69979CF3">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648" w:type="dxa"/>
            <w:vAlign w:val="center"/>
          </w:tcPr>
          <w:p w14:paraId="1E27DF08">
            <w:pPr>
              <w:spacing w:line="360" w:lineRule="auto"/>
              <w:ind w:firstLine="420" w:firstLineChars="200"/>
              <w:rPr>
                <w:szCs w:val="21"/>
              </w:rPr>
            </w:pPr>
          </w:p>
        </w:tc>
        <w:tc>
          <w:tcPr>
            <w:tcW w:w="1504" w:type="dxa"/>
            <w:vAlign w:val="center"/>
          </w:tcPr>
          <w:p w14:paraId="7AA405A0">
            <w:pPr>
              <w:spacing w:line="360" w:lineRule="auto"/>
              <w:ind w:firstLine="420" w:firstLineChars="200"/>
              <w:rPr>
                <w:szCs w:val="21"/>
              </w:rPr>
            </w:pPr>
          </w:p>
        </w:tc>
        <w:tc>
          <w:tcPr>
            <w:tcW w:w="1078" w:type="dxa"/>
            <w:vAlign w:val="center"/>
          </w:tcPr>
          <w:p w14:paraId="0178D586">
            <w:pPr>
              <w:spacing w:line="360" w:lineRule="auto"/>
              <w:ind w:firstLine="420" w:firstLineChars="200"/>
              <w:rPr>
                <w:szCs w:val="21"/>
              </w:rPr>
            </w:pPr>
          </w:p>
        </w:tc>
        <w:tc>
          <w:tcPr>
            <w:tcW w:w="649" w:type="dxa"/>
            <w:vAlign w:val="center"/>
          </w:tcPr>
          <w:p w14:paraId="13A415AD">
            <w:pPr>
              <w:spacing w:line="360" w:lineRule="auto"/>
              <w:ind w:firstLine="420" w:firstLineChars="200"/>
              <w:rPr>
                <w:szCs w:val="21"/>
              </w:rPr>
            </w:pPr>
          </w:p>
        </w:tc>
        <w:tc>
          <w:tcPr>
            <w:tcW w:w="1078" w:type="dxa"/>
            <w:vAlign w:val="center"/>
          </w:tcPr>
          <w:p w14:paraId="18E056D5">
            <w:pPr>
              <w:spacing w:line="360" w:lineRule="auto"/>
              <w:ind w:firstLine="420" w:firstLineChars="200"/>
              <w:rPr>
                <w:szCs w:val="21"/>
              </w:rPr>
            </w:pPr>
          </w:p>
        </w:tc>
        <w:tc>
          <w:tcPr>
            <w:tcW w:w="1193" w:type="dxa"/>
            <w:vAlign w:val="center"/>
          </w:tcPr>
          <w:p w14:paraId="716FE535">
            <w:pPr>
              <w:spacing w:line="360" w:lineRule="auto"/>
              <w:ind w:firstLine="420" w:firstLineChars="200"/>
              <w:rPr>
                <w:szCs w:val="21"/>
              </w:rPr>
            </w:pPr>
          </w:p>
        </w:tc>
        <w:tc>
          <w:tcPr>
            <w:tcW w:w="1573" w:type="dxa"/>
            <w:vAlign w:val="center"/>
          </w:tcPr>
          <w:p w14:paraId="6CB910CF">
            <w:pPr>
              <w:spacing w:line="360" w:lineRule="auto"/>
              <w:ind w:firstLine="420" w:firstLineChars="200"/>
              <w:rPr>
                <w:szCs w:val="21"/>
              </w:rPr>
            </w:pPr>
          </w:p>
        </w:tc>
        <w:tc>
          <w:tcPr>
            <w:tcW w:w="1016" w:type="dxa"/>
            <w:vAlign w:val="center"/>
          </w:tcPr>
          <w:p w14:paraId="12C6C2AC">
            <w:pPr>
              <w:spacing w:line="360" w:lineRule="auto"/>
              <w:ind w:firstLine="420" w:firstLineChars="200"/>
              <w:rPr>
                <w:szCs w:val="21"/>
              </w:rPr>
            </w:pPr>
          </w:p>
        </w:tc>
        <w:tc>
          <w:tcPr>
            <w:tcW w:w="831" w:type="dxa"/>
            <w:vAlign w:val="center"/>
          </w:tcPr>
          <w:p w14:paraId="6E27027E">
            <w:pPr>
              <w:spacing w:line="360" w:lineRule="auto"/>
              <w:ind w:firstLine="420" w:firstLineChars="200"/>
              <w:rPr>
                <w:szCs w:val="21"/>
              </w:rPr>
            </w:pPr>
          </w:p>
        </w:tc>
      </w:tr>
      <w:tr w14:paraId="7B0B714C">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648" w:type="dxa"/>
            <w:vAlign w:val="center"/>
          </w:tcPr>
          <w:p w14:paraId="786CF5CF">
            <w:pPr>
              <w:spacing w:line="360" w:lineRule="auto"/>
              <w:ind w:firstLine="420" w:firstLineChars="200"/>
              <w:rPr>
                <w:szCs w:val="21"/>
              </w:rPr>
            </w:pPr>
          </w:p>
        </w:tc>
        <w:tc>
          <w:tcPr>
            <w:tcW w:w="1504" w:type="dxa"/>
            <w:vAlign w:val="center"/>
          </w:tcPr>
          <w:p w14:paraId="071EF6BF">
            <w:pPr>
              <w:spacing w:line="360" w:lineRule="auto"/>
              <w:ind w:firstLine="420" w:firstLineChars="200"/>
              <w:rPr>
                <w:szCs w:val="21"/>
              </w:rPr>
            </w:pPr>
          </w:p>
        </w:tc>
        <w:tc>
          <w:tcPr>
            <w:tcW w:w="1078" w:type="dxa"/>
            <w:vAlign w:val="center"/>
          </w:tcPr>
          <w:p w14:paraId="49ECAA45">
            <w:pPr>
              <w:spacing w:line="360" w:lineRule="auto"/>
              <w:ind w:firstLine="420" w:firstLineChars="200"/>
              <w:rPr>
                <w:szCs w:val="21"/>
              </w:rPr>
            </w:pPr>
          </w:p>
        </w:tc>
        <w:tc>
          <w:tcPr>
            <w:tcW w:w="649" w:type="dxa"/>
            <w:vAlign w:val="center"/>
          </w:tcPr>
          <w:p w14:paraId="174CEB57">
            <w:pPr>
              <w:spacing w:line="360" w:lineRule="auto"/>
              <w:ind w:firstLine="420" w:firstLineChars="200"/>
              <w:rPr>
                <w:szCs w:val="21"/>
              </w:rPr>
            </w:pPr>
          </w:p>
        </w:tc>
        <w:tc>
          <w:tcPr>
            <w:tcW w:w="1078" w:type="dxa"/>
            <w:vAlign w:val="center"/>
          </w:tcPr>
          <w:p w14:paraId="7CED2D03">
            <w:pPr>
              <w:spacing w:line="360" w:lineRule="auto"/>
              <w:ind w:firstLine="420" w:firstLineChars="200"/>
              <w:rPr>
                <w:szCs w:val="21"/>
              </w:rPr>
            </w:pPr>
          </w:p>
        </w:tc>
        <w:tc>
          <w:tcPr>
            <w:tcW w:w="1193" w:type="dxa"/>
            <w:vAlign w:val="center"/>
          </w:tcPr>
          <w:p w14:paraId="31E4C613">
            <w:pPr>
              <w:spacing w:line="360" w:lineRule="auto"/>
              <w:ind w:firstLine="420" w:firstLineChars="200"/>
              <w:rPr>
                <w:szCs w:val="21"/>
              </w:rPr>
            </w:pPr>
          </w:p>
        </w:tc>
        <w:tc>
          <w:tcPr>
            <w:tcW w:w="1573" w:type="dxa"/>
            <w:vAlign w:val="center"/>
          </w:tcPr>
          <w:p w14:paraId="308F95A7">
            <w:pPr>
              <w:spacing w:line="360" w:lineRule="auto"/>
              <w:ind w:firstLine="420" w:firstLineChars="200"/>
              <w:rPr>
                <w:szCs w:val="21"/>
              </w:rPr>
            </w:pPr>
          </w:p>
        </w:tc>
        <w:tc>
          <w:tcPr>
            <w:tcW w:w="1016" w:type="dxa"/>
            <w:vAlign w:val="center"/>
          </w:tcPr>
          <w:p w14:paraId="0F6CFDD7">
            <w:pPr>
              <w:spacing w:line="360" w:lineRule="auto"/>
              <w:ind w:firstLine="420" w:firstLineChars="200"/>
              <w:rPr>
                <w:szCs w:val="21"/>
              </w:rPr>
            </w:pPr>
          </w:p>
        </w:tc>
        <w:tc>
          <w:tcPr>
            <w:tcW w:w="831" w:type="dxa"/>
            <w:vAlign w:val="center"/>
          </w:tcPr>
          <w:p w14:paraId="6352D03C">
            <w:pPr>
              <w:spacing w:line="360" w:lineRule="auto"/>
              <w:ind w:firstLine="420" w:firstLineChars="200"/>
              <w:rPr>
                <w:szCs w:val="21"/>
              </w:rPr>
            </w:pPr>
          </w:p>
        </w:tc>
      </w:tr>
      <w:tr w14:paraId="29C49BC1">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648" w:type="dxa"/>
            <w:vAlign w:val="center"/>
          </w:tcPr>
          <w:p w14:paraId="01067935">
            <w:pPr>
              <w:spacing w:line="360" w:lineRule="auto"/>
              <w:ind w:firstLine="420" w:firstLineChars="200"/>
              <w:rPr>
                <w:szCs w:val="21"/>
              </w:rPr>
            </w:pPr>
          </w:p>
        </w:tc>
        <w:tc>
          <w:tcPr>
            <w:tcW w:w="1504" w:type="dxa"/>
            <w:vAlign w:val="center"/>
          </w:tcPr>
          <w:p w14:paraId="70649ED2">
            <w:pPr>
              <w:spacing w:line="360" w:lineRule="auto"/>
              <w:ind w:firstLine="420" w:firstLineChars="200"/>
              <w:rPr>
                <w:szCs w:val="21"/>
              </w:rPr>
            </w:pPr>
          </w:p>
        </w:tc>
        <w:tc>
          <w:tcPr>
            <w:tcW w:w="1078" w:type="dxa"/>
            <w:vAlign w:val="center"/>
          </w:tcPr>
          <w:p w14:paraId="5F2DE3D0">
            <w:pPr>
              <w:spacing w:line="360" w:lineRule="auto"/>
              <w:ind w:firstLine="420" w:firstLineChars="200"/>
              <w:rPr>
                <w:szCs w:val="21"/>
              </w:rPr>
            </w:pPr>
          </w:p>
        </w:tc>
        <w:tc>
          <w:tcPr>
            <w:tcW w:w="649" w:type="dxa"/>
            <w:vAlign w:val="center"/>
          </w:tcPr>
          <w:p w14:paraId="7E897BCC">
            <w:pPr>
              <w:spacing w:line="360" w:lineRule="auto"/>
              <w:ind w:firstLine="420" w:firstLineChars="200"/>
              <w:rPr>
                <w:szCs w:val="21"/>
              </w:rPr>
            </w:pPr>
          </w:p>
        </w:tc>
        <w:tc>
          <w:tcPr>
            <w:tcW w:w="1078" w:type="dxa"/>
            <w:vAlign w:val="center"/>
          </w:tcPr>
          <w:p w14:paraId="7B5F4E1F">
            <w:pPr>
              <w:spacing w:line="360" w:lineRule="auto"/>
              <w:ind w:firstLine="420" w:firstLineChars="200"/>
              <w:rPr>
                <w:szCs w:val="21"/>
              </w:rPr>
            </w:pPr>
          </w:p>
        </w:tc>
        <w:tc>
          <w:tcPr>
            <w:tcW w:w="1193" w:type="dxa"/>
            <w:vAlign w:val="center"/>
          </w:tcPr>
          <w:p w14:paraId="1244F5C6">
            <w:pPr>
              <w:spacing w:line="360" w:lineRule="auto"/>
              <w:ind w:firstLine="420" w:firstLineChars="200"/>
              <w:rPr>
                <w:szCs w:val="21"/>
              </w:rPr>
            </w:pPr>
          </w:p>
        </w:tc>
        <w:tc>
          <w:tcPr>
            <w:tcW w:w="1573" w:type="dxa"/>
            <w:vAlign w:val="center"/>
          </w:tcPr>
          <w:p w14:paraId="7A955FCE">
            <w:pPr>
              <w:spacing w:line="360" w:lineRule="auto"/>
              <w:ind w:firstLine="420" w:firstLineChars="200"/>
              <w:rPr>
                <w:szCs w:val="21"/>
              </w:rPr>
            </w:pPr>
          </w:p>
        </w:tc>
        <w:tc>
          <w:tcPr>
            <w:tcW w:w="1016" w:type="dxa"/>
            <w:vAlign w:val="center"/>
          </w:tcPr>
          <w:p w14:paraId="4F89487D">
            <w:pPr>
              <w:spacing w:line="360" w:lineRule="auto"/>
              <w:ind w:firstLine="420" w:firstLineChars="200"/>
              <w:rPr>
                <w:szCs w:val="21"/>
              </w:rPr>
            </w:pPr>
          </w:p>
        </w:tc>
        <w:tc>
          <w:tcPr>
            <w:tcW w:w="831" w:type="dxa"/>
            <w:vAlign w:val="center"/>
          </w:tcPr>
          <w:p w14:paraId="60AEB78E">
            <w:pPr>
              <w:spacing w:line="360" w:lineRule="auto"/>
              <w:ind w:firstLine="420" w:firstLineChars="200"/>
              <w:rPr>
                <w:szCs w:val="21"/>
              </w:rPr>
            </w:pPr>
          </w:p>
        </w:tc>
      </w:tr>
      <w:tr w14:paraId="09B2893C">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648" w:type="dxa"/>
            <w:vAlign w:val="center"/>
          </w:tcPr>
          <w:p w14:paraId="7697F46E">
            <w:pPr>
              <w:spacing w:line="360" w:lineRule="auto"/>
              <w:ind w:firstLine="420" w:firstLineChars="200"/>
              <w:rPr>
                <w:szCs w:val="21"/>
              </w:rPr>
            </w:pPr>
          </w:p>
        </w:tc>
        <w:tc>
          <w:tcPr>
            <w:tcW w:w="1504" w:type="dxa"/>
            <w:vAlign w:val="center"/>
          </w:tcPr>
          <w:p w14:paraId="3E891E71">
            <w:pPr>
              <w:spacing w:line="360" w:lineRule="auto"/>
              <w:ind w:firstLine="420" w:firstLineChars="200"/>
              <w:rPr>
                <w:szCs w:val="21"/>
              </w:rPr>
            </w:pPr>
          </w:p>
        </w:tc>
        <w:tc>
          <w:tcPr>
            <w:tcW w:w="1078" w:type="dxa"/>
            <w:vAlign w:val="center"/>
          </w:tcPr>
          <w:p w14:paraId="2D619FE8">
            <w:pPr>
              <w:spacing w:line="360" w:lineRule="auto"/>
              <w:ind w:firstLine="420" w:firstLineChars="200"/>
              <w:rPr>
                <w:szCs w:val="21"/>
              </w:rPr>
            </w:pPr>
          </w:p>
        </w:tc>
        <w:tc>
          <w:tcPr>
            <w:tcW w:w="649" w:type="dxa"/>
            <w:vAlign w:val="center"/>
          </w:tcPr>
          <w:p w14:paraId="15404C5E">
            <w:pPr>
              <w:spacing w:line="360" w:lineRule="auto"/>
              <w:ind w:firstLine="420" w:firstLineChars="200"/>
              <w:rPr>
                <w:szCs w:val="21"/>
              </w:rPr>
            </w:pPr>
          </w:p>
        </w:tc>
        <w:tc>
          <w:tcPr>
            <w:tcW w:w="1078" w:type="dxa"/>
            <w:vAlign w:val="center"/>
          </w:tcPr>
          <w:p w14:paraId="5EBE77C1">
            <w:pPr>
              <w:spacing w:line="360" w:lineRule="auto"/>
              <w:ind w:firstLine="420" w:firstLineChars="200"/>
              <w:rPr>
                <w:szCs w:val="21"/>
              </w:rPr>
            </w:pPr>
          </w:p>
        </w:tc>
        <w:tc>
          <w:tcPr>
            <w:tcW w:w="1193" w:type="dxa"/>
            <w:vAlign w:val="center"/>
          </w:tcPr>
          <w:p w14:paraId="4C051D80">
            <w:pPr>
              <w:spacing w:line="360" w:lineRule="auto"/>
              <w:ind w:firstLine="420" w:firstLineChars="200"/>
              <w:rPr>
                <w:szCs w:val="21"/>
              </w:rPr>
            </w:pPr>
          </w:p>
        </w:tc>
        <w:tc>
          <w:tcPr>
            <w:tcW w:w="1573" w:type="dxa"/>
            <w:vAlign w:val="center"/>
          </w:tcPr>
          <w:p w14:paraId="7B499109">
            <w:pPr>
              <w:spacing w:line="360" w:lineRule="auto"/>
              <w:ind w:firstLine="420" w:firstLineChars="200"/>
              <w:rPr>
                <w:szCs w:val="21"/>
              </w:rPr>
            </w:pPr>
          </w:p>
        </w:tc>
        <w:tc>
          <w:tcPr>
            <w:tcW w:w="1016" w:type="dxa"/>
            <w:vAlign w:val="center"/>
          </w:tcPr>
          <w:p w14:paraId="504E08CB">
            <w:pPr>
              <w:spacing w:line="360" w:lineRule="auto"/>
              <w:ind w:firstLine="420" w:firstLineChars="200"/>
              <w:rPr>
                <w:szCs w:val="21"/>
              </w:rPr>
            </w:pPr>
          </w:p>
        </w:tc>
        <w:tc>
          <w:tcPr>
            <w:tcW w:w="831" w:type="dxa"/>
            <w:vAlign w:val="center"/>
          </w:tcPr>
          <w:p w14:paraId="5CB43DC5">
            <w:pPr>
              <w:spacing w:line="360" w:lineRule="auto"/>
              <w:ind w:firstLine="420" w:firstLineChars="200"/>
              <w:rPr>
                <w:szCs w:val="21"/>
              </w:rPr>
            </w:pPr>
          </w:p>
        </w:tc>
      </w:tr>
      <w:tr w14:paraId="64194E5F">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648" w:type="dxa"/>
            <w:vAlign w:val="center"/>
          </w:tcPr>
          <w:p w14:paraId="21476E08">
            <w:pPr>
              <w:spacing w:line="360" w:lineRule="auto"/>
              <w:ind w:firstLine="420" w:firstLineChars="200"/>
              <w:rPr>
                <w:szCs w:val="21"/>
              </w:rPr>
            </w:pPr>
          </w:p>
        </w:tc>
        <w:tc>
          <w:tcPr>
            <w:tcW w:w="1504" w:type="dxa"/>
            <w:vAlign w:val="center"/>
          </w:tcPr>
          <w:p w14:paraId="4C54FB54">
            <w:pPr>
              <w:spacing w:line="360" w:lineRule="auto"/>
              <w:ind w:firstLine="420" w:firstLineChars="200"/>
              <w:rPr>
                <w:szCs w:val="21"/>
              </w:rPr>
            </w:pPr>
          </w:p>
        </w:tc>
        <w:tc>
          <w:tcPr>
            <w:tcW w:w="1078" w:type="dxa"/>
            <w:vAlign w:val="center"/>
          </w:tcPr>
          <w:p w14:paraId="733A97DC">
            <w:pPr>
              <w:spacing w:line="360" w:lineRule="auto"/>
              <w:ind w:firstLine="420" w:firstLineChars="200"/>
              <w:rPr>
                <w:szCs w:val="21"/>
              </w:rPr>
            </w:pPr>
          </w:p>
        </w:tc>
        <w:tc>
          <w:tcPr>
            <w:tcW w:w="649" w:type="dxa"/>
            <w:vAlign w:val="center"/>
          </w:tcPr>
          <w:p w14:paraId="29E0C4AA">
            <w:pPr>
              <w:spacing w:line="360" w:lineRule="auto"/>
              <w:ind w:firstLine="420" w:firstLineChars="200"/>
              <w:rPr>
                <w:szCs w:val="21"/>
              </w:rPr>
            </w:pPr>
          </w:p>
        </w:tc>
        <w:tc>
          <w:tcPr>
            <w:tcW w:w="1078" w:type="dxa"/>
            <w:vAlign w:val="center"/>
          </w:tcPr>
          <w:p w14:paraId="2EE57D68">
            <w:pPr>
              <w:spacing w:line="360" w:lineRule="auto"/>
              <w:ind w:firstLine="420" w:firstLineChars="200"/>
              <w:rPr>
                <w:szCs w:val="21"/>
              </w:rPr>
            </w:pPr>
          </w:p>
        </w:tc>
        <w:tc>
          <w:tcPr>
            <w:tcW w:w="1193" w:type="dxa"/>
            <w:vAlign w:val="center"/>
          </w:tcPr>
          <w:p w14:paraId="3508DBD8">
            <w:pPr>
              <w:spacing w:line="360" w:lineRule="auto"/>
              <w:ind w:firstLine="420" w:firstLineChars="200"/>
              <w:rPr>
                <w:szCs w:val="21"/>
              </w:rPr>
            </w:pPr>
          </w:p>
        </w:tc>
        <w:tc>
          <w:tcPr>
            <w:tcW w:w="1573" w:type="dxa"/>
            <w:vAlign w:val="center"/>
          </w:tcPr>
          <w:p w14:paraId="2FE6B7E0">
            <w:pPr>
              <w:spacing w:line="360" w:lineRule="auto"/>
              <w:ind w:firstLine="420" w:firstLineChars="200"/>
              <w:rPr>
                <w:szCs w:val="21"/>
              </w:rPr>
            </w:pPr>
          </w:p>
        </w:tc>
        <w:tc>
          <w:tcPr>
            <w:tcW w:w="1016" w:type="dxa"/>
            <w:vAlign w:val="center"/>
          </w:tcPr>
          <w:p w14:paraId="4128CE03">
            <w:pPr>
              <w:spacing w:line="360" w:lineRule="auto"/>
              <w:ind w:firstLine="420" w:firstLineChars="200"/>
              <w:rPr>
                <w:szCs w:val="21"/>
              </w:rPr>
            </w:pPr>
          </w:p>
        </w:tc>
        <w:tc>
          <w:tcPr>
            <w:tcW w:w="831" w:type="dxa"/>
            <w:vAlign w:val="center"/>
          </w:tcPr>
          <w:p w14:paraId="5574276C">
            <w:pPr>
              <w:spacing w:line="360" w:lineRule="auto"/>
              <w:ind w:firstLine="420" w:firstLineChars="200"/>
              <w:rPr>
                <w:szCs w:val="21"/>
              </w:rPr>
            </w:pPr>
          </w:p>
        </w:tc>
      </w:tr>
      <w:tr w14:paraId="122B7918">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648" w:type="dxa"/>
            <w:vAlign w:val="center"/>
          </w:tcPr>
          <w:p w14:paraId="39E0812E">
            <w:pPr>
              <w:spacing w:line="360" w:lineRule="auto"/>
              <w:ind w:firstLine="420" w:firstLineChars="200"/>
              <w:rPr>
                <w:szCs w:val="21"/>
              </w:rPr>
            </w:pPr>
          </w:p>
        </w:tc>
        <w:tc>
          <w:tcPr>
            <w:tcW w:w="1504" w:type="dxa"/>
            <w:vAlign w:val="center"/>
          </w:tcPr>
          <w:p w14:paraId="74C8A669">
            <w:pPr>
              <w:spacing w:line="360" w:lineRule="auto"/>
              <w:ind w:firstLine="420" w:firstLineChars="200"/>
              <w:rPr>
                <w:szCs w:val="21"/>
              </w:rPr>
            </w:pPr>
          </w:p>
        </w:tc>
        <w:tc>
          <w:tcPr>
            <w:tcW w:w="1078" w:type="dxa"/>
            <w:vAlign w:val="center"/>
          </w:tcPr>
          <w:p w14:paraId="50A50F24">
            <w:pPr>
              <w:spacing w:line="360" w:lineRule="auto"/>
              <w:ind w:firstLine="420" w:firstLineChars="200"/>
              <w:rPr>
                <w:szCs w:val="21"/>
              </w:rPr>
            </w:pPr>
          </w:p>
        </w:tc>
        <w:tc>
          <w:tcPr>
            <w:tcW w:w="649" w:type="dxa"/>
            <w:vAlign w:val="center"/>
          </w:tcPr>
          <w:p w14:paraId="6742C1CD">
            <w:pPr>
              <w:spacing w:line="360" w:lineRule="auto"/>
              <w:ind w:firstLine="420" w:firstLineChars="200"/>
              <w:rPr>
                <w:szCs w:val="21"/>
              </w:rPr>
            </w:pPr>
          </w:p>
        </w:tc>
        <w:tc>
          <w:tcPr>
            <w:tcW w:w="1078" w:type="dxa"/>
            <w:vAlign w:val="center"/>
          </w:tcPr>
          <w:p w14:paraId="0711BAA1">
            <w:pPr>
              <w:spacing w:line="360" w:lineRule="auto"/>
              <w:ind w:firstLine="420" w:firstLineChars="200"/>
              <w:rPr>
                <w:szCs w:val="21"/>
              </w:rPr>
            </w:pPr>
          </w:p>
        </w:tc>
        <w:tc>
          <w:tcPr>
            <w:tcW w:w="1193" w:type="dxa"/>
            <w:vAlign w:val="center"/>
          </w:tcPr>
          <w:p w14:paraId="4E316E35">
            <w:pPr>
              <w:spacing w:line="360" w:lineRule="auto"/>
              <w:ind w:firstLine="420" w:firstLineChars="200"/>
              <w:rPr>
                <w:szCs w:val="21"/>
              </w:rPr>
            </w:pPr>
          </w:p>
        </w:tc>
        <w:tc>
          <w:tcPr>
            <w:tcW w:w="1573" w:type="dxa"/>
            <w:vAlign w:val="center"/>
          </w:tcPr>
          <w:p w14:paraId="595DB82D">
            <w:pPr>
              <w:spacing w:line="360" w:lineRule="auto"/>
              <w:ind w:firstLine="420" w:firstLineChars="200"/>
              <w:rPr>
                <w:szCs w:val="21"/>
              </w:rPr>
            </w:pPr>
          </w:p>
        </w:tc>
        <w:tc>
          <w:tcPr>
            <w:tcW w:w="1016" w:type="dxa"/>
            <w:vAlign w:val="center"/>
          </w:tcPr>
          <w:p w14:paraId="7B6F76C7">
            <w:pPr>
              <w:spacing w:line="360" w:lineRule="auto"/>
              <w:ind w:firstLine="420" w:firstLineChars="200"/>
              <w:rPr>
                <w:szCs w:val="21"/>
              </w:rPr>
            </w:pPr>
          </w:p>
        </w:tc>
        <w:tc>
          <w:tcPr>
            <w:tcW w:w="831" w:type="dxa"/>
            <w:vAlign w:val="center"/>
          </w:tcPr>
          <w:p w14:paraId="7E2CA7BA">
            <w:pPr>
              <w:spacing w:line="360" w:lineRule="auto"/>
              <w:ind w:firstLine="420" w:firstLineChars="200"/>
              <w:rPr>
                <w:szCs w:val="21"/>
              </w:rPr>
            </w:pPr>
          </w:p>
        </w:tc>
      </w:tr>
    </w:tbl>
    <w:p w14:paraId="28D13E33">
      <w:pPr>
        <w:spacing w:line="360" w:lineRule="auto"/>
        <w:ind w:firstLine="420" w:firstLineChars="200"/>
        <w:rPr>
          <w:szCs w:val="21"/>
        </w:rPr>
      </w:pPr>
      <w:r>
        <w:rPr>
          <w:rFonts w:hint="eastAsia"/>
          <w:szCs w:val="21"/>
        </w:rPr>
        <w:t>说明：只填写用于本项目的试验和检测仪器设备。</w:t>
      </w:r>
    </w:p>
    <w:p w14:paraId="7E4BF201">
      <w:pPr>
        <w:sectPr>
          <w:pgSz w:w="11906" w:h="16838"/>
          <w:pgMar w:top="1417" w:right="1134" w:bottom="1134" w:left="1417" w:header="851" w:footer="850" w:gutter="0"/>
          <w:cols w:space="720" w:num="1"/>
          <w:docGrid w:linePitch="312" w:charSpace="0"/>
        </w:sectPr>
      </w:pPr>
      <w:r>
        <w:rPr>
          <w:rFonts w:hint="eastAsia"/>
        </w:rPr>
        <w:t>Note : N'indiquer que les instruments et équipements d'essai et d'inspection utilisés pour ce projet.</w:t>
      </w:r>
    </w:p>
    <w:p w14:paraId="42901B81">
      <w:pPr>
        <w:keepNext/>
        <w:keepLines/>
        <w:spacing w:before="20" w:line="200" w:lineRule="exact"/>
        <w:ind w:firstLine="103" w:firstLineChars="49"/>
        <w:rPr>
          <w:b/>
          <w:szCs w:val="21"/>
        </w:rPr>
      </w:pPr>
      <w:bookmarkStart w:id="241" w:name="_Toc5714793"/>
      <w:bookmarkStart w:id="242" w:name="_Toc6702512"/>
      <w:bookmarkStart w:id="243" w:name="_Toc6701355"/>
      <w:r>
        <w:rPr>
          <w:b/>
          <w:szCs w:val="21"/>
        </w:rPr>
        <w:t>附表三：劳动力计划表</w:t>
      </w:r>
      <w:bookmarkEnd w:id="241"/>
      <w:bookmarkEnd w:id="242"/>
      <w:bookmarkEnd w:id="243"/>
    </w:p>
    <w:p w14:paraId="2D7C098B">
      <w:pPr>
        <w:keepNext/>
        <w:keepLines/>
        <w:spacing w:before="20" w:line="200" w:lineRule="exact"/>
        <w:ind w:firstLine="103" w:firstLineChars="49"/>
        <w:rPr>
          <w:b/>
          <w:szCs w:val="21"/>
        </w:rPr>
      </w:pPr>
      <w:r>
        <w:rPr>
          <w:b/>
          <w:szCs w:val="21"/>
        </w:rPr>
        <w:t>Annexe III : tableaux sur la main-d'œuvre</w:t>
      </w:r>
    </w:p>
    <w:p w14:paraId="0A86DFA2">
      <w:pPr>
        <w:keepNext/>
        <w:keepLines/>
        <w:spacing w:before="20" w:line="412" w:lineRule="auto"/>
        <w:ind w:firstLine="103" w:firstLineChars="49"/>
        <w:rPr>
          <w:b/>
          <w:szCs w:val="21"/>
        </w:rPr>
      </w:pPr>
    </w:p>
    <w:p w14:paraId="733DFDED">
      <w:pPr>
        <w:spacing w:line="360" w:lineRule="auto"/>
        <w:ind w:firstLine="7560" w:firstLineChars="3600"/>
        <w:rPr>
          <w:szCs w:val="21"/>
        </w:rPr>
      </w:pPr>
      <w:r>
        <w:rPr>
          <w:szCs w:val="21"/>
        </w:rPr>
        <w:t xml:space="preserve">    单位：人</w:t>
      </w:r>
    </w:p>
    <w:tbl>
      <w:tblPr>
        <w:tblStyle w:val="34"/>
        <w:tblW w:w="0" w:type="auto"/>
        <w:tblInd w:w="0" w:type="dxa"/>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Layout w:type="fixed"/>
        <w:tblCellMar>
          <w:top w:w="0" w:type="dxa"/>
          <w:left w:w="108" w:type="dxa"/>
          <w:bottom w:w="0" w:type="dxa"/>
          <w:right w:w="108" w:type="dxa"/>
        </w:tblCellMar>
      </w:tblPr>
      <w:tblGrid>
        <w:gridCol w:w="1230"/>
        <w:gridCol w:w="12"/>
        <w:gridCol w:w="842"/>
        <w:gridCol w:w="1246"/>
        <w:gridCol w:w="1248"/>
        <w:gridCol w:w="1246"/>
        <w:gridCol w:w="1248"/>
        <w:gridCol w:w="1246"/>
        <w:gridCol w:w="1252"/>
      </w:tblGrid>
      <w:tr w14:paraId="3D40B56C">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42" w:type="dxa"/>
            <w:gridSpan w:val="2"/>
            <w:vAlign w:val="center"/>
          </w:tcPr>
          <w:p w14:paraId="2C435028">
            <w:pPr>
              <w:jc w:val="center"/>
              <w:rPr>
                <w:b/>
                <w:szCs w:val="21"/>
              </w:rPr>
            </w:pPr>
            <w:r>
              <w:rPr>
                <w:b/>
                <w:szCs w:val="21"/>
              </w:rPr>
              <w:t>工种</w:t>
            </w:r>
          </w:p>
          <w:p w14:paraId="2D66C71B">
            <w:pPr>
              <w:pStyle w:val="30"/>
              <w:widowControl/>
              <w:rPr>
                <w:kern w:val="2"/>
                <w:sz w:val="21"/>
                <w:lang w:val="fr-FR"/>
              </w:rPr>
            </w:pPr>
            <w:r>
              <w:rPr>
                <w:kern w:val="2"/>
                <w:sz w:val="21"/>
                <w:lang w:val="fr-FR"/>
              </w:rPr>
              <w:t>catégorie d'emploi</w:t>
            </w:r>
          </w:p>
          <w:p w14:paraId="5AF10F9A">
            <w:pPr>
              <w:jc w:val="center"/>
              <w:rPr>
                <w:b/>
                <w:szCs w:val="21"/>
              </w:rPr>
            </w:pPr>
          </w:p>
        </w:tc>
        <w:tc>
          <w:tcPr>
            <w:tcW w:w="8328" w:type="dxa"/>
            <w:gridSpan w:val="7"/>
            <w:vAlign w:val="center"/>
          </w:tcPr>
          <w:p w14:paraId="6CF07B02">
            <w:pPr>
              <w:ind w:firstLine="422" w:firstLineChars="200"/>
              <w:jc w:val="center"/>
              <w:rPr>
                <w:b/>
                <w:szCs w:val="21"/>
              </w:rPr>
            </w:pPr>
            <w:r>
              <w:rPr>
                <w:b/>
                <w:szCs w:val="21"/>
              </w:rPr>
              <w:t>按工程施工阶段投入劳动力情况</w:t>
            </w:r>
          </w:p>
          <w:p w14:paraId="60ABE36D">
            <w:pPr>
              <w:pStyle w:val="30"/>
              <w:widowControl/>
              <w:jc w:val="center"/>
              <w:rPr>
                <w:b/>
                <w:szCs w:val="21"/>
                <w:lang w:val="fr-FR"/>
              </w:rPr>
            </w:pPr>
            <w:r>
              <w:rPr>
                <w:b/>
                <w:bCs/>
                <w:lang w:val="fr-FR"/>
              </w:rPr>
              <w:t>Main-d'œuvre par étape de la construction</w:t>
            </w:r>
          </w:p>
        </w:tc>
      </w:tr>
      <w:tr w14:paraId="631E9899">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767CCE7E">
            <w:pPr>
              <w:spacing w:line="360" w:lineRule="auto"/>
              <w:ind w:firstLine="420" w:firstLineChars="200"/>
              <w:rPr>
                <w:szCs w:val="21"/>
              </w:rPr>
            </w:pPr>
          </w:p>
        </w:tc>
        <w:tc>
          <w:tcPr>
            <w:tcW w:w="854" w:type="dxa"/>
            <w:gridSpan w:val="2"/>
            <w:vAlign w:val="center"/>
          </w:tcPr>
          <w:p w14:paraId="2D0AA4F2">
            <w:pPr>
              <w:spacing w:line="360" w:lineRule="auto"/>
              <w:ind w:firstLine="420" w:firstLineChars="200"/>
              <w:rPr>
                <w:szCs w:val="21"/>
              </w:rPr>
            </w:pPr>
          </w:p>
        </w:tc>
        <w:tc>
          <w:tcPr>
            <w:tcW w:w="1246" w:type="dxa"/>
            <w:vAlign w:val="center"/>
          </w:tcPr>
          <w:p w14:paraId="0C66A46B">
            <w:pPr>
              <w:spacing w:line="360" w:lineRule="auto"/>
              <w:ind w:firstLine="420" w:firstLineChars="200"/>
              <w:rPr>
                <w:szCs w:val="21"/>
              </w:rPr>
            </w:pPr>
          </w:p>
        </w:tc>
        <w:tc>
          <w:tcPr>
            <w:tcW w:w="1248" w:type="dxa"/>
            <w:vAlign w:val="center"/>
          </w:tcPr>
          <w:p w14:paraId="58BE61CE">
            <w:pPr>
              <w:spacing w:line="360" w:lineRule="auto"/>
              <w:ind w:firstLine="420" w:firstLineChars="200"/>
              <w:rPr>
                <w:szCs w:val="21"/>
              </w:rPr>
            </w:pPr>
          </w:p>
        </w:tc>
        <w:tc>
          <w:tcPr>
            <w:tcW w:w="1246" w:type="dxa"/>
            <w:vAlign w:val="center"/>
          </w:tcPr>
          <w:p w14:paraId="1ABAF9E0">
            <w:pPr>
              <w:spacing w:line="360" w:lineRule="auto"/>
              <w:ind w:firstLine="420" w:firstLineChars="200"/>
              <w:rPr>
                <w:szCs w:val="21"/>
              </w:rPr>
            </w:pPr>
          </w:p>
        </w:tc>
        <w:tc>
          <w:tcPr>
            <w:tcW w:w="1248" w:type="dxa"/>
            <w:vAlign w:val="center"/>
          </w:tcPr>
          <w:p w14:paraId="1210B848">
            <w:pPr>
              <w:spacing w:line="360" w:lineRule="auto"/>
              <w:ind w:firstLine="420" w:firstLineChars="200"/>
              <w:rPr>
                <w:szCs w:val="21"/>
              </w:rPr>
            </w:pPr>
          </w:p>
        </w:tc>
        <w:tc>
          <w:tcPr>
            <w:tcW w:w="1246" w:type="dxa"/>
            <w:vAlign w:val="center"/>
          </w:tcPr>
          <w:p w14:paraId="267A5496">
            <w:pPr>
              <w:spacing w:line="360" w:lineRule="auto"/>
              <w:ind w:firstLine="420" w:firstLineChars="200"/>
              <w:rPr>
                <w:szCs w:val="21"/>
              </w:rPr>
            </w:pPr>
          </w:p>
        </w:tc>
        <w:tc>
          <w:tcPr>
            <w:tcW w:w="1252" w:type="dxa"/>
            <w:vAlign w:val="center"/>
          </w:tcPr>
          <w:p w14:paraId="3E0BBB56">
            <w:pPr>
              <w:spacing w:line="360" w:lineRule="auto"/>
              <w:ind w:firstLine="420" w:firstLineChars="200"/>
              <w:rPr>
                <w:szCs w:val="21"/>
              </w:rPr>
            </w:pPr>
          </w:p>
        </w:tc>
      </w:tr>
      <w:tr w14:paraId="00B02754">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27D114ED">
            <w:pPr>
              <w:spacing w:line="360" w:lineRule="auto"/>
              <w:ind w:firstLine="420" w:firstLineChars="200"/>
              <w:rPr>
                <w:szCs w:val="21"/>
              </w:rPr>
            </w:pPr>
          </w:p>
        </w:tc>
        <w:tc>
          <w:tcPr>
            <w:tcW w:w="854" w:type="dxa"/>
            <w:gridSpan w:val="2"/>
            <w:vAlign w:val="center"/>
          </w:tcPr>
          <w:p w14:paraId="1B1C9ECB">
            <w:pPr>
              <w:spacing w:line="360" w:lineRule="auto"/>
              <w:ind w:firstLine="420" w:firstLineChars="200"/>
              <w:rPr>
                <w:szCs w:val="21"/>
              </w:rPr>
            </w:pPr>
          </w:p>
        </w:tc>
        <w:tc>
          <w:tcPr>
            <w:tcW w:w="1246" w:type="dxa"/>
            <w:vAlign w:val="center"/>
          </w:tcPr>
          <w:p w14:paraId="34048B4B">
            <w:pPr>
              <w:spacing w:line="360" w:lineRule="auto"/>
              <w:ind w:firstLine="420" w:firstLineChars="200"/>
              <w:rPr>
                <w:szCs w:val="21"/>
              </w:rPr>
            </w:pPr>
          </w:p>
        </w:tc>
        <w:tc>
          <w:tcPr>
            <w:tcW w:w="1248" w:type="dxa"/>
            <w:vAlign w:val="center"/>
          </w:tcPr>
          <w:p w14:paraId="2D6082E8">
            <w:pPr>
              <w:spacing w:line="360" w:lineRule="auto"/>
              <w:ind w:firstLine="420" w:firstLineChars="200"/>
              <w:rPr>
                <w:szCs w:val="21"/>
              </w:rPr>
            </w:pPr>
          </w:p>
        </w:tc>
        <w:tc>
          <w:tcPr>
            <w:tcW w:w="1246" w:type="dxa"/>
            <w:vAlign w:val="center"/>
          </w:tcPr>
          <w:p w14:paraId="6A8ABCC5">
            <w:pPr>
              <w:spacing w:line="360" w:lineRule="auto"/>
              <w:ind w:firstLine="420" w:firstLineChars="200"/>
              <w:rPr>
                <w:szCs w:val="21"/>
              </w:rPr>
            </w:pPr>
          </w:p>
        </w:tc>
        <w:tc>
          <w:tcPr>
            <w:tcW w:w="1248" w:type="dxa"/>
            <w:vAlign w:val="center"/>
          </w:tcPr>
          <w:p w14:paraId="6778BE23">
            <w:pPr>
              <w:spacing w:line="360" w:lineRule="auto"/>
              <w:ind w:firstLine="420" w:firstLineChars="200"/>
              <w:rPr>
                <w:szCs w:val="21"/>
              </w:rPr>
            </w:pPr>
          </w:p>
        </w:tc>
        <w:tc>
          <w:tcPr>
            <w:tcW w:w="1246" w:type="dxa"/>
            <w:vAlign w:val="center"/>
          </w:tcPr>
          <w:p w14:paraId="1E232620">
            <w:pPr>
              <w:spacing w:line="360" w:lineRule="auto"/>
              <w:ind w:firstLine="420" w:firstLineChars="200"/>
              <w:rPr>
                <w:szCs w:val="21"/>
              </w:rPr>
            </w:pPr>
          </w:p>
        </w:tc>
        <w:tc>
          <w:tcPr>
            <w:tcW w:w="1252" w:type="dxa"/>
            <w:vAlign w:val="center"/>
          </w:tcPr>
          <w:p w14:paraId="457A5232">
            <w:pPr>
              <w:spacing w:line="360" w:lineRule="auto"/>
              <w:ind w:firstLine="420" w:firstLineChars="200"/>
              <w:rPr>
                <w:szCs w:val="21"/>
              </w:rPr>
            </w:pPr>
          </w:p>
        </w:tc>
      </w:tr>
      <w:tr w14:paraId="5F33312C">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00E168DB">
            <w:pPr>
              <w:spacing w:line="360" w:lineRule="auto"/>
              <w:ind w:firstLine="420" w:firstLineChars="200"/>
              <w:rPr>
                <w:szCs w:val="21"/>
              </w:rPr>
            </w:pPr>
          </w:p>
        </w:tc>
        <w:tc>
          <w:tcPr>
            <w:tcW w:w="854" w:type="dxa"/>
            <w:gridSpan w:val="2"/>
            <w:vAlign w:val="center"/>
          </w:tcPr>
          <w:p w14:paraId="62805AE5">
            <w:pPr>
              <w:spacing w:line="360" w:lineRule="auto"/>
              <w:ind w:firstLine="420" w:firstLineChars="200"/>
              <w:rPr>
                <w:szCs w:val="21"/>
              </w:rPr>
            </w:pPr>
          </w:p>
        </w:tc>
        <w:tc>
          <w:tcPr>
            <w:tcW w:w="1246" w:type="dxa"/>
            <w:vAlign w:val="center"/>
          </w:tcPr>
          <w:p w14:paraId="712BF783">
            <w:pPr>
              <w:spacing w:line="360" w:lineRule="auto"/>
              <w:ind w:firstLine="420" w:firstLineChars="200"/>
              <w:rPr>
                <w:szCs w:val="21"/>
              </w:rPr>
            </w:pPr>
          </w:p>
        </w:tc>
        <w:tc>
          <w:tcPr>
            <w:tcW w:w="1248" w:type="dxa"/>
            <w:vAlign w:val="center"/>
          </w:tcPr>
          <w:p w14:paraId="3EC358E5">
            <w:pPr>
              <w:spacing w:line="360" w:lineRule="auto"/>
              <w:ind w:firstLine="420" w:firstLineChars="200"/>
              <w:rPr>
                <w:szCs w:val="21"/>
              </w:rPr>
            </w:pPr>
          </w:p>
        </w:tc>
        <w:tc>
          <w:tcPr>
            <w:tcW w:w="1246" w:type="dxa"/>
            <w:vAlign w:val="center"/>
          </w:tcPr>
          <w:p w14:paraId="67363037">
            <w:pPr>
              <w:spacing w:line="360" w:lineRule="auto"/>
              <w:ind w:firstLine="420" w:firstLineChars="200"/>
              <w:rPr>
                <w:szCs w:val="21"/>
              </w:rPr>
            </w:pPr>
          </w:p>
        </w:tc>
        <w:tc>
          <w:tcPr>
            <w:tcW w:w="1248" w:type="dxa"/>
            <w:vAlign w:val="center"/>
          </w:tcPr>
          <w:p w14:paraId="24E4A4D2">
            <w:pPr>
              <w:spacing w:line="360" w:lineRule="auto"/>
              <w:ind w:firstLine="420" w:firstLineChars="200"/>
              <w:rPr>
                <w:szCs w:val="21"/>
              </w:rPr>
            </w:pPr>
          </w:p>
        </w:tc>
        <w:tc>
          <w:tcPr>
            <w:tcW w:w="1246" w:type="dxa"/>
            <w:vAlign w:val="center"/>
          </w:tcPr>
          <w:p w14:paraId="7293C2E9">
            <w:pPr>
              <w:spacing w:line="360" w:lineRule="auto"/>
              <w:ind w:firstLine="420" w:firstLineChars="200"/>
              <w:rPr>
                <w:szCs w:val="21"/>
              </w:rPr>
            </w:pPr>
          </w:p>
        </w:tc>
        <w:tc>
          <w:tcPr>
            <w:tcW w:w="1252" w:type="dxa"/>
            <w:vAlign w:val="center"/>
          </w:tcPr>
          <w:p w14:paraId="29A94E72">
            <w:pPr>
              <w:spacing w:line="360" w:lineRule="auto"/>
              <w:ind w:firstLine="420" w:firstLineChars="200"/>
              <w:rPr>
                <w:szCs w:val="21"/>
              </w:rPr>
            </w:pPr>
          </w:p>
        </w:tc>
      </w:tr>
      <w:tr w14:paraId="57E45927">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49F242F2">
            <w:pPr>
              <w:spacing w:line="360" w:lineRule="auto"/>
              <w:ind w:firstLine="420" w:firstLineChars="200"/>
              <w:rPr>
                <w:szCs w:val="21"/>
              </w:rPr>
            </w:pPr>
          </w:p>
        </w:tc>
        <w:tc>
          <w:tcPr>
            <w:tcW w:w="854" w:type="dxa"/>
            <w:gridSpan w:val="2"/>
            <w:vAlign w:val="center"/>
          </w:tcPr>
          <w:p w14:paraId="6DFF0F35">
            <w:pPr>
              <w:spacing w:line="360" w:lineRule="auto"/>
              <w:ind w:firstLine="420" w:firstLineChars="200"/>
              <w:rPr>
                <w:szCs w:val="21"/>
              </w:rPr>
            </w:pPr>
          </w:p>
        </w:tc>
        <w:tc>
          <w:tcPr>
            <w:tcW w:w="1246" w:type="dxa"/>
            <w:vAlign w:val="center"/>
          </w:tcPr>
          <w:p w14:paraId="6CF76787">
            <w:pPr>
              <w:spacing w:line="360" w:lineRule="auto"/>
              <w:ind w:firstLine="420" w:firstLineChars="200"/>
              <w:rPr>
                <w:szCs w:val="21"/>
              </w:rPr>
            </w:pPr>
          </w:p>
        </w:tc>
        <w:tc>
          <w:tcPr>
            <w:tcW w:w="1248" w:type="dxa"/>
            <w:vAlign w:val="center"/>
          </w:tcPr>
          <w:p w14:paraId="6A4B88DF">
            <w:pPr>
              <w:spacing w:line="360" w:lineRule="auto"/>
              <w:ind w:firstLine="420" w:firstLineChars="200"/>
              <w:rPr>
                <w:szCs w:val="21"/>
              </w:rPr>
            </w:pPr>
          </w:p>
        </w:tc>
        <w:tc>
          <w:tcPr>
            <w:tcW w:w="1246" w:type="dxa"/>
            <w:vAlign w:val="center"/>
          </w:tcPr>
          <w:p w14:paraId="6ECEC354">
            <w:pPr>
              <w:spacing w:line="360" w:lineRule="auto"/>
              <w:ind w:firstLine="420" w:firstLineChars="200"/>
              <w:rPr>
                <w:szCs w:val="21"/>
              </w:rPr>
            </w:pPr>
          </w:p>
        </w:tc>
        <w:tc>
          <w:tcPr>
            <w:tcW w:w="1248" w:type="dxa"/>
            <w:vAlign w:val="center"/>
          </w:tcPr>
          <w:p w14:paraId="0D285213">
            <w:pPr>
              <w:spacing w:line="360" w:lineRule="auto"/>
              <w:ind w:firstLine="420" w:firstLineChars="200"/>
              <w:rPr>
                <w:szCs w:val="21"/>
              </w:rPr>
            </w:pPr>
          </w:p>
        </w:tc>
        <w:tc>
          <w:tcPr>
            <w:tcW w:w="1246" w:type="dxa"/>
            <w:vAlign w:val="center"/>
          </w:tcPr>
          <w:p w14:paraId="5EE14D63">
            <w:pPr>
              <w:spacing w:line="360" w:lineRule="auto"/>
              <w:ind w:firstLine="420" w:firstLineChars="200"/>
              <w:rPr>
                <w:szCs w:val="21"/>
              </w:rPr>
            </w:pPr>
          </w:p>
        </w:tc>
        <w:tc>
          <w:tcPr>
            <w:tcW w:w="1252" w:type="dxa"/>
            <w:vAlign w:val="center"/>
          </w:tcPr>
          <w:p w14:paraId="0462A86F">
            <w:pPr>
              <w:spacing w:line="360" w:lineRule="auto"/>
              <w:ind w:firstLine="420" w:firstLineChars="200"/>
              <w:rPr>
                <w:szCs w:val="21"/>
              </w:rPr>
            </w:pPr>
          </w:p>
        </w:tc>
      </w:tr>
      <w:tr w14:paraId="21F292AC">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6E3D1B29">
            <w:pPr>
              <w:spacing w:line="360" w:lineRule="auto"/>
              <w:ind w:firstLine="420" w:firstLineChars="200"/>
              <w:rPr>
                <w:szCs w:val="21"/>
              </w:rPr>
            </w:pPr>
          </w:p>
        </w:tc>
        <w:tc>
          <w:tcPr>
            <w:tcW w:w="854" w:type="dxa"/>
            <w:gridSpan w:val="2"/>
            <w:vAlign w:val="center"/>
          </w:tcPr>
          <w:p w14:paraId="3947E69C">
            <w:pPr>
              <w:spacing w:line="360" w:lineRule="auto"/>
              <w:ind w:firstLine="420" w:firstLineChars="200"/>
              <w:rPr>
                <w:szCs w:val="21"/>
              </w:rPr>
            </w:pPr>
          </w:p>
        </w:tc>
        <w:tc>
          <w:tcPr>
            <w:tcW w:w="1246" w:type="dxa"/>
            <w:vAlign w:val="center"/>
          </w:tcPr>
          <w:p w14:paraId="1666CC1C">
            <w:pPr>
              <w:spacing w:line="360" w:lineRule="auto"/>
              <w:ind w:firstLine="420" w:firstLineChars="200"/>
              <w:rPr>
                <w:szCs w:val="21"/>
              </w:rPr>
            </w:pPr>
          </w:p>
        </w:tc>
        <w:tc>
          <w:tcPr>
            <w:tcW w:w="1248" w:type="dxa"/>
            <w:vAlign w:val="center"/>
          </w:tcPr>
          <w:p w14:paraId="00B1150F">
            <w:pPr>
              <w:spacing w:line="360" w:lineRule="auto"/>
              <w:ind w:firstLine="420" w:firstLineChars="200"/>
              <w:rPr>
                <w:szCs w:val="21"/>
              </w:rPr>
            </w:pPr>
          </w:p>
        </w:tc>
        <w:tc>
          <w:tcPr>
            <w:tcW w:w="1246" w:type="dxa"/>
            <w:vAlign w:val="center"/>
          </w:tcPr>
          <w:p w14:paraId="24818D7C">
            <w:pPr>
              <w:spacing w:line="360" w:lineRule="auto"/>
              <w:ind w:firstLine="420" w:firstLineChars="200"/>
              <w:rPr>
                <w:szCs w:val="21"/>
              </w:rPr>
            </w:pPr>
          </w:p>
        </w:tc>
        <w:tc>
          <w:tcPr>
            <w:tcW w:w="1248" w:type="dxa"/>
            <w:vAlign w:val="center"/>
          </w:tcPr>
          <w:p w14:paraId="191D87E5">
            <w:pPr>
              <w:spacing w:line="360" w:lineRule="auto"/>
              <w:ind w:firstLine="420" w:firstLineChars="200"/>
              <w:rPr>
                <w:szCs w:val="21"/>
              </w:rPr>
            </w:pPr>
          </w:p>
        </w:tc>
        <w:tc>
          <w:tcPr>
            <w:tcW w:w="1246" w:type="dxa"/>
            <w:vAlign w:val="center"/>
          </w:tcPr>
          <w:p w14:paraId="1CF323DD">
            <w:pPr>
              <w:spacing w:line="360" w:lineRule="auto"/>
              <w:ind w:firstLine="420" w:firstLineChars="200"/>
              <w:rPr>
                <w:szCs w:val="21"/>
              </w:rPr>
            </w:pPr>
          </w:p>
        </w:tc>
        <w:tc>
          <w:tcPr>
            <w:tcW w:w="1252" w:type="dxa"/>
            <w:vAlign w:val="center"/>
          </w:tcPr>
          <w:p w14:paraId="36B391F1">
            <w:pPr>
              <w:spacing w:line="360" w:lineRule="auto"/>
              <w:ind w:firstLine="420" w:firstLineChars="200"/>
              <w:rPr>
                <w:szCs w:val="21"/>
              </w:rPr>
            </w:pPr>
          </w:p>
        </w:tc>
      </w:tr>
      <w:tr w14:paraId="1934C620">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71F1909F">
            <w:pPr>
              <w:spacing w:line="360" w:lineRule="auto"/>
              <w:ind w:firstLine="420" w:firstLineChars="200"/>
              <w:rPr>
                <w:szCs w:val="21"/>
              </w:rPr>
            </w:pPr>
          </w:p>
        </w:tc>
        <w:tc>
          <w:tcPr>
            <w:tcW w:w="854" w:type="dxa"/>
            <w:gridSpan w:val="2"/>
            <w:vAlign w:val="center"/>
          </w:tcPr>
          <w:p w14:paraId="5B46102E">
            <w:pPr>
              <w:spacing w:line="360" w:lineRule="auto"/>
              <w:ind w:firstLine="420" w:firstLineChars="200"/>
              <w:rPr>
                <w:szCs w:val="21"/>
              </w:rPr>
            </w:pPr>
          </w:p>
        </w:tc>
        <w:tc>
          <w:tcPr>
            <w:tcW w:w="1246" w:type="dxa"/>
            <w:vAlign w:val="center"/>
          </w:tcPr>
          <w:p w14:paraId="29E7AE9F">
            <w:pPr>
              <w:spacing w:line="360" w:lineRule="auto"/>
              <w:ind w:firstLine="420" w:firstLineChars="200"/>
              <w:rPr>
                <w:szCs w:val="21"/>
              </w:rPr>
            </w:pPr>
          </w:p>
        </w:tc>
        <w:tc>
          <w:tcPr>
            <w:tcW w:w="1248" w:type="dxa"/>
            <w:vAlign w:val="center"/>
          </w:tcPr>
          <w:p w14:paraId="3822D18B">
            <w:pPr>
              <w:spacing w:line="360" w:lineRule="auto"/>
              <w:ind w:firstLine="420" w:firstLineChars="200"/>
              <w:rPr>
                <w:szCs w:val="21"/>
              </w:rPr>
            </w:pPr>
          </w:p>
        </w:tc>
        <w:tc>
          <w:tcPr>
            <w:tcW w:w="1246" w:type="dxa"/>
            <w:vAlign w:val="center"/>
          </w:tcPr>
          <w:p w14:paraId="2ACD9BC9">
            <w:pPr>
              <w:spacing w:line="360" w:lineRule="auto"/>
              <w:ind w:firstLine="420" w:firstLineChars="200"/>
              <w:rPr>
                <w:szCs w:val="21"/>
              </w:rPr>
            </w:pPr>
          </w:p>
        </w:tc>
        <w:tc>
          <w:tcPr>
            <w:tcW w:w="1248" w:type="dxa"/>
            <w:vAlign w:val="center"/>
          </w:tcPr>
          <w:p w14:paraId="2CDE4324">
            <w:pPr>
              <w:spacing w:line="360" w:lineRule="auto"/>
              <w:ind w:firstLine="420" w:firstLineChars="200"/>
              <w:rPr>
                <w:szCs w:val="21"/>
              </w:rPr>
            </w:pPr>
          </w:p>
        </w:tc>
        <w:tc>
          <w:tcPr>
            <w:tcW w:w="1246" w:type="dxa"/>
            <w:vAlign w:val="center"/>
          </w:tcPr>
          <w:p w14:paraId="65C27CBD">
            <w:pPr>
              <w:spacing w:line="360" w:lineRule="auto"/>
              <w:ind w:firstLine="420" w:firstLineChars="200"/>
              <w:rPr>
                <w:szCs w:val="21"/>
              </w:rPr>
            </w:pPr>
          </w:p>
        </w:tc>
        <w:tc>
          <w:tcPr>
            <w:tcW w:w="1252" w:type="dxa"/>
            <w:vAlign w:val="center"/>
          </w:tcPr>
          <w:p w14:paraId="7138557E">
            <w:pPr>
              <w:spacing w:line="360" w:lineRule="auto"/>
              <w:ind w:firstLine="420" w:firstLineChars="200"/>
              <w:rPr>
                <w:szCs w:val="21"/>
              </w:rPr>
            </w:pPr>
          </w:p>
        </w:tc>
      </w:tr>
      <w:tr w14:paraId="1E94F91F">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18A17D23">
            <w:pPr>
              <w:spacing w:line="360" w:lineRule="auto"/>
              <w:ind w:firstLine="420" w:firstLineChars="200"/>
              <w:rPr>
                <w:szCs w:val="21"/>
              </w:rPr>
            </w:pPr>
          </w:p>
        </w:tc>
        <w:tc>
          <w:tcPr>
            <w:tcW w:w="854" w:type="dxa"/>
            <w:gridSpan w:val="2"/>
            <w:vAlign w:val="center"/>
          </w:tcPr>
          <w:p w14:paraId="064A7472">
            <w:pPr>
              <w:spacing w:line="360" w:lineRule="auto"/>
              <w:ind w:firstLine="420" w:firstLineChars="200"/>
              <w:rPr>
                <w:szCs w:val="21"/>
              </w:rPr>
            </w:pPr>
          </w:p>
        </w:tc>
        <w:tc>
          <w:tcPr>
            <w:tcW w:w="1246" w:type="dxa"/>
            <w:vAlign w:val="center"/>
          </w:tcPr>
          <w:p w14:paraId="7161ECE3">
            <w:pPr>
              <w:spacing w:line="360" w:lineRule="auto"/>
              <w:ind w:firstLine="420" w:firstLineChars="200"/>
              <w:rPr>
                <w:szCs w:val="21"/>
              </w:rPr>
            </w:pPr>
          </w:p>
        </w:tc>
        <w:tc>
          <w:tcPr>
            <w:tcW w:w="1248" w:type="dxa"/>
            <w:vAlign w:val="center"/>
          </w:tcPr>
          <w:p w14:paraId="54C9B880">
            <w:pPr>
              <w:spacing w:line="360" w:lineRule="auto"/>
              <w:ind w:firstLine="420" w:firstLineChars="200"/>
              <w:rPr>
                <w:szCs w:val="21"/>
              </w:rPr>
            </w:pPr>
          </w:p>
        </w:tc>
        <w:tc>
          <w:tcPr>
            <w:tcW w:w="1246" w:type="dxa"/>
            <w:vAlign w:val="center"/>
          </w:tcPr>
          <w:p w14:paraId="59B7E00A">
            <w:pPr>
              <w:spacing w:line="360" w:lineRule="auto"/>
              <w:ind w:firstLine="420" w:firstLineChars="200"/>
              <w:rPr>
                <w:szCs w:val="21"/>
              </w:rPr>
            </w:pPr>
          </w:p>
        </w:tc>
        <w:tc>
          <w:tcPr>
            <w:tcW w:w="1248" w:type="dxa"/>
            <w:vAlign w:val="center"/>
          </w:tcPr>
          <w:p w14:paraId="7E1ABBCB">
            <w:pPr>
              <w:spacing w:line="360" w:lineRule="auto"/>
              <w:ind w:firstLine="420" w:firstLineChars="200"/>
              <w:rPr>
                <w:szCs w:val="21"/>
              </w:rPr>
            </w:pPr>
          </w:p>
        </w:tc>
        <w:tc>
          <w:tcPr>
            <w:tcW w:w="1246" w:type="dxa"/>
            <w:vAlign w:val="center"/>
          </w:tcPr>
          <w:p w14:paraId="62A3449E">
            <w:pPr>
              <w:spacing w:line="360" w:lineRule="auto"/>
              <w:ind w:firstLine="420" w:firstLineChars="200"/>
              <w:rPr>
                <w:szCs w:val="21"/>
              </w:rPr>
            </w:pPr>
          </w:p>
        </w:tc>
        <w:tc>
          <w:tcPr>
            <w:tcW w:w="1252" w:type="dxa"/>
            <w:vAlign w:val="center"/>
          </w:tcPr>
          <w:p w14:paraId="2C8C5491">
            <w:pPr>
              <w:spacing w:line="360" w:lineRule="auto"/>
              <w:ind w:firstLine="420" w:firstLineChars="200"/>
              <w:rPr>
                <w:szCs w:val="21"/>
              </w:rPr>
            </w:pPr>
          </w:p>
        </w:tc>
      </w:tr>
      <w:tr w14:paraId="4AB25222">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5425E7D0">
            <w:pPr>
              <w:spacing w:line="360" w:lineRule="auto"/>
              <w:ind w:firstLine="420" w:firstLineChars="200"/>
              <w:rPr>
                <w:szCs w:val="21"/>
              </w:rPr>
            </w:pPr>
          </w:p>
        </w:tc>
        <w:tc>
          <w:tcPr>
            <w:tcW w:w="854" w:type="dxa"/>
            <w:gridSpan w:val="2"/>
            <w:vAlign w:val="center"/>
          </w:tcPr>
          <w:p w14:paraId="4D3AF053">
            <w:pPr>
              <w:spacing w:line="360" w:lineRule="auto"/>
              <w:ind w:firstLine="420" w:firstLineChars="200"/>
              <w:rPr>
                <w:szCs w:val="21"/>
              </w:rPr>
            </w:pPr>
          </w:p>
        </w:tc>
        <w:tc>
          <w:tcPr>
            <w:tcW w:w="1246" w:type="dxa"/>
            <w:vAlign w:val="center"/>
          </w:tcPr>
          <w:p w14:paraId="69229138">
            <w:pPr>
              <w:spacing w:line="360" w:lineRule="auto"/>
              <w:ind w:firstLine="420" w:firstLineChars="200"/>
              <w:rPr>
                <w:szCs w:val="21"/>
              </w:rPr>
            </w:pPr>
          </w:p>
        </w:tc>
        <w:tc>
          <w:tcPr>
            <w:tcW w:w="1248" w:type="dxa"/>
            <w:vAlign w:val="center"/>
          </w:tcPr>
          <w:p w14:paraId="6E29EEDA">
            <w:pPr>
              <w:spacing w:line="360" w:lineRule="auto"/>
              <w:ind w:firstLine="420" w:firstLineChars="200"/>
              <w:rPr>
                <w:szCs w:val="21"/>
              </w:rPr>
            </w:pPr>
          </w:p>
        </w:tc>
        <w:tc>
          <w:tcPr>
            <w:tcW w:w="1246" w:type="dxa"/>
            <w:vAlign w:val="center"/>
          </w:tcPr>
          <w:p w14:paraId="59BD1568">
            <w:pPr>
              <w:spacing w:line="360" w:lineRule="auto"/>
              <w:ind w:firstLine="420" w:firstLineChars="200"/>
              <w:rPr>
                <w:szCs w:val="21"/>
              </w:rPr>
            </w:pPr>
          </w:p>
        </w:tc>
        <w:tc>
          <w:tcPr>
            <w:tcW w:w="1248" w:type="dxa"/>
            <w:vAlign w:val="center"/>
          </w:tcPr>
          <w:p w14:paraId="45EB2C7E">
            <w:pPr>
              <w:spacing w:line="360" w:lineRule="auto"/>
              <w:ind w:firstLine="420" w:firstLineChars="200"/>
              <w:rPr>
                <w:szCs w:val="21"/>
              </w:rPr>
            </w:pPr>
          </w:p>
        </w:tc>
        <w:tc>
          <w:tcPr>
            <w:tcW w:w="1246" w:type="dxa"/>
            <w:vAlign w:val="center"/>
          </w:tcPr>
          <w:p w14:paraId="6A16C552">
            <w:pPr>
              <w:spacing w:line="360" w:lineRule="auto"/>
              <w:ind w:firstLine="420" w:firstLineChars="200"/>
              <w:rPr>
                <w:szCs w:val="21"/>
              </w:rPr>
            </w:pPr>
          </w:p>
        </w:tc>
        <w:tc>
          <w:tcPr>
            <w:tcW w:w="1252" w:type="dxa"/>
            <w:vAlign w:val="center"/>
          </w:tcPr>
          <w:p w14:paraId="069CDC0B">
            <w:pPr>
              <w:spacing w:line="360" w:lineRule="auto"/>
              <w:ind w:firstLine="420" w:firstLineChars="200"/>
              <w:rPr>
                <w:szCs w:val="21"/>
              </w:rPr>
            </w:pPr>
          </w:p>
        </w:tc>
      </w:tr>
      <w:tr w14:paraId="37C3654E">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3605CEC6">
            <w:pPr>
              <w:spacing w:line="360" w:lineRule="auto"/>
              <w:ind w:firstLine="420" w:firstLineChars="200"/>
              <w:rPr>
                <w:szCs w:val="21"/>
              </w:rPr>
            </w:pPr>
          </w:p>
        </w:tc>
        <w:tc>
          <w:tcPr>
            <w:tcW w:w="854" w:type="dxa"/>
            <w:gridSpan w:val="2"/>
            <w:vAlign w:val="center"/>
          </w:tcPr>
          <w:p w14:paraId="17DA5567">
            <w:pPr>
              <w:spacing w:line="360" w:lineRule="auto"/>
              <w:ind w:firstLine="420" w:firstLineChars="200"/>
              <w:rPr>
                <w:szCs w:val="21"/>
              </w:rPr>
            </w:pPr>
          </w:p>
        </w:tc>
        <w:tc>
          <w:tcPr>
            <w:tcW w:w="1246" w:type="dxa"/>
            <w:vAlign w:val="center"/>
          </w:tcPr>
          <w:p w14:paraId="2E0B113B">
            <w:pPr>
              <w:spacing w:line="360" w:lineRule="auto"/>
              <w:ind w:firstLine="420" w:firstLineChars="200"/>
              <w:rPr>
                <w:szCs w:val="21"/>
              </w:rPr>
            </w:pPr>
          </w:p>
        </w:tc>
        <w:tc>
          <w:tcPr>
            <w:tcW w:w="1248" w:type="dxa"/>
            <w:vAlign w:val="center"/>
          </w:tcPr>
          <w:p w14:paraId="79A0E2D7">
            <w:pPr>
              <w:spacing w:line="360" w:lineRule="auto"/>
              <w:ind w:firstLine="420" w:firstLineChars="200"/>
              <w:rPr>
                <w:szCs w:val="21"/>
              </w:rPr>
            </w:pPr>
          </w:p>
        </w:tc>
        <w:tc>
          <w:tcPr>
            <w:tcW w:w="1246" w:type="dxa"/>
            <w:vAlign w:val="center"/>
          </w:tcPr>
          <w:p w14:paraId="2C2B4D37">
            <w:pPr>
              <w:spacing w:line="360" w:lineRule="auto"/>
              <w:ind w:firstLine="420" w:firstLineChars="200"/>
              <w:rPr>
                <w:szCs w:val="21"/>
              </w:rPr>
            </w:pPr>
          </w:p>
        </w:tc>
        <w:tc>
          <w:tcPr>
            <w:tcW w:w="1248" w:type="dxa"/>
            <w:vAlign w:val="center"/>
          </w:tcPr>
          <w:p w14:paraId="143DFB3E">
            <w:pPr>
              <w:spacing w:line="360" w:lineRule="auto"/>
              <w:ind w:firstLine="420" w:firstLineChars="200"/>
              <w:rPr>
                <w:szCs w:val="21"/>
              </w:rPr>
            </w:pPr>
          </w:p>
        </w:tc>
        <w:tc>
          <w:tcPr>
            <w:tcW w:w="1246" w:type="dxa"/>
            <w:vAlign w:val="center"/>
          </w:tcPr>
          <w:p w14:paraId="28DC3F35">
            <w:pPr>
              <w:spacing w:line="360" w:lineRule="auto"/>
              <w:ind w:firstLine="420" w:firstLineChars="200"/>
              <w:rPr>
                <w:szCs w:val="21"/>
              </w:rPr>
            </w:pPr>
          </w:p>
        </w:tc>
        <w:tc>
          <w:tcPr>
            <w:tcW w:w="1252" w:type="dxa"/>
            <w:vAlign w:val="center"/>
          </w:tcPr>
          <w:p w14:paraId="2471AB3F">
            <w:pPr>
              <w:spacing w:line="360" w:lineRule="auto"/>
              <w:ind w:firstLine="420" w:firstLineChars="200"/>
              <w:rPr>
                <w:szCs w:val="21"/>
              </w:rPr>
            </w:pPr>
          </w:p>
        </w:tc>
      </w:tr>
      <w:tr w14:paraId="348B875B">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5E123DDF">
            <w:pPr>
              <w:spacing w:line="360" w:lineRule="auto"/>
              <w:ind w:firstLine="420" w:firstLineChars="200"/>
              <w:rPr>
                <w:szCs w:val="21"/>
              </w:rPr>
            </w:pPr>
          </w:p>
        </w:tc>
        <w:tc>
          <w:tcPr>
            <w:tcW w:w="854" w:type="dxa"/>
            <w:gridSpan w:val="2"/>
            <w:vAlign w:val="center"/>
          </w:tcPr>
          <w:p w14:paraId="7CDC7A5C">
            <w:pPr>
              <w:spacing w:line="360" w:lineRule="auto"/>
              <w:ind w:firstLine="420" w:firstLineChars="200"/>
              <w:rPr>
                <w:szCs w:val="21"/>
              </w:rPr>
            </w:pPr>
          </w:p>
        </w:tc>
        <w:tc>
          <w:tcPr>
            <w:tcW w:w="1246" w:type="dxa"/>
            <w:vAlign w:val="center"/>
          </w:tcPr>
          <w:p w14:paraId="314F2045">
            <w:pPr>
              <w:spacing w:line="360" w:lineRule="auto"/>
              <w:ind w:firstLine="420" w:firstLineChars="200"/>
              <w:rPr>
                <w:szCs w:val="21"/>
              </w:rPr>
            </w:pPr>
          </w:p>
        </w:tc>
        <w:tc>
          <w:tcPr>
            <w:tcW w:w="1248" w:type="dxa"/>
            <w:vAlign w:val="center"/>
          </w:tcPr>
          <w:p w14:paraId="4395D2DB">
            <w:pPr>
              <w:spacing w:line="360" w:lineRule="auto"/>
              <w:ind w:firstLine="420" w:firstLineChars="200"/>
              <w:rPr>
                <w:szCs w:val="21"/>
              </w:rPr>
            </w:pPr>
          </w:p>
        </w:tc>
        <w:tc>
          <w:tcPr>
            <w:tcW w:w="1246" w:type="dxa"/>
            <w:vAlign w:val="center"/>
          </w:tcPr>
          <w:p w14:paraId="65C6E297">
            <w:pPr>
              <w:spacing w:line="360" w:lineRule="auto"/>
              <w:ind w:firstLine="420" w:firstLineChars="200"/>
              <w:rPr>
                <w:szCs w:val="21"/>
              </w:rPr>
            </w:pPr>
          </w:p>
        </w:tc>
        <w:tc>
          <w:tcPr>
            <w:tcW w:w="1248" w:type="dxa"/>
            <w:vAlign w:val="center"/>
          </w:tcPr>
          <w:p w14:paraId="19EF9C31">
            <w:pPr>
              <w:spacing w:line="360" w:lineRule="auto"/>
              <w:ind w:firstLine="420" w:firstLineChars="200"/>
              <w:rPr>
                <w:szCs w:val="21"/>
              </w:rPr>
            </w:pPr>
          </w:p>
        </w:tc>
        <w:tc>
          <w:tcPr>
            <w:tcW w:w="1246" w:type="dxa"/>
            <w:vAlign w:val="center"/>
          </w:tcPr>
          <w:p w14:paraId="1847B568">
            <w:pPr>
              <w:spacing w:line="360" w:lineRule="auto"/>
              <w:ind w:firstLine="420" w:firstLineChars="200"/>
              <w:rPr>
                <w:szCs w:val="21"/>
              </w:rPr>
            </w:pPr>
          </w:p>
        </w:tc>
        <w:tc>
          <w:tcPr>
            <w:tcW w:w="1252" w:type="dxa"/>
            <w:vAlign w:val="center"/>
          </w:tcPr>
          <w:p w14:paraId="120713B3">
            <w:pPr>
              <w:spacing w:line="360" w:lineRule="auto"/>
              <w:ind w:firstLine="420" w:firstLineChars="200"/>
              <w:rPr>
                <w:szCs w:val="21"/>
              </w:rPr>
            </w:pPr>
          </w:p>
        </w:tc>
      </w:tr>
      <w:tr w14:paraId="00B8F4AF">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67D472EA">
            <w:pPr>
              <w:spacing w:line="360" w:lineRule="auto"/>
              <w:ind w:firstLine="420" w:firstLineChars="200"/>
              <w:rPr>
                <w:szCs w:val="21"/>
              </w:rPr>
            </w:pPr>
          </w:p>
        </w:tc>
        <w:tc>
          <w:tcPr>
            <w:tcW w:w="854" w:type="dxa"/>
            <w:gridSpan w:val="2"/>
            <w:vAlign w:val="center"/>
          </w:tcPr>
          <w:p w14:paraId="5C497870">
            <w:pPr>
              <w:spacing w:line="360" w:lineRule="auto"/>
              <w:ind w:firstLine="420" w:firstLineChars="200"/>
              <w:rPr>
                <w:szCs w:val="21"/>
              </w:rPr>
            </w:pPr>
          </w:p>
        </w:tc>
        <w:tc>
          <w:tcPr>
            <w:tcW w:w="1246" w:type="dxa"/>
            <w:vAlign w:val="center"/>
          </w:tcPr>
          <w:p w14:paraId="099E3D14">
            <w:pPr>
              <w:spacing w:line="360" w:lineRule="auto"/>
              <w:ind w:firstLine="420" w:firstLineChars="200"/>
              <w:rPr>
                <w:szCs w:val="21"/>
              </w:rPr>
            </w:pPr>
          </w:p>
        </w:tc>
        <w:tc>
          <w:tcPr>
            <w:tcW w:w="1248" w:type="dxa"/>
            <w:vAlign w:val="center"/>
          </w:tcPr>
          <w:p w14:paraId="1699DA52">
            <w:pPr>
              <w:spacing w:line="360" w:lineRule="auto"/>
              <w:ind w:firstLine="420" w:firstLineChars="200"/>
              <w:rPr>
                <w:szCs w:val="21"/>
              </w:rPr>
            </w:pPr>
          </w:p>
        </w:tc>
        <w:tc>
          <w:tcPr>
            <w:tcW w:w="1246" w:type="dxa"/>
            <w:vAlign w:val="center"/>
          </w:tcPr>
          <w:p w14:paraId="27593C28">
            <w:pPr>
              <w:spacing w:line="360" w:lineRule="auto"/>
              <w:ind w:firstLine="420" w:firstLineChars="200"/>
              <w:rPr>
                <w:szCs w:val="21"/>
              </w:rPr>
            </w:pPr>
          </w:p>
        </w:tc>
        <w:tc>
          <w:tcPr>
            <w:tcW w:w="1248" w:type="dxa"/>
            <w:vAlign w:val="center"/>
          </w:tcPr>
          <w:p w14:paraId="25657F22">
            <w:pPr>
              <w:spacing w:line="360" w:lineRule="auto"/>
              <w:ind w:firstLine="420" w:firstLineChars="200"/>
              <w:rPr>
                <w:szCs w:val="21"/>
              </w:rPr>
            </w:pPr>
          </w:p>
        </w:tc>
        <w:tc>
          <w:tcPr>
            <w:tcW w:w="1246" w:type="dxa"/>
            <w:vAlign w:val="center"/>
          </w:tcPr>
          <w:p w14:paraId="41CB0275">
            <w:pPr>
              <w:spacing w:line="360" w:lineRule="auto"/>
              <w:ind w:firstLine="420" w:firstLineChars="200"/>
              <w:rPr>
                <w:szCs w:val="21"/>
              </w:rPr>
            </w:pPr>
          </w:p>
        </w:tc>
        <w:tc>
          <w:tcPr>
            <w:tcW w:w="1252" w:type="dxa"/>
            <w:vAlign w:val="center"/>
          </w:tcPr>
          <w:p w14:paraId="242A2ACE">
            <w:pPr>
              <w:spacing w:line="360" w:lineRule="auto"/>
              <w:ind w:firstLine="420" w:firstLineChars="200"/>
              <w:rPr>
                <w:szCs w:val="21"/>
              </w:rPr>
            </w:pPr>
          </w:p>
        </w:tc>
      </w:tr>
      <w:tr w14:paraId="75C01ED7">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528F9ADD">
            <w:pPr>
              <w:spacing w:line="360" w:lineRule="auto"/>
              <w:ind w:firstLine="420" w:firstLineChars="200"/>
              <w:rPr>
                <w:szCs w:val="21"/>
              </w:rPr>
            </w:pPr>
          </w:p>
        </w:tc>
        <w:tc>
          <w:tcPr>
            <w:tcW w:w="854" w:type="dxa"/>
            <w:gridSpan w:val="2"/>
            <w:vAlign w:val="center"/>
          </w:tcPr>
          <w:p w14:paraId="6A350074">
            <w:pPr>
              <w:spacing w:line="360" w:lineRule="auto"/>
              <w:ind w:firstLine="420" w:firstLineChars="200"/>
              <w:rPr>
                <w:szCs w:val="21"/>
              </w:rPr>
            </w:pPr>
          </w:p>
        </w:tc>
        <w:tc>
          <w:tcPr>
            <w:tcW w:w="1246" w:type="dxa"/>
            <w:vAlign w:val="center"/>
          </w:tcPr>
          <w:p w14:paraId="0E5F443A">
            <w:pPr>
              <w:spacing w:line="360" w:lineRule="auto"/>
              <w:ind w:firstLine="420" w:firstLineChars="200"/>
              <w:rPr>
                <w:szCs w:val="21"/>
              </w:rPr>
            </w:pPr>
          </w:p>
        </w:tc>
        <w:tc>
          <w:tcPr>
            <w:tcW w:w="1248" w:type="dxa"/>
            <w:vAlign w:val="center"/>
          </w:tcPr>
          <w:p w14:paraId="77C90FA0">
            <w:pPr>
              <w:spacing w:line="360" w:lineRule="auto"/>
              <w:ind w:firstLine="420" w:firstLineChars="200"/>
              <w:rPr>
                <w:szCs w:val="21"/>
              </w:rPr>
            </w:pPr>
          </w:p>
        </w:tc>
        <w:tc>
          <w:tcPr>
            <w:tcW w:w="1246" w:type="dxa"/>
            <w:vAlign w:val="center"/>
          </w:tcPr>
          <w:p w14:paraId="776973EB">
            <w:pPr>
              <w:spacing w:line="360" w:lineRule="auto"/>
              <w:ind w:firstLine="420" w:firstLineChars="200"/>
              <w:rPr>
                <w:szCs w:val="21"/>
              </w:rPr>
            </w:pPr>
          </w:p>
        </w:tc>
        <w:tc>
          <w:tcPr>
            <w:tcW w:w="1248" w:type="dxa"/>
            <w:vAlign w:val="center"/>
          </w:tcPr>
          <w:p w14:paraId="2390F5E2">
            <w:pPr>
              <w:spacing w:line="360" w:lineRule="auto"/>
              <w:ind w:firstLine="420" w:firstLineChars="200"/>
              <w:rPr>
                <w:szCs w:val="21"/>
              </w:rPr>
            </w:pPr>
          </w:p>
        </w:tc>
        <w:tc>
          <w:tcPr>
            <w:tcW w:w="1246" w:type="dxa"/>
            <w:vAlign w:val="center"/>
          </w:tcPr>
          <w:p w14:paraId="0B35AE28">
            <w:pPr>
              <w:spacing w:line="360" w:lineRule="auto"/>
              <w:ind w:firstLine="420" w:firstLineChars="200"/>
              <w:rPr>
                <w:szCs w:val="21"/>
              </w:rPr>
            </w:pPr>
          </w:p>
        </w:tc>
        <w:tc>
          <w:tcPr>
            <w:tcW w:w="1252" w:type="dxa"/>
            <w:vAlign w:val="center"/>
          </w:tcPr>
          <w:p w14:paraId="2566D9D9">
            <w:pPr>
              <w:spacing w:line="360" w:lineRule="auto"/>
              <w:ind w:firstLine="420" w:firstLineChars="200"/>
              <w:rPr>
                <w:szCs w:val="21"/>
              </w:rPr>
            </w:pPr>
          </w:p>
        </w:tc>
      </w:tr>
      <w:tr w14:paraId="2059A380">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666C031B">
            <w:pPr>
              <w:spacing w:line="360" w:lineRule="auto"/>
              <w:ind w:firstLine="420" w:firstLineChars="200"/>
              <w:rPr>
                <w:szCs w:val="21"/>
              </w:rPr>
            </w:pPr>
          </w:p>
        </w:tc>
        <w:tc>
          <w:tcPr>
            <w:tcW w:w="854" w:type="dxa"/>
            <w:gridSpan w:val="2"/>
            <w:vAlign w:val="center"/>
          </w:tcPr>
          <w:p w14:paraId="58C01D51">
            <w:pPr>
              <w:spacing w:line="360" w:lineRule="auto"/>
              <w:ind w:firstLine="420" w:firstLineChars="200"/>
              <w:rPr>
                <w:szCs w:val="21"/>
              </w:rPr>
            </w:pPr>
          </w:p>
        </w:tc>
        <w:tc>
          <w:tcPr>
            <w:tcW w:w="1246" w:type="dxa"/>
            <w:vAlign w:val="center"/>
          </w:tcPr>
          <w:p w14:paraId="5D318597">
            <w:pPr>
              <w:spacing w:line="360" w:lineRule="auto"/>
              <w:ind w:firstLine="420" w:firstLineChars="200"/>
              <w:rPr>
                <w:szCs w:val="21"/>
              </w:rPr>
            </w:pPr>
          </w:p>
        </w:tc>
        <w:tc>
          <w:tcPr>
            <w:tcW w:w="1248" w:type="dxa"/>
            <w:vAlign w:val="center"/>
          </w:tcPr>
          <w:p w14:paraId="4FDED18A">
            <w:pPr>
              <w:spacing w:line="360" w:lineRule="auto"/>
              <w:ind w:firstLine="420" w:firstLineChars="200"/>
              <w:rPr>
                <w:szCs w:val="21"/>
              </w:rPr>
            </w:pPr>
          </w:p>
        </w:tc>
        <w:tc>
          <w:tcPr>
            <w:tcW w:w="1246" w:type="dxa"/>
            <w:vAlign w:val="center"/>
          </w:tcPr>
          <w:p w14:paraId="32197340">
            <w:pPr>
              <w:spacing w:line="360" w:lineRule="auto"/>
              <w:ind w:firstLine="420" w:firstLineChars="200"/>
              <w:rPr>
                <w:szCs w:val="21"/>
              </w:rPr>
            </w:pPr>
          </w:p>
        </w:tc>
        <w:tc>
          <w:tcPr>
            <w:tcW w:w="1248" w:type="dxa"/>
            <w:vAlign w:val="center"/>
          </w:tcPr>
          <w:p w14:paraId="1567291B">
            <w:pPr>
              <w:spacing w:line="360" w:lineRule="auto"/>
              <w:ind w:firstLine="420" w:firstLineChars="200"/>
              <w:rPr>
                <w:szCs w:val="21"/>
              </w:rPr>
            </w:pPr>
          </w:p>
        </w:tc>
        <w:tc>
          <w:tcPr>
            <w:tcW w:w="1246" w:type="dxa"/>
            <w:vAlign w:val="center"/>
          </w:tcPr>
          <w:p w14:paraId="31A0B5E5">
            <w:pPr>
              <w:spacing w:line="360" w:lineRule="auto"/>
              <w:ind w:firstLine="420" w:firstLineChars="200"/>
              <w:rPr>
                <w:szCs w:val="21"/>
              </w:rPr>
            </w:pPr>
          </w:p>
        </w:tc>
        <w:tc>
          <w:tcPr>
            <w:tcW w:w="1252" w:type="dxa"/>
            <w:vAlign w:val="center"/>
          </w:tcPr>
          <w:p w14:paraId="7D6ED7CC">
            <w:pPr>
              <w:spacing w:line="360" w:lineRule="auto"/>
              <w:ind w:firstLine="420" w:firstLineChars="200"/>
              <w:rPr>
                <w:szCs w:val="21"/>
              </w:rPr>
            </w:pPr>
          </w:p>
        </w:tc>
      </w:tr>
      <w:tr w14:paraId="1DC5E0D9">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29E218AD">
            <w:pPr>
              <w:spacing w:line="360" w:lineRule="auto"/>
              <w:ind w:firstLine="420" w:firstLineChars="200"/>
              <w:rPr>
                <w:szCs w:val="21"/>
              </w:rPr>
            </w:pPr>
          </w:p>
        </w:tc>
        <w:tc>
          <w:tcPr>
            <w:tcW w:w="854" w:type="dxa"/>
            <w:gridSpan w:val="2"/>
            <w:vAlign w:val="center"/>
          </w:tcPr>
          <w:p w14:paraId="61D98102">
            <w:pPr>
              <w:spacing w:line="360" w:lineRule="auto"/>
              <w:ind w:firstLine="420" w:firstLineChars="200"/>
              <w:rPr>
                <w:szCs w:val="21"/>
              </w:rPr>
            </w:pPr>
          </w:p>
        </w:tc>
        <w:tc>
          <w:tcPr>
            <w:tcW w:w="1246" w:type="dxa"/>
            <w:vAlign w:val="center"/>
          </w:tcPr>
          <w:p w14:paraId="70371399">
            <w:pPr>
              <w:spacing w:line="360" w:lineRule="auto"/>
              <w:ind w:firstLine="420" w:firstLineChars="200"/>
              <w:rPr>
                <w:szCs w:val="21"/>
              </w:rPr>
            </w:pPr>
          </w:p>
        </w:tc>
        <w:tc>
          <w:tcPr>
            <w:tcW w:w="1248" w:type="dxa"/>
            <w:vAlign w:val="center"/>
          </w:tcPr>
          <w:p w14:paraId="0BF7C7AD">
            <w:pPr>
              <w:spacing w:line="360" w:lineRule="auto"/>
              <w:ind w:firstLine="420" w:firstLineChars="200"/>
              <w:rPr>
                <w:szCs w:val="21"/>
              </w:rPr>
            </w:pPr>
          </w:p>
        </w:tc>
        <w:tc>
          <w:tcPr>
            <w:tcW w:w="1246" w:type="dxa"/>
            <w:vAlign w:val="center"/>
          </w:tcPr>
          <w:p w14:paraId="3BB3EB53">
            <w:pPr>
              <w:spacing w:line="360" w:lineRule="auto"/>
              <w:ind w:firstLine="420" w:firstLineChars="200"/>
              <w:rPr>
                <w:szCs w:val="21"/>
              </w:rPr>
            </w:pPr>
          </w:p>
        </w:tc>
        <w:tc>
          <w:tcPr>
            <w:tcW w:w="1248" w:type="dxa"/>
            <w:vAlign w:val="center"/>
          </w:tcPr>
          <w:p w14:paraId="0057A0D4">
            <w:pPr>
              <w:spacing w:line="360" w:lineRule="auto"/>
              <w:ind w:firstLine="420" w:firstLineChars="200"/>
              <w:rPr>
                <w:szCs w:val="21"/>
              </w:rPr>
            </w:pPr>
          </w:p>
        </w:tc>
        <w:tc>
          <w:tcPr>
            <w:tcW w:w="1246" w:type="dxa"/>
            <w:vAlign w:val="center"/>
          </w:tcPr>
          <w:p w14:paraId="3CC1980B">
            <w:pPr>
              <w:spacing w:line="360" w:lineRule="auto"/>
              <w:ind w:firstLine="420" w:firstLineChars="200"/>
              <w:rPr>
                <w:szCs w:val="21"/>
              </w:rPr>
            </w:pPr>
          </w:p>
        </w:tc>
        <w:tc>
          <w:tcPr>
            <w:tcW w:w="1252" w:type="dxa"/>
            <w:vAlign w:val="center"/>
          </w:tcPr>
          <w:p w14:paraId="69F2AC38">
            <w:pPr>
              <w:spacing w:line="360" w:lineRule="auto"/>
              <w:ind w:firstLine="420" w:firstLineChars="200"/>
              <w:rPr>
                <w:szCs w:val="21"/>
              </w:rPr>
            </w:pPr>
          </w:p>
        </w:tc>
      </w:tr>
      <w:tr w14:paraId="7F834AEF">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4B4FAC03">
            <w:pPr>
              <w:spacing w:line="360" w:lineRule="auto"/>
              <w:ind w:firstLine="420" w:firstLineChars="200"/>
              <w:rPr>
                <w:szCs w:val="21"/>
              </w:rPr>
            </w:pPr>
          </w:p>
        </w:tc>
        <w:tc>
          <w:tcPr>
            <w:tcW w:w="854" w:type="dxa"/>
            <w:gridSpan w:val="2"/>
            <w:vAlign w:val="center"/>
          </w:tcPr>
          <w:p w14:paraId="4A86DE5C">
            <w:pPr>
              <w:spacing w:line="360" w:lineRule="auto"/>
              <w:ind w:firstLine="420" w:firstLineChars="200"/>
              <w:rPr>
                <w:szCs w:val="21"/>
              </w:rPr>
            </w:pPr>
          </w:p>
        </w:tc>
        <w:tc>
          <w:tcPr>
            <w:tcW w:w="1246" w:type="dxa"/>
            <w:vAlign w:val="center"/>
          </w:tcPr>
          <w:p w14:paraId="330D3F26">
            <w:pPr>
              <w:spacing w:line="360" w:lineRule="auto"/>
              <w:ind w:firstLine="420" w:firstLineChars="200"/>
              <w:rPr>
                <w:szCs w:val="21"/>
              </w:rPr>
            </w:pPr>
          </w:p>
        </w:tc>
        <w:tc>
          <w:tcPr>
            <w:tcW w:w="1248" w:type="dxa"/>
            <w:vAlign w:val="center"/>
          </w:tcPr>
          <w:p w14:paraId="1E3C5279">
            <w:pPr>
              <w:spacing w:line="360" w:lineRule="auto"/>
              <w:ind w:firstLine="420" w:firstLineChars="200"/>
              <w:rPr>
                <w:szCs w:val="21"/>
              </w:rPr>
            </w:pPr>
          </w:p>
        </w:tc>
        <w:tc>
          <w:tcPr>
            <w:tcW w:w="1246" w:type="dxa"/>
            <w:vAlign w:val="center"/>
          </w:tcPr>
          <w:p w14:paraId="0B34B23E">
            <w:pPr>
              <w:spacing w:line="360" w:lineRule="auto"/>
              <w:ind w:firstLine="420" w:firstLineChars="200"/>
              <w:rPr>
                <w:szCs w:val="21"/>
              </w:rPr>
            </w:pPr>
          </w:p>
        </w:tc>
        <w:tc>
          <w:tcPr>
            <w:tcW w:w="1248" w:type="dxa"/>
            <w:vAlign w:val="center"/>
          </w:tcPr>
          <w:p w14:paraId="7FA6B688">
            <w:pPr>
              <w:spacing w:line="360" w:lineRule="auto"/>
              <w:ind w:firstLine="420" w:firstLineChars="200"/>
              <w:rPr>
                <w:szCs w:val="21"/>
              </w:rPr>
            </w:pPr>
          </w:p>
        </w:tc>
        <w:tc>
          <w:tcPr>
            <w:tcW w:w="1246" w:type="dxa"/>
            <w:vAlign w:val="center"/>
          </w:tcPr>
          <w:p w14:paraId="39B58095">
            <w:pPr>
              <w:spacing w:line="360" w:lineRule="auto"/>
              <w:ind w:firstLine="420" w:firstLineChars="200"/>
              <w:rPr>
                <w:szCs w:val="21"/>
              </w:rPr>
            </w:pPr>
          </w:p>
        </w:tc>
        <w:tc>
          <w:tcPr>
            <w:tcW w:w="1252" w:type="dxa"/>
            <w:vAlign w:val="center"/>
          </w:tcPr>
          <w:p w14:paraId="0312B3AB">
            <w:pPr>
              <w:spacing w:line="360" w:lineRule="auto"/>
              <w:ind w:firstLine="420" w:firstLineChars="200"/>
              <w:rPr>
                <w:szCs w:val="21"/>
              </w:rPr>
            </w:pPr>
          </w:p>
        </w:tc>
      </w:tr>
      <w:tr w14:paraId="5834DC79">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6ADEAC48">
            <w:pPr>
              <w:spacing w:line="360" w:lineRule="auto"/>
              <w:ind w:firstLine="420" w:firstLineChars="200"/>
              <w:rPr>
                <w:szCs w:val="21"/>
              </w:rPr>
            </w:pPr>
          </w:p>
        </w:tc>
        <w:tc>
          <w:tcPr>
            <w:tcW w:w="854" w:type="dxa"/>
            <w:gridSpan w:val="2"/>
            <w:vAlign w:val="center"/>
          </w:tcPr>
          <w:p w14:paraId="7B8447DB">
            <w:pPr>
              <w:spacing w:line="360" w:lineRule="auto"/>
              <w:ind w:firstLine="420" w:firstLineChars="200"/>
              <w:rPr>
                <w:szCs w:val="21"/>
              </w:rPr>
            </w:pPr>
          </w:p>
        </w:tc>
        <w:tc>
          <w:tcPr>
            <w:tcW w:w="1246" w:type="dxa"/>
            <w:vAlign w:val="center"/>
          </w:tcPr>
          <w:p w14:paraId="1CC58696">
            <w:pPr>
              <w:spacing w:line="360" w:lineRule="auto"/>
              <w:ind w:firstLine="420" w:firstLineChars="200"/>
              <w:rPr>
                <w:szCs w:val="21"/>
              </w:rPr>
            </w:pPr>
          </w:p>
        </w:tc>
        <w:tc>
          <w:tcPr>
            <w:tcW w:w="1248" w:type="dxa"/>
            <w:vAlign w:val="center"/>
          </w:tcPr>
          <w:p w14:paraId="60C8DCDE">
            <w:pPr>
              <w:spacing w:line="360" w:lineRule="auto"/>
              <w:ind w:firstLine="420" w:firstLineChars="200"/>
              <w:rPr>
                <w:szCs w:val="21"/>
              </w:rPr>
            </w:pPr>
          </w:p>
        </w:tc>
        <w:tc>
          <w:tcPr>
            <w:tcW w:w="1246" w:type="dxa"/>
            <w:vAlign w:val="center"/>
          </w:tcPr>
          <w:p w14:paraId="14CE0937">
            <w:pPr>
              <w:spacing w:line="360" w:lineRule="auto"/>
              <w:ind w:firstLine="420" w:firstLineChars="200"/>
              <w:rPr>
                <w:szCs w:val="21"/>
              </w:rPr>
            </w:pPr>
          </w:p>
        </w:tc>
        <w:tc>
          <w:tcPr>
            <w:tcW w:w="1248" w:type="dxa"/>
            <w:vAlign w:val="center"/>
          </w:tcPr>
          <w:p w14:paraId="3F445148">
            <w:pPr>
              <w:spacing w:line="360" w:lineRule="auto"/>
              <w:ind w:firstLine="420" w:firstLineChars="200"/>
              <w:rPr>
                <w:szCs w:val="21"/>
              </w:rPr>
            </w:pPr>
          </w:p>
        </w:tc>
        <w:tc>
          <w:tcPr>
            <w:tcW w:w="1246" w:type="dxa"/>
            <w:vAlign w:val="center"/>
          </w:tcPr>
          <w:p w14:paraId="3AEF09E1">
            <w:pPr>
              <w:spacing w:line="360" w:lineRule="auto"/>
              <w:ind w:firstLine="420" w:firstLineChars="200"/>
              <w:rPr>
                <w:szCs w:val="21"/>
              </w:rPr>
            </w:pPr>
          </w:p>
        </w:tc>
        <w:tc>
          <w:tcPr>
            <w:tcW w:w="1252" w:type="dxa"/>
            <w:vAlign w:val="center"/>
          </w:tcPr>
          <w:p w14:paraId="7F5AC497">
            <w:pPr>
              <w:spacing w:line="360" w:lineRule="auto"/>
              <w:ind w:firstLine="420" w:firstLineChars="200"/>
              <w:rPr>
                <w:szCs w:val="21"/>
              </w:rPr>
            </w:pPr>
          </w:p>
        </w:tc>
      </w:tr>
      <w:tr w14:paraId="3599E6E1">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7EFB0577">
            <w:pPr>
              <w:spacing w:line="360" w:lineRule="auto"/>
              <w:ind w:firstLine="420" w:firstLineChars="200"/>
              <w:rPr>
                <w:szCs w:val="21"/>
              </w:rPr>
            </w:pPr>
          </w:p>
        </w:tc>
        <w:tc>
          <w:tcPr>
            <w:tcW w:w="854" w:type="dxa"/>
            <w:gridSpan w:val="2"/>
            <w:vAlign w:val="center"/>
          </w:tcPr>
          <w:p w14:paraId="7F0D9B91">
            <w:pPr>
              <w:spacing w:line="360" w:lineRule="auto"/>
              <w:ind w:firstLine="420" w:firstLineChars="200"/>
              <w:rPr>
                <w:szCs w:val="21"/>
              </w:rPr>
            </w:pPr>
          </w:p>
        </w:tc>
        <w:tc>
          <w:tcPr>
            <w:tcW w:w="1246" w:type="dxa"/>
            <w:vAlign w:val="center"/>
          </w:tcPr>
          <w:p w14:paraId="4815F4E6">
            <w:pPr>
              <w:spacing w:line="360" w:lineRule="auto"/>
              <w:ind w:firstLine="420" w:firstLineChars="200"/>
              <w:rPr>
                <w:szCs w:val="21"/>
              </w:rPr>
            </w:pPr>
          </w:p>
        </w:tc>
        <w:tc>
          <w:tcPr>
            <w:tcW w:w="1248" w:type="dxa"/>
            <w:vAlign w:val="center"/>
          </w:tcPr>
          <w:p w14:paraId="0D60F2B3">
            <w:pPr>
              <w:spacing w:line="360" w:lineRule="auto"/>
              <w:ind w:firstLine="420" w:firstLineChars="200"/>
              <w:rPr>
                <w:szCs w:val="21"/>
              </w:rPr>
            </w:pPr>
          </w:p>
        </w:tc>
        <w:tc>
          <w:tcPr>
            <w:tcW w:w="1246" w:type="dxa"/>
            <w:vAlign w:val="center"/>
          </w:tcPr>
          <w:p w14:paraId="5B4B7A05">
            <w:pPr>
              <w:spacing w:line="360" w:lineRule="auto"/>
              <w:ind w:firstLine="420" w:firstLineChars="200"/>
              <w:rPr>
                <w:szCs w:val="21"/>
              </w:rPr>
            </w:pPr>
          </w:p>
        </w:tc>
        <w:tc>
          <w:tcPr>
            <w:tcW w:w="1248" w:type="dxa"/>
            <w:vAlign w:val="center"/>
          </w:tcPr>
          <w:p w14:paraId="7994E61C">
            <w:pPr>
              <w:spacing w:line="360" w:lineRule="auto"/>
              <w:ind w:firstLine="420" w:firstLineChars="200"/>
              <w:rPr>
                <w:szCs w:val="21"/>
              </w:rPr>
            </w:pPr>
          </w:p>
        </w:tc>
        <w:tc>
          <w:tcPr>
            <w:tcW w:w="1246" w:type="dxa"/>
            <w:vAlign w:val="center"/>
          </w:tcPr>
          <w:p w14:paraId="604CA746">
            <w:pPr>
              <w:spacing w:line="360" w:lineRule="auto"/>
              <w:ind w:firstLine="420" w:firstLineChars="200"/>
              <w:rPr>
                <w:szCs w:val="21"/>
              </w:rPr>
            </w:pPr>
          </w:p>
        </w:tc>
        <w:tc>
          <w:tcPr>
            <w:tcW w:w="1252" w:type="dxa"/>
            <w:vAlign w:val="center"/>
          </w:tcPr>
          <w:p w14:paraId="77B9FFDE">
            <w:pPr>
              <w:spacing w:line="360" w:lineRule="auto"/>
              <w:ind w:firstLine="420" w:firstLineChars="200"/>
              <w:rPr>
                <w:szCs w:val="21"/>
              </w:rPr>
            </w:pPr>
          </w:p>
        </w:tc>
      </w:tr>
      <w:tr w14:paraId="7488C3B7">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6C3B09B2">
            <w:pPr>
              <w:spacing w:line="360" w:lineRule="auto"/>
              <w:ind w:firstLine="420" w:firstLineChars="200"/>
              <w:rPr>
                <w:szCs w:val="21"/>
              </w:rPr>
            </w:pPr>
          </w:p>
        </w:tc>
        <w:tc>
          <w:tcPr>
            <w:tcW w:w="854" w:type="dxa"/>
            <w:gridSpan w:val="2"/>
            <w:vAlign w:val="center"/>
          </w:tcPr>
          <w:p w14:paraId="2FEFE834">
            <w:pPr>
              <w:spacing w:line="360" w:lineRule="auto"/>
              <w:ind w:firstLine="420" w:firstLineChars="200"/>
              <w:rPr>
                <w:szCs w:val="21"/>
              </w:rPr>
            </w:pPr>
          </w:p>
        </w:tc>
        <w:tc>
          <w:tcPr>
            <w:tcW w:w="1246" w:type="dxa"/>
            <w:vAlign w:val="center"/>
          </w:tcPr>
          <w:p w14:paraId="21ABD428">
            <w:pPr>
              <w:spacing w:line="360" w:lineRule="auto"/>
              <w:ind w:firstLine="420" w:firstLineChars="200"/>
              <w:rPr>
                <w:szCs w:val="21"/>
              </w:rPr>
            </w:pPr>
          </w:p>
        </w:tc>
        <w:tc>
          <w:tcPr>
            <w:tcW w:w="1248" w:type="dxa"/>
            <w:vAlign w:val="center"/>
          </w:tcPr>
          <w:p w14:paraId="57F6BE06">
            <w:pPr>
              <w:spacing w:line="360" w:lineRule="auto"/>
              <w:ind w:firstLine="420" w:firstLineChars="200"/>
              <w:rPr>
                <w:szCs w:val="21"/>
              </w:rPr>
            </w:pPr>
          </w:p>
        </w:tc>
        <w:tc>
          <w:tcPr>
            <w:tcW w:w="1246" w:type="dxa"/>
            <w:vAlign w:val="center"/>
          </w:tcPr>
          <w:p w14:paraId="2FE4CE90">
            <w:pPr>
              <w:spacing w:line="360" w:lineRule="auto"/>
              <w:ind w:firstLine="420" w:firstLineChars="200"/>
              <w:rPr>
                <w:szCs w:val="21"/>
              </w:rPr>
            </w:pPr>
          </w:p>
        </w:tc>
        <w:tc>
          <w:tcPr>
            <w:tcW w:w="1248" w:type="dxa"/>
            <w:vAlign w:val="center"/>
          </w:tcPr>
          <w:p w14:paraId="77D530BE">
            <w:pPr>
              <w:spacing w:line="360" w:lineRule="auto"/>
              <w:ind w:firstLine="420" w:firstLineChars="200"/>
              <w:rPr>
                <w:szCs w:val="21"/>
              </w:rPr>
            </w:pPr>
          </w:p>
        </w:tc>
        <w:tc>
          <w:tcPr>
            <w:tcW w:w="1246" w:type="dxa"/>
            <w:vAlign w:val="center"/>
          </w:tcPr>
          <w:p w14:paraId="48BBDF56">
            <w:pPr>
              <w:spacing w:line="360" w:lineRule="auto"/>
              <w:ind w:firstLine="420" w:firstLineChars="200"/>
              <w:rPr>
                <w:szCs w:val="21"/>
              </w:rPr>
            </w:pPr>
          </w:p>
        </w:tc>
        <w:tc>
          <w:tcPr>
            <w:tcW w:w="1252" w:type="dxa"/>
            <w:vAlign w:val="center"/>
          </w:tcPr>
          <w:p w14:paraId="6A73B8E3">
            <w:pPr>
              <w:spacing w:line="360" w:lineRule="auto"/>
              <w:ind w:firstLine="420" w:firstLineChars="200"/>
              <w:rPr>
                <w:szCs w:val="21"/>
              </w:rPr>
            </w:pPr>
          </w:p>
        </w:tc>
      </w:tr>
      <w:tr w14:paraId="7AFDB8AC">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1230" w:type="dxa"/>
            <w:vAlign w:val="center"/>
          </w:tcPr>
          <w:p w14:paraId="3DC928DC">
            <w:pPr>
              <w:spacing w:line="360" w:lineRule="auto"/>
              <w:ind w:firstLine="420" w:firstLineChars="200"/>
              <w:rPr>
                <w:szCs w:val="21"/>
              </w:rPr>
            </w:pPr>
          </w:p>
        </w:tc>
        <w:tc>
          <w:tcPr>
            <w:tcW w:w="854" w:type="dxa"/>
            <w:gridSpan w:val="2"/>
            <w:vAlign w:val="center"/>
          </w:tcPr>
          <w:p w14:paraId="6931509E">
            <w:pPr>
              <w:spacing w:line="360" w:lineRule="auto"/>
              <w:ind w:firstLine="420" w:firstLineChars="200"/>
              <w:rPr>
                <w:szCs w:val="21"/>
              </w:rPr>
            </w:pPr>
          </w:p>
        </w:tc>
        <w:tc>
          <w:tcPr>
            <w:tcW w:w="1246" w:type="dxa"/>
            <w:vAlign w:val="center"/>
          </w:tcPr>
          <w:p w14:paraId="23EEAF4B">
            <w:pPr>
              <w:spacing w:line="360" w:lineRule="auto"/>
              <w:ind w:firstLine="420" w:firstLineChars="200"/>
              <w:rPr>
                <w:szCs w:val="21"/>
              </w:rPr>
            </w:pPr>
          </w:p>
        </w:tc>
        <w:tc>
          <w:tcPr>
            <w:tcW w:w="1248" w:type="dxa"/>
            <w:vAlign w:val="center"/>
          </w:tcPr>
          <w:p w14:paraId="16C78752">
            <w:pPr>
              <w:spacing w:line="360" w:lineRule="auto"/>
              <w:ind w:firstLine="420" w:firstLineChars="200"/>
              <w:rPr>
                <w:szCs w:val="21"/>
              </w:rPr>
            </w:pPr>
          </w:p>
        </w:tc>
        <w:tc>
          <w:tcPr>
            <w:tcW w:w="1246" w:type="dxa"/>
            <w:vAlign w:val="center"/>
          </w:tcPr>
          <w:p w14:paraId="7F9F1BAB">
            <w:pPr>
              <w:spacing w:line="360" w:lineRule="auto"/>
              <w:ind w:firstLine="420" w:firstLineChars="200"/>
              <w:rPr>
                <w:szCs w:val="21"/>
              </w:rPr>
            </w:pPr>
          </w:p>
        </w:tc>
        <w:tc>
          <w:tcPr>
            <w:tcW w:w="1248" w:type="dxa"/>
            <w:vAlign w:val="center"/>
          </w:tcPr>
          <w:p w14:paraId="15F568E2">
            <w:pPr>
              <w:spacing w:line="360" w:lineRule="auto"/>
              <w:ind w:firstLine="420" w:firstLineChars="200"/>
              <w:rPr>
                <w:szCs w:val="21"/>
              </w:rPr>
            </w:pPr>
          </w:p>
        </w:tc>
        <w:tc>
          <w:tcPr>
            <w:tcW w:w="1246" w:type="dxa"/>
            <w:vAlign w:val="center"/>
          </w:tcPr>
          <w:p w14:paraId="02C56006">
            <w:pPr>
              <w:spacing w:line="360" w:lineRule="auto"/>
              <w:ind w:firstLine="420" w:firstLineChars="200"/>
              <w:rPr>
                <w:szCs w:val="21"/>
              </w:rPr>
            </w:pPr>
          </w:p>
        </w:tc>
        <w:tc>
          <w:tcPr>
            <w:tcW w:w="1252" w:type="dxa"/>
            <w:vAlign w:val="center"/>
          </w:tcPr>
          <w:p w14:paraId="69018950">
            <w:pPr>
              <w:spacing w:line="360" w:lineRule="auto"/>
              <w:ind w:firstLine="420" w:firstLineChars="200"/>
              <w:rPr>
                <w:szCs w:val="21"/>
              </w:rPr>
            </w:pPr>
          </w:p>
        </w:tc>
      </w:tr>
    </w:tbl>
    <w:p w14:paraId="72A2A3EE">
      <w:pPr>
        <w:spacing w:line="360" w:lineRule="auto"/>
        <w:ind w:firstLine="420" w:firstLineChars="200"/>
        <w:rPr>
          <w:szCs w:val="21"/>
        </w:rPr>
      </w:pPr>
    </w:p>
    <w:p w14:paraId="6477CEA1">
      <w:pPr>
        <w:keepNext/>
        <w:keepLines/>
        <w:spacing w:before="20" w:line="412" w:lineRule="auto"/>
        <w:ind w:firstLine="103" w:firstLineChars="49"/>
        <w:rPr>
          <w:b/>
          <w:szCs w:val="21"/>
        </w:rPr>
      </w:pPr>
      <w:bookmarkStart w:id="244" w:name="_Toc5714794"/>
      <w:bookmarkStart w:id="245" w:name="_Toc6701356"/>
      <w:bookmarkStart w:id="246" w:name="_Toc6702513"/>
      <w:r>
        <w:rPr>
          <w:b/>
          <w:szCs w:val="21"/>
        </w:rPr>
        <w:t>附表四：计划开、竣工日期和施工进度网络图</w:t>
      </w:r>
      <w:bookmarkEnd w:id="244"/>
      <w:bookmarkEnd w:id="245"/>
      <w:bookmarkEnd w:id="246"/>
    </w:p>
    <w:p w14:paraId="633EE95A">
      <w:pPr>
        <w:spacing w:line="360" w:lineRule="auto"/>
        <w:ind w:firstLine="420" w:firstLineChars="200"/>
        <w:rPr>
          <w:szCs w:val="21"/>
        </w:rPr>
      </w:pPr>
      <w:r>
        <w:rPr>
          <w:szCs w:val="21"/>
        </w:rPr>
        <w:t>1．</w:t>
      </w:r>
      <w:r>
        <w:rPr>
          <w:rFonts w:hint="eastAsia"/>
          <w:szCs w:val="21"/>
        </w:rPr>
        <w:t>响应人</w:t>
      </w:r>
      <w:r>
        <w:rPr>
          <w:szCs w:val="21"/>
        </w:rPr>
        <w:t>应递交施工进度网络图或施工进度表，说明按</w:t>
      </w:r>
      <w:r>
        <w:rPr>
          <w:rFonts w:hint="eastAsia"/>
          <w:szCs w:val="21"/>
        </w:rPr>
        <w:t>采购</w:t>
      </w:r>
      <w:r>
        <w:rPr>
          <w:szCs w:val="21"/>
        </w:rPr>
        <w:t>文件要求的计划工期进行施工的各个关键日期。</w:t>
      </w:r>
    </w:p>
    <w:p w14:paraId="7F8B0CFD">
      <w:pPr>
        <w:spacing w:line="360" w:lineRule="auto"/>
        <w:ind w:firstLine="420" w:firstLineChars="200"/>
        <w:rPr>
          <w:szCs w:val="21"/>
        </w:rPr>
      </w:pPr>
      <w:r>
        <w:rPr>
          <w:szCs w:val="21"/>
        </w:rPr>
        <w:t>2．施工进度表可采用网络图（或横道图）表示。</w:t>
      </w:r>
    </w:p>
    <w:p w14:paraId="147E4A50">
      <w:pPr>
        <w:pStyle w:val="30"/>
        <w:widowControl/>
        <w:rPr>
          <w:lang w:val="fr-FR"/>
        </w:rPr>
      </w:pPr>
      <w:r>
        <w:rPr>
          <w:b/>
          <w:bCs/>
          <w:lang w:val="fr-FR"/>
        </w:rPr>
        <w:t>Annexe IV : Dates prévues de début et de fin des travaux et diagrammes du réseau d'avancement des travaux</w:t>
      </w:r>
    </w:p>
    <w:p w14:paraId="4BF5910A">
      <w:pPr>
        <w:pStyle w:val="30"/>
        <w:widowControl/>
        <w:rPr>
          <w:lang w:val="fr-FR"/>
        </w:rPr>
      </w:pPr>
      <w:r>
        <w:rPr>
          <w:lang w:val="fr-FR"/>
        </w:rPr>
        <w:t>1)  Le soumissionnaire présente un diagramme de réseau de l'avancement des travaux ou un calendrier des travaux indiquant les dates clés des travaux conformément à la durée prévue dans le dossier d'appel d'offres.</w:t>
      </w:r>
    </w:p>
    <w:p w14:paraId="26CA0C65">
      <w:pPr>
        <w:pStyle w:val="30"/>
        <w:widowControl/>
        <w:rPr>
          <w:lang w:val="fr-FR"/>
        </w:rPr>
      </w:pPr>
      <w:r>
        <w:rPr>
          <w:lang w:val="fr-FR"/>
        </w:rPr>
        <w:t>2</w:t>
      </w:r>
      <w:r>
        <w:rPr>
          <w:rFonts w:hint="eastAsia"/>
          <w:lang w:val="fr-FR"/>
        </w:rPr>
        <w:t>）</w:t>
      </w:r>
      <w:r>
        <w:rPr>
          <w:lang w:val="fr-FR"/>
        </w:rPr>
        <w:t>Le calendrier de construction peut être exprimé sous la forme d'un diagramme de réseau (ou d'un diagramme de concordance).</w:t>
      </w:r>
    </w:p>
    <w:p w14:paraId="304A376A">
      <w:pPr>
        <w:spacing w:line="360" w:lineRule="auto"/>
        <w:ind w:firstLine="420" w:firstLineChars="200"/>
        <w:rPr>
          <w:szCs w:val="21"/>
        </w:rPr>
      </w:pPr>
    </w:p>
    <w:p w14:paraId="2A3CA43E">
      <w:pPr>
        <w:spacing w:line="360" w:lineRule="auto"/>
        <w:ind w:firstLine="420" w:firstLineChars="200"/>
        <w:rPr>
          <w:szCs w:val="21"/>
        </w:rPr>
      </w:pPr>
    </w:p>
    <w:p w14:paraId="7375A3FB">
      <w:pPr>
        <w:rPr>
          <w:szCs w:val="21"/>
        </w:rPr>
      </w:pPr>
    </w:p>
    <w:p w14:paraId="0320BCA3">
      <w:pPr>
        <w:rPr>
          <w:szCs w:val="21"/>
        </w:rPr>
      </w:pPr>
    </w:p>
    <w:p w14:paraId="19F174C9">
      <w:pPr>
        <w:rPr>
          <w:szCs w:val="21"/>
        </w:rPr>
      </w:pPr>
    </w:p>
    <w:p w14:paraId="5F1A0602">
      <w:pPr>
        <w:rPr>
          <w:szCs w:val="21"/>
        </w:rPr>
      </w:pPr>
    </w:p>
    <w:p w14:paraId="0465540C">
      <w:pPr>
        <w:rPr>
          <w:szCs w:val="21"/>
        </w:rPr>
      </w:pPr>
    </w:p>
    <w:p w14:paraId="3E55F141">
      <w:pPr>
        <w:rPr>
          <w:szCs w:val="21"/>
        </w:rPr>
      </w:pPr>
    </w:p>
    <w:p w14:paraId="02151A7E">
      <w:pPr>
        <w:rPr>
          <w:szCs w:val="21"/>
        </w:rPr>
      </w:pPr>
    </w:p>
    <w:p w14:paraId="7EA5F902">
      <w:pPr>
        <w:rPr>
          <w:szCs w:val="21"/>
        </w:rPr>
      </w:pPr>
    </w:p>
    <w:p w14:paraId="404ECC7F">
      <w:pPr>
        <w:rPr>
          <w:szCs w:val="21"/>
        </w:rPr>
      </w:pPr>
    </w:p>
    <w:p w14:paraId="2A07FDFA">
      <w:pPr>
        <w:rPr>
          <w:szCs w:val="21"/>
        </w:rPr>
      </w:pPr>
    </w:p>
    <w:p w14:paraId="0FA7317F">
      <w:pPr>
        <w:rPr>
          <w:szCs w:val="21"/>
        </w:rPr>
      </w:pPr>
    </w:p>
    <w:p w14:paraId="1C22882A">
      <w:pPr>
        <w:rPr>
          <w:szCs w:val="21"/>
        </w:rPr>
      </w:pPr>
    </w:p>
    <w:p w14:paraId="73CE817B">
      <w:pPr>
        <w:rPr>
          <w:szCs w:val="21"/>
        </w:rPr>
      </w:pPr>
    </w:p>
    <w:p w14:paraId="544A3DCC">
      <w:pPr>
        <w:rPr>
          <w:szCs w:val="21"/>
        </w:rPr>
      </w:pPr>
    </w:p>
    <w:p w14:paraId="3F31AD86">
      <w:pPr>
        <w:rPr>
          <w:szCs w:val="21"/>
        </w:rPr>
      </w:pPr>
    </w:p>
    <w:p w14:paraId="6FDAD587">
      <w:pPr>
        <w:rPr>
          <w:szCs w:val="21"/>
        </w:rPr>
      </w:pPr>
    </w:p>
    <w:p w14:paraId="393E92CE">
      <w:pPr>
        <w:tabs>
          <w:tab w:val="left" w:pos="4116"/>
        </w:tabs>
        <w:spacing w:line="360" w:lineRule="auto"/>
        <w:jc w:val="center"/>
        <w:outlineLvl w:val="1"/>
        <w:rPr>
          <w:rFonts w:cs="宋体"/>
          <w:b/>
          <w:sz w:val="28"/>
          <w:szCs w:val="21"/>
        </w:rPr>
      </w:pPr>
      <w:bookmarkStart w:id="247" w:name="_Toc184635146"/>
      <w:bookmarkStart w:id="248" w:name="_Toc6702519"/>
      <w:bookmarkStart w:id="249" w:name="_Toc5714800"/>
      <w:bookmarkStart w:id="250" w:name="_Toc9500127"/>
      <w:bookmarkStart w:id="251" w:name="_Toc6701362"/>
      <w:r>
        <w:rPr>
          <w:szCs w:val="21"/>
        </w:rPr>
        <w:br w:type="page"/>
      </w:r>
      <w:bookmarkStart w:id="252" w:name="_Toc107567230"/>
      <w:bookmarkStart w:id="253" w:name="_Toc19359"/>
      <w:r>
        <w:rPr>
          <w:rFonts w:hint="eastAsia" w:cs="宋体"/>
          <w:b/>
          <w:sz w:val="28"/>
          <w:szCs w:val="21"/>
        </w:rPr>
        <w:t>八、拟分包项目情况表</w:t>
      </w:r>
      <w:bookmarkEnd w:id="247"/>
      <w:bookmarkEnd w:id="248"/>
      <w:bookmarkEnd w:id="249"/>
      <w:bookmarkEnd w:id="250"/>
      <w:bookmarkEnd w:id="251"/>
      <w:bookmarkEnd w:id="252"/>
      <w:r>
        <w:rPr>
          <w:rFonts w:hint="eastAsia" w:cs="宋体"/>
          <w:b/>
          <w:sz w:val="28"/>
          <w:szCs w:val="21"/>
        </w:rPr>
        <w:t>（如有）</w:t>
      </w:r>
      <w:bookmarkEnd w:id="253"/>
    </w:p>
    <w:p w14:paraId="3092BEEE">
      <w:pPr>
        <w:spacing w:line="360" w:lineRule="auto"/>
      </w:pPr>
    </w:p>
    <w:p w14:paraId="08B37EFD">
      <w:pPr>
        <w:pStyle w:val="164"/>
        <w:ind w:left="0" w:leftChars="0"/>
        <w:rPr>
          <w:rFonts w:eastAsia="宋体"/>
        </w:rPr>
      </w:pPr>
    </w:p>
    <w:p w14:paraId="691B712C">
      <w:pPr>
        <w:spacing w:line="360" w:lineRule="auto"/>
        <w:rPr>
          <w:bCs/>
          <w:szCs w:val="21"/>
        </w:rPr>
      </w:pPr>
    </w:p>
    <w:p w14:paraId="5CD186D7">
      <w:pPr>
        <w:tabs>
          <w:tab w:val="left" w:pos="720"/>
        </w:tabs>
        <w:adjustRightInd w:val="0"/>
        <w:spacing w:line="360" w:lineRule="auto"/>
        <w:jc w:val="left"/>
        <w:textAlignment w:val="baseline"/>
      </w:pPr>
    </w:p>
    <w:p w14:paraId="6D2EC87C">
      <w:pPr>
        <w:pStyle w:val="9"/>
        <w:rPr>
          <w:rFonts w:ascii="Times New Roman" w:cs="仿宋"/>
          <w:b/>
          <w:bCs/>
          <w:spacing w:val="-1"/>
          <w:sz w:val="32"/>
          <w:szCs w:val="32"/>
        </w:rPr>
      </w:pPr>
    </w:p>
    <w:p w14:paraId="36CE29D8"/>
    <w:p w14:paraId="1E28136B">
      <w:pPr>
        <w:tabs>
          <w:tab w:val="left" w:pos="3820"/>
        </w:tabs>
        <w:spacing w:line="360" w:lineRule="auto"/>
        <w:jc w:val="center"/>
        <w:rPr>
          <w:rFonts w:cs="宋体"/>
          <w:b/>
          <w:bCs/>
          <w:sz w:val="52"/>
          <w:szCs w:val="52"/>
        </w:rPr>
        <w:sectPr>
          <w:pgSz w:w="11906" w:h="16838"/>
          <w:pgMar w:top="1417" w:right="1134" w:bottom="1134" w:left="1417" w:header="851" w:footer="850" w:gutter="0"/>
          <w:cols w:space="720" w:num="1"/>
          <w:docGrid w:linePitch="312" w:charSpace="0"/>
        </w:sectPr>
      </w:pPr>
    </w:p>
    <w:p w14:paraId="027DC272">
      <w:pPr>
        <w:tabs>
          <w:tab w:val="left" w:pos="3820"/>
        </w:tabs>
        <w:spacing w:line="360" w:lineRule="auto"/>
        <w:jc w:val="center"/>
        <w:rPr>
          <w:rFonts w:cs="宋体"/>
          <w:b/>
          <w:bCs/>
          <w:sz w:val="52"/>
          <w:szCs w:val="52"/>
        </w:rPr>
      </w:pPr>
    </w:p>
    <w:p w14:paraId="2D994956">
      <w:pPr>
        <w:adjustRightInd w:val="0"/>
        <w:snapToGrid w:val="0"/>
        <w:spacing w:line="360" w:lineRule="auto"/>
        <w:jc w:val="center"/>
        <w:rPr>
          <w:b/>
          <w:bCs/>
          <w:sz w:val="52"/>
          <w:szCs w:val="52"/>
        </w:rPr>
      </w:pPr>
    </w:p>
    <w:p w14:paraId="6C9F2B61">
      <w:pPr>
        <w:adjustRightInd w:val="0"/>
        <w:snapToGrid w:val="0"/>
        <w:spacing w:line="360" w:lineRule="auto"/>
        <w:jc w:val="center"/>
        <w:rPr>
          <w:b/>
          <w:bCs/>
          <w:sz w:val="44"/>
          <w:szCs w:val="44"/>
        </w:rPr>
      </w:pPr>
      <w:r>
        <w:rPr>
          <w:rFonts w:hint="eastAsia"/>
          <w:b/>
          <w:bCs/>
          <w:sz w:val="44"/>
          <w:szCs w:val="44"/>
        </w:rPr>
        <w:t>几内亚高丽亚矿山股份有限公司</w:t>
      </w:r>
    </w:p>
    <w:p w14:paraId="31500F7E">
      <w:pPr>
        <w:adjustRightInd w:val="0"/>
        <w:snapToGrid w:val="0"/>
        <w:spacing w:line="360" w:lineRule="auto"/>
        <w:jc w:val="center"/>
        <w:rPr>
          <w:b/>
          <w:bCs/>
          <w:sz w:val="44"/>
          <w:szCs w:val="44"/>
        </w:rPr>
      </w:pPr>
      <w:r>
        <w:rPr>
          <w:rFonts w:hint="eastAsia"/>
          <w:b/>
          <w:bCs/>
          <w:sz w:val="44"/>
          <w:szCs w:val="44"/>
        </w:rPr>
        <w:t>社区道路和足球场修缮项目</w:t>
      </w:r>
    </w:p>
    <w:p w14:paraId="676F13F0">
      <w:pPr>
        <w:jc w:val="center"/>
        <w:rPr>
          <w:rFonts w:cs="宋体"/>
        </w:rPr>
      </w:pPr>
      <w:r>
        <w:rPr>
          <w:rFonts w:hint="eastAsia"/>
          <w:b/>
          <w:bCs/>
          <w:sz w:val="52"/>
          <w:szCs w:val="52"/>
        </w:rPr>
        <w:t>响应文件B/</w:t>
      </w:r>
      <w:r>
        <w:rPr>
          <w:b/>
          <w:bCs/>
          <w:sz w:val="52"/>
          <w:szCs w:val="52"/>
        </w:rPr>
        <w:t xml:space="preserve">Document de réponse </w:t>
      </w:r>
      <w:r>
        <w:rPr>
          <w:rFonts w:hint="eastAsia"/>
          <w:b/>
          <w:bCs/>
          <w:sz w:val="52"/>
          <w:szCs w:val="52"/>
        </w:rPr>
        <w:t>B</w:t>
      </w:r>
    </w:p>
    <w:p w14:paraId="2B5CBCC0">
      <w:pPr>
        <w:rPr>
          <w:rFonts w:cs="宋体"/>
        </w:rPr>
      </w:pPr>
    </w:p>
    <w:p w14:paraId="1FC1CE12">
      <w:pPr>
        <w:pStyle w:val="32"/>
        <w:ind w:firstLine="210"/>
        <w:rPr>
          <w:rFonts w:ascii="Times New Roman" w:hAnsi="Times New Roman" w:cs="宋体"/>
          <w:color w:val="auto"/>
        </w:rPr>
      </w:pPr>
    </w:p>
    <w:p w14:paraId="690B447B">
      <w:pPr>
        <w:rPr>
          <w:rFonts w:cs="宋体"/>
        </w:rPr>
      </w:pPr>
    </w:p>
    <w:p w14:paraId="704F0882">
      <w:pPr>
        <w:pStyle w:val="32"/>
        <w:ind w:firstLine="210"/>
        <w:rPr>
          <w:rFonts w:ascii="Times New Roman" w:hAnsi="Times New Roman" w:cs="宋体"/>
          <w:color w:val="auto"/>
        </w:rPr>
      </w:pPr>
    </w:p>
    <w:p w14:paraId="23065DA9">
      <w:pPr>
        <w:rPr>
          <w:rFonts w:cs="宋体"/>
        </w:rPr>
      </w:pPr>
    </w:p>
    <w:p w14:paraId="4643EEBE">
      <w:pPr>
        <w:pStyle w:val="32"/>
        <w:ind w:firstLine="210"/>
        <w:rPr>
          <w:rFonts w:ascii="Times New Roman" w:hAnsi="Times New Roman" w:cs="宋体"/>
          <w:color w:val="auto"/>
        </w:rPr>
      </w:pPr>
    </w:p>
    <w:p w14:paraId="372ABA67">
      <w:pPr>
        <w:rPr>
          <w:rFonts w:cs="宋体"/>
        </w:rPr>
      </w:pPr>
    </w:p>
    <w:p w14:paraId="7D3DD0EA">
      <w:pPr>
        <w:rPr>
          <w:rFonts w:cs="宋体"/>
        </w:rPr>
      </w:pPr>
    </w:p>
    <w:p w14:paraId="4784967F">
      <w:pPr>
        <w:rPr>
          <w:rFonts w:cs="宋体"/>
        </w:rPr>
      </w:pPr>
    </w:p>
    <w:p w14:paraId="448E58C8">
      <w:pPr>
        <w:rPr>
          <w:rFonts w:cs="宋体"/>
        </w:rPr>
      </w:pPr>
    </w:p>
    <w:p w14:paraId="23F0D7E9">
      <w:pPr>
        <w:rPr>
          <w:rFonts w:cs="宋体"/>
        </w:rPr>
      </w:pPr>
    </w:p>
    <w:p w14:paraId="6997C4A8">
      <w:pPr>
        <w:rPr>
          <w:rFonts w:cs="宋体"/>
        </w:rPr>
      </w:pPr>
    </w:p>
    <w:p w14:paraId="7E605804">
      <w:pPr>
        <w:rPr>
          <w:rFonts w:cs="宋体"/>
        </w:rPr>
      </w:pPr>
    </w:p>
    <w:p w14:paraId="511D7C60">
      <w:pPr>
        <w:rPr>
          <w:rFonts w:cs="宋体"/>
        </w:rPr>
      </w:pPr>
    </w:p>
    <w:p w14:paraId="73395081">
      <w:pPr>
        <w:rPr>
          <w:rFonts w:cs="宋体"/>
        </w:rPr>
      </w:pPr>
    </w:p>
    <w:p w14:paraId="78D258B3">
      <w:pPr>
        <w:rPr>
          <w:rFonts w:cs="宋体"/>
        </w:rPr>
      </w:pPr>
    </w:p>
    <w:p w14:paraId="38A1C456">
      <w:pPr>
        <w:spacing w:line="360" w:lineRule="auto"/>
        <w:ind w:left="630" w:leftChars="300"/>
        <w:rPr>
          <w:rFonts w:cs="宋体"/>
          <w:sz w:val="28"/>
          <w:u w:val="single"/>
        </w:rPr>
      </w:pPr>
      <w:r>
        <w:rPr>
          <w:rFonts w:hint="eastAsia" w:cs="宋体"/>
          <w:sz w:val="28"/>
        </w:rPr>
        <w:t>响应人</w:t>
      </w:r>
      <w:r>
        <w:rPr>
          <w:rFonts w:cs="宋体"/>
          <w:b/>
          <w:bCs/>
          <w:sz w:val="24"/>
          <w:szCs w:val="24"/>
        </w:rPr>
        <w:t>Nom de l’entreprise soumissionnaire</w:t>
      </w:r>
      <w:r>
        <w:rPr>
          <w:rFonts w:hint="eastAsia" w:cs="宋体"/>
          <w:sz w:val="28"/>
        </w:rPr>
        <w:t>：</w:t>
      </w:r>
      <w:r>
        <w:rPr>
          <w:rFonts w:hint="eastAsia" w:cs="宋体"/>
          <w:u w:val="single"/>
        </w:rPr>
        <w:t xml:space="preserve">                         </w:t>
      </w:r>
      <w:r>
        <w:rPr>
          <w:rFonts w:hint="eastAsia" w:cs="宋体"/>
          <w:sz w:val="28"/>
        </w:rPr>
        <w:t>（盖单位章</w:t>
      </w:r>
      <w:r>
        <w:rPr>
          <w:rFonts w:cs="宋体"/>
          <w:sz w:val="28"/>
        </w:rPr>
        <w:t>cachet de l’entreprise</w:t>
      </w:r>
      <w:r>
        <w:rPr>
          <w:rFonts w:hint="eastAsia" w:cs="宋体"/>
          <w:sz w:val="28"/>
        </w:rPr>
        <w:t>）</w:t>
      </w:r>
    </w:p>
    <w:p w14:paraId="30F5F414">
      <w:pPr>
        <w:pStyle w:val="33"/>
        <w:ind w:firstLine="560"/>
        <w:rPr>
          <w:rFonts w:cs="宋体"/>
        </w:rPr>
      </w:pPr>
    </w:p>
    <w:p w14:paraId="66A17F20">
      <w:pPr>
        <w:pStyle w:val="33"/>
        <w:ind w:firstLine="560"/>
        <w:rPr>
          <w:rFonts w:cs="宋体"/>
        </w:rPr>
      </w:pPr>
      <w:r>
        <w:rPr>
          <w:rFonts w:hint="eastAsia" w:cs="宋体"/>
        </w:rPr>
        <w:t>法定代表人或其委托代理人</w:t>
      </w:r>
    </w:p>
    <w:p w14:paraId="5C96E2FD">
      <w:pPr>
        <w:pStyle w:val="33"/>
        <w:ind w:firstLine="482"/>
        <w:rPr>
          <w:rFonts w:cs="宋体"/>
          <w:b/>
          <w:bCs/>
          <w:sz w:val="24"/>
        </w:rPr>
      </w:pPr>
      <w:r>
        <w:rPr>
          <w:rFonts w:cs="宋体"/>
          <w:b/>
          <w:bCs/>
          <w:sz w:val="24"/>
        </w:rPr>
        <w:t xml:space="preserve">Représentant légal ou son mandataire </w:t>
      </w:r>
      <w:r>
        <w:rPr>
          <w:rFonts w:hint="eastAsia" w:cs="宋体"/>
        </w:rPr>
        <w:t>:</w:t>
      </w:r>
      <w:r>
        <w:rPr>
          <w:rFonts w:hint="eastAsia" w:cs="宋体"/>
          <w:u w:val="single"/>
        </w:rPr>
        <w:t xml:space="preserve"> </w:t>
      </w:r>
      <w:r>
        <w:rPr>
          <w:rFonts w:cs="宋体"/>
          <w:u w:val="single"/>
        </w:rPr>
        <w:t xml:space="preserve">        </w:t>
      </w:r>
      <w:r>
        <w:rPr>
          <w:rFonts w:hint="eastAsia" w:cs="宋体"/>
          <w:u w:val="single"/>
        </w:rPr>
        <w:t xml:space="preserve">   </w:t>
      </w:r>
      <w:r>
        <w:rPr>
          <w:rFonts w:hint="eastAsia" w:cs="宋体"/>
        </w:rPr>
        <w:t>（签字）</w:t>
      </w:r>
      <w:r>
        <w:rPr>
          <w:rFonts w:cs="宋体"/>
          <w:b/>
          <w:bCs/>
          <w:sz w:val="24"/>
        </w:rPr>
        <w:t>(signature)</w:t>
      </w:r>
    </w:p>
    <w:p w14:paraId="238EE11F">
      <w:pPr>
        <w:jc w:val="center"/>
        <w:rPr>
          <w:rFonts w:cs="宋体"/>
        </w:rPr>
      </w:pPr>
    </w:p>
    <w:p w14:paraId="3B5F3A9A">
      <w:pPr>
        <w:jc w:val="center"/>
        <w:rPr>
          <w:rFonts w:cs="宋体"/>
          <w:u w:val="single"/>
        </w:rPr>
      </w:pPr>
    </w:p>
    <w:p w14:paraId="4F5805B4">
      <w:pPr>
        <w:jc w:val="center"/>
        <w:rPr>
          <w:rFonts w:cs="宋体"/>
          <w:u w:val="single"/>
        </w:rPr>
      </w:pPr>
    </w:p>
    <w:p w14:paraId="7EDFA979">
      <w:pPr>
        <w:jc w:val="center"/>
        <w:rPr>
          <w:rFonts w:cs="宋体"/>
          <w:sz w:val="28"/>
        </w:rPr>
      </w:pPr>
      <w:r>
        <w:rPr>
          <w:rFonts w:hint="eastAsia" w:cs="宋体"/>
          <w:sz w:val="24"/>
          <w:szCs w:val="22"/>
        </w:rPr>
        <w:t>日期</w:t>
      </w:r>
      <w:r>
        <w:rPr>
          <w:rFonts w:cs="宋体"/>
          <w:sz w:val="24"/>
          <w:szCs w:val="22"/>
        </w:rPr>
        <w:t>DATE :</w:t>
      </w:r>
      <w:r>
        <w:rPr>
          <w:rFonts w:hint="eastAsia" w:cs="宋体"/>
          <w:sz w:val="24"/>
          <w:szCs w:val="22"/>
        </w:rPr>
        <w:t xml:space="preserve"> </w:t>
      </w:r>
      <w:r>
        <w:rPr>
          <w:rFonts w:hint="eastAsia" w:cs="宋体"/>
          <w:u w:val="single"/>
        </w:rPr>
        <w:t xml:space="preserve">  </w:t>
      </w:r>
      <w:r>
        <w:rPr>
          <w:rFonts w:cs="宋体"/>
          <w:u w:val="single"/>
        </w:rPr>
        <w:t xml:space="preserve"> </w:t>
      </w:r>
      <w:r>
        <w:rPr>
          <w:rFonts w:hint="eastAsia" w:cs="宋体"/>
          <w:u w:val="single"/>
        </w:rPr>
        <w:t xml:space="preserve">    </w:t>
      </w:r>
      <w:r>
        <w:rPr>
          <w:rFonts w:hint="eastAsia" w:cs="宋体"/>
          <w:sz w:val="28"/>
        </w:rPr>
        <w:t>年</w:t>
      </w:r>
      <w:r>
        <w:rPr>
          <w:rFonts w:cs="宋体"/>
          <w:b/>
          <w:bCs/>
          <w:sz w:val="24"/>
          <w:szCs w:val="24"/>
        </w:rPr>
        <w:t>Année</w:t>
      </w:r>
      <w:r>
        <w:rPr>
          <w:rFonts w:hint="eastAsia" w:cs="宋体"/>
          <w:u w:val="single"/>
        </w:rPr>
        <w:t xml:space="preserve">       </w:t>
      </w:r>
      <w:r>
        <w:rPr>
          <w:rFonts w:hint="eastAsia" w:cs="宋体"/>
          <w:sz w:val="28"/>
        </w:rPr>
        <w:t>月</w:t>
      </w:r>
      <w:r>
        <w:rPr>
          <w:rFonts w:cs="宋体"/>
          <w:b/>
          <w:bCs/>
          <w:sz w:val="24"/>
          <w:szCs w:val="24"/>
        </w:rPr>
        <w:t>Mois</w:t>
      </w:r>
      <w:r>
        <w:rPr>
          <w:rFonts w:hint="eastAsia" w:cs="宋体"/>
          <w:u w:val="single"/>
        </w:rPr>
        <w:t xml:space="preserve">       </w:t>
      </w:r>
      <w:r>
        <w:rPr>
          <w:rFonts w:hint="eastAsia" w:cs="宋体"/>
          <w:sz w:val="28"/>
        </w:rPr>
        <w:t>日</w:t>
      </w:r>
      <w:r>
        <w:rPr>
          <w:rFonts w:cs="宋体"/>
          <w:b/>
          <w:bCs/>
          <w:sz w:val="24"/>
          <w:szCs w:val="24"/>
        </w:rPr>
        <w:t>Jour</w:t>
      </w:r>
    </w:p>
    <w:p w14:paraId="6575740D">
      <w:pPr>
        <w:jc w:val="center"/>
        <w:rPr>
          <w:rFonts w:cs="宋体"/>
          <w:sz w:val="28"/>
        </w:rPr>
        <w:sectPr>
          <w:headerReference r:id="rId9" w:type="default"/>
          <w:footerReference r:id="rId10" w:type="default"/>
          <w:pgSz w:w="11906" w:h="16838"/>
          <w:pgMar w:top="1417" w:right="1134" w:bottom="1134" w:left="1417" w:header="851" w:footer="850" w:gutter="0"/>
          <w:cols w:space="720" w:num="1"/>
          <w:docGrid w:linePitch="312" w:charSpace="0"/>
        </w:sectPr>
      </w:pPr>
    </w:p>
    <w:p w14:paraId="65F2028B"/>
    <w:p w14:paraId="105876F3">
      <w:pPr>
        <w:pStyle w:val="3"/>
        <w:widowControl/>
        <w:spacing w:before="0" w:after="0" w:line="360" w:lineRule="auto"/>
        <w:rPr>
          <w:rFonts w:ascii="Times New Roman" w:hAnsi="Times New Roman"/>
        </w:rPr>
      </w:pPr>
      <w:bookmarkStart w:id="254" w:name="_Toc12536"/>
      <w:bookmarkStart w:id="255" w:name="_Toc5714781"/>
      <w:bookmarkStart w:id="256" w:name="_Toc7714"/>
      <w:bookmarkStart w:id="257" w:name="_Toc32617"/>
      <w:bookmarkStart w:id="258" w:name="_Toc6701343"/>
      <w:bookmarkStart w:id="259" w:name="_Toc14803"/>
      <w:bookmarkStart w:id="260" w:name="_Toc15869"/>
      <w:bookmarkStart w:id="261" w:name="_Toc12466"/>
      <w:bookmarkStart w:id="262" w:name="_Toc32535"/>
      <w:bookmarkStart w:id="263" w:name="_Toc13649"/>
      <w:bookmarkStart w:id="264" w:name="_Toc3418"/>
      <w:bookmarkStart w:id="265" w:name="_Toc20768"/>
      <w:bookmarkStart w:id="266" w:name="_Toc6702500"/>
      <w:bookmarkStart w:id="267" w:name="_Toc24789"/>
      <w:bookmarkStart w:id="268" w:name="_Toc184635138"/>
      <w:bookmarkStart w:id="269" w:name="_Toc64635491"/>
      <w:r>
        <w:rPr>
          <w:rFonts w:hint="eastAsia" w:ascii="Times New Roman" w:hAnsi="Times New Roman" w:cs="宋体"/>
          <w:szCs w:val="28"/>
        </w:rPr>
        <w:t>目  录</w:t>
      </w:r>
      <w:bookmarkEnd w:id="254"/>
    </w:p>
    <w:p w14:paraId="2CD803B2">
      <w:pPr>
        <w:spacing w:line="360" w:lineRule="auto"/>
        <w:ind w:firstLine="420" w:firstLineChars="200"/>
      </w:pPr>
      <w:r>
        <w:t>一、</w:t>
      </w:r>
      <w:r>
        <w:rPr>
          <w:rFonts w:hint="eastAsia"/>
        </w:rPr>
        <w:t>响应</w:t>
      </w:r>
      <w:r>
        <w:t>函</w:t>
      </w:r>
    </w:p>
    <w:p w14:paraId="76129F13">
      <w:pPr>
        <w:spacing w:line="360" w:lineRule="auto"/>
        <w:ind w:firstLine="420" w:firstLineChars="200"/>
      </w:pPr>
      <w:r>
        <w:rPr>
          <w:rFonts w:hint="eastAsia"/>
        </w:rPr>
        <w:t>二</w:t>
      </w:r>
      <w:r>
        <w:t>、</w:t>
      </w:r>
      <w:r>
        <w:rPr>
          <w:rFonts w:hint="eastAsia"/>
        </w:rPr>
        <w:t>报价格式</w:t>
      </w:r>
    </w:p>
    <w:p w14:paraId="436D8CD2">
      <w:pPr>
        <w:spacing w:line="360" w:lineRule="auto"/>
        <w:rPr>
          <w:rFonts w:cs="宋体"/>
          <w:szCs w:val="21"/>
        </w:rPr>
      </w:pPr>
    </w:p>
    <w:p w14:paraId="5CC023F0">
      <w:pPr>
        <w:jc w:val="center"/>
      </w:pPr>
      <w:r>
        <w:t>Table des matières</w:t>
      </w:r>
    </w:p>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14:paraId="522F8B3F">
      <w:pPr>
        <w:spacing w:line="360" w:lineRule="auto"/>
        <w:ind w:left="420" w:leftChars="200"/>
      </w:pPr>
      <w:bookmarkStart w:id="270" w:name="_Toc26981"/>
      <w:bookmarkStart w:id="271" w:name="_Toc1100"/>
      <w:bookmarkStart w:id="272" w:name="_Toc30268"/>
      <w:r>
        <w:rPr>
          <w:lang w:bidi="ar"/>
        </w:rPr>
        <w:t>I. Lettre de réponse</w:t>
      </w:r>
    </w:p>
    <w:p w14:paraId="04FDE0A8">
      <w:pPr>
        <w:spacing w:line="360" w:lineRule="auto"/>
        <w:ind w:left="420" w:leftChars="200"/>
      </w:pPr>
      <w:r>
        <w:rPr>
          <w:lang w:bidi="ar"/>
        </w:rPr>
        <w:t>II. Format de l’Offre</w:t>
      </w:r>
    </w:p>
    <w:bookmarkEnd w:id="270"/>
    <w:bookmarkEnd w:id="271"/>
    <w:bookmarkEnd w:id="272"/>
    <w:p w14:paraId="1AA04EAC">
      <w:pPr>
        <w:pStyle w:val="3"/>
        <w:spacing w:before="0" w:after="0" w:line="360" w:lineRule="auto"/>
        <w:rPr>
          <w:rFonts w:ascii="Times New Roman" w:hAnsi="Times New Roman"/>
          <w:szCs w:val="21"/>
        </w:rPr>
      </w:pPr>
      <w:bookmarkStart w:id="273" w:name="_Toc6561426"/>
      <w:bookmarkStart w:id="274" w:name="_Toc28433"/>
      <w:bookmarkStart w:id="275" w:name="_Toc492288514"/>
      <w:bookmarkStart w:id="276" w:name="_Toc21233"/>
      <w:bookmarkStart w:id="277" w:name="_Toc9513"/>
    </w:p>
    <w:p w14:paraId="12F6D475">
      <w:pPr>
        <w:pStyle w:val="3"/>
        <w:spacing w:before="0" w:after="0" w:line="360" w:lineRule="auto"/>
        <w:rPr>
          <w:rFonts w:ascii="Times New Roman" w:hAnsi="Times New Roman"/>
          <w:szCs w:val="21"/>
        </w:rPr>
      </w:pPr>
    </w:p>
    <w:p w14:paraId="22415A48">
      <w:pPr>
        <w:pStyle w:val="3"/>
        <w:spacing w:before="0" w:after="0" w:line="360" w:lineRule="auto"/>
        <w:rPr>
          <w:rFonts w:ascii="Times New Roman" w:hAnsi="Times New Roman"/>
          <w:szCs w:val="21"/>
        </w:rPr>
      </w:pPr>
    </w:p>
    <w:p w14:paraId="40314476">
      <w:pPr>
        <w:pStyle w:val="3"/>
        <w:spacing w:before="0" w:after="0" w:line="360" w:lineRule="auto"/>
        <w:rPr>
          <w:rFonts w:ascii="Times New Roman" w:hAnsi="Times New Roman"/>
          <w:szCs w:val="21"/>
        </w:rPr>
      </w:pPr>
    </w:p>
    <w:p w14:paraId="3D1C4792">
      <w:pPr>
        <w:pStyle w:val="3"/>
        <w:spacing w:before="0" w:after="0" w:line="360" w:lineRule="auto"/>
        <w:rPr>
          <w:rFonts w:ascii="Times New Roman" w:hAnsi="Times New Roman"/>
          <w:szCs w:val="21"/>
        </w:rPr>
      </w:pPr>
    </w:p>
    <w:p w14:paraId="00F28AAD">
      <w:pPr>
        <w:pStyle w:val="3"/>
        <w:spacing w:before="0" w:after="0" w:line="360" w:lineRule="auto"/>
        <w:rPr>
          <w:rFonts w:ascii="Times New Roman" w:hAnsi="Times New Roman"/>
          <w:szCs w:val="21"/>
        </w:rPr>
      </w:pPr>
    </w:p>
    <w:p w14:paraId="73BED221">
      <w:pPr>
        <w:pStyle w:val="3"/>
        <w:spacing w:before="0" w:after="0" w:line="360" w:lineRule="auto"/>
        <w:rPr>
          <w:rFonts w:ascii="Times New Roman" w:hAnsi="Times New Roman"/>
          <w:szCs w:val="21"/>
        </w:rPr>
      </w:pPr>
    </w:p>
    <w:p w14:paraId="7A904089">
      <w:pPr>
        <w:pStyle w:val="3"/>
        <w:spacing w:before="0" w:after="0" w:line="360" w:lineRule="auto"/>
        <w:rPr>
          <w:rFonts w:ascii="Times New Roman" w:hAnsi="Times New Roman"/>
          <w:szCs w:val="21"/>
        </w:rPr>
      </w:pPr>
    </w:p>
    <w:p w14:paraId="0B08B997">
      <w:pPr>
        <w:pStyle w:val="3"/>
        <w:spacing w:before="0" w:after="0" w:line="360" w:lineRule="auto"/>
        <w:rPr>
          <w:rFonts w:ascii="Times New Roman" w:hAnsi="Times New Roman"/>
          <w:szCs w:val="21"/>
        </w:rPr>
      </w:pPr>
    </w:p>
    <w:p w14:paraId="68C48608">
      <w:pPr>
        <w:pStyle w:val="3"/>
        <w:spacing w:before="0" w:after="0" w:line="360" w:lineRule="auto"/>
        <w:rPr>
          <w:rFonts w:ascii="Times New Roman" w:hAnsi="Times New Roman"/>
          <w:szCs w:val="21"/>
        </w:rPr>
      </w:pPr>
    </w:p>
    <w:p w14:paraId="5656D93D">
      <w:pPr>
        <w:pStyle w:val="3"/>
        <w:spacing w:before="0" w:after="0" w:line="360" w:lineRule="auto"/>
        <w:rPr>
          <w:rFonts w:ascii="Times New Roman" w:hAnsi="Times New Roman"/>
          <w:szCs w:val="21"/>
        </w:rPr>
      </w:pPr>
    </w:p>
    <w:p w14:paraId="5CD8EE6C">
      <w:pPr>
        <w:pStyle w:val="3"/>
        <w:spacing w:before="0" w:after="0" w:line="360" w:lineRule="auto"/>
        <w:rPr>
          <w:rFonts w:ascii="Times New Roman" w:hAnsi="Times New Roman"/>
          <w:szCs w:val="21"/>
        </w:rPr>
      </w:pPr>
    </w:p>
    <w:p w14:paraId="093F8958">
      <w:pPr>
        <w:pStyle w:val="3"/>
        <w:spacing w:before="0" w:after="0" w:line="360" w:lineRule="auto"/>
        <w:rPr>
          <w:rFonts w:ascii="Times New Roman" w:hAnsi="Times New Roman"/>
          <w:szCs w:val="21"/>
        </w:rPr>
      </w:pPr>
    </w:p>
    <w:p w14:paraId="65849BDB">
      <w:pPr>
        <w:pStyle w:val="3"/>
        <w:spacing w:before="0" w:after="0" w:line="360" w:lineRule="auto"/>
        <w:rPr>
          <w:rFonts w:ascii="Times New Roman" w:hAnsi="Times New Roman"/>
          <w:szCs w:val="21"/>
        </w:rPr>
      </w:pPr>
    </w:p>
    <w:p w14:paraId="2B5C04D0">
      <w:pPr>
        <w:pStyle w:val="3"/>
        <w:spacing w:before="0" w:after="0" w:line="360" w:lineRule="auto"/>
        <w:rPr>
          <w:rFonts w:ascii="Times New Roman" w:hAnsi="Times New Roman"/>
          <w:szCs w:val="21"/>
        </w:rPr>
      </w:pPr>
    </w:p>
    <w:p w14:paraId="04317AC1">
      <w:pPr>
        <w:pStyle w:val="3"/>
        <w:spacing w:before="0" w:after="0" w:line="360" w:lineRule="auto"/>
        <w:rPr>
          <w:rFonts w:ascii="Times New Roman" w:hAnsi="Times New Roman"/>
          <w:szCs w:val="21"/>
        </w:rPr>
      </w:pPr>
    </w:p>
    <w:p w14:paraId="793EF3C2">
      <w:pPr>
        <w:pStyle w:val="3"/>
        <w:spacing w:before="0" w:after="0" w:line="360" w:lineRule="auto"/>
        <w:rPr>
          <w:rFonts w:ascii="Times New Roman" w:hAnsi="Times New Roman"/>
          <w:szCs w:val="21"/>
        </w:rPr>
      </w:pPr>
    </w:p>
    <w:p w14:paraId="7F1A5BC6">
      <w:pPr>
        <w:pStyle w:val="3"/>
        <w:spacing w:before="0" w:after="0" w:line="360" w:lineRule="auto"/>
        <w:rPr>
          <w:rFonts w:ascii="Times New Roman" w:hAnsi="Times New Roman"/>
          <w:szCs w:val="21"/>
        </w:rPr>
      </w:pPr>
    </w:p>
    <w:p w14:paraId="313FB656">
      <w:pPr>
        <w:pStyle w:val="3"/>
        <w:spacing w:before="0" w:after="0" w:line="360" w:lineRule="auto"/>
        <w:rPr>
          <w:rFonts w:ascii="Times New Roman" w:hAnsi="Times New Roman"/>
          <w:szCs w:val="21"/>
        </w:rPr>
      </w:pPr>
    </w:p>
    <w:p w14:paraId="7442E15F">
      <w:pPr>
        <w:pStyle w:val="3"/>
        <w:spacing w:before="0" w:after="0" w:line="360" w:lineRule="auto"/>
        <w:rPr>
          <w:rFonts w:ascii="Times New Roman" w:hAnsi="Times New Roman"/>
          <w:szCs w:val="21"/>
        </w:rPr>
      </w:pPr>
    </w:p>
    <w:p w14:paraId="44CCFB70">
      <w:pPr>
        <w:pStyle w:val="3"/>
        <w:spacing w:before="0" w:after="0" w:line="360" w:lineRule="auto"/>
        <w:rPr>
          <w:rFonts w:ascii="Times New Roman" w:hAnsi="Times New Roman"/>
          <w:szCs w:val="21"/>
        </w:rPr>
      </w:pPr>
    </w:p>
    <w:p w14:paraId="06D6D055">
      <w:pPr>
        <w:pStyle w:val="3"/>
        <w:spacing w:before="0" w:after="0" w:line="360" w:lineRule="auto"/>
        <w:rPr>
          <w:rFonts w:ascii="Times New Roman" w:hAnsi="Times New Roman"/>
          <w:szCs w:val="21"/>
        </w:rPr>
      </w:pPr>
    </w:p>
    <w:bookmarkEnd w:id="273"/>
    <w:bookmarkEnd w:id="274"/>
    <w:bookmarkEnd w:id="275"/>
    <w:bookmarkEnd w:id="276"/>
    <w:bookmarkEnd w:id="277"/>
    <w:p w14:paraId="7A02FBC8">
      <w:pPr>
        <w:spacing w:line="360" w:lineRule="auto"/>
        <w:outlineLvl w:val="1"/>
        <w:rPr>
          <w:b/>
          <w:sz w:val="28"/>
          <w:szCs w:val="21"/>
        </w:rPr>
      </w:pPr>
    </w:p>
    <w:p w14:paraId="5F821C9E">
      <w:pPr>
        <w:keepNext/>
        <w:adjustRightInd w:val="0"/>
        <w:spacing w:line="360" w:lineRule="auto"/>
        <w:jc w:val="center"/>
        <w:textAlignment w:val="baseline"/>
        <w:outlineLvl w:val="1"/>
        <w:rPr>
          <w:b/>
          <w:kern w:val="0"/>
          <w:sz w:val="28"/>
          <w:szCs w:val="21"/>
        </w:rPr>
      </w:pPr>
      <w:r>
        <w:rPr>
          <w:b/>
          <w:kern w:val="0"/>
          <w:sz w:val="28"/>
          <w:szCs w:val="21"/>
        </w:rPr>
        <w:t xml:space="preserve">一、响应函 </w:t>
      </w:r>
    </w:p>
    <w:p w14:paraId="1D90C812">
      <w:pPr>
        <w:adjustRightInd w:val="0"/>
        <w:snapToGrid w:val="0"/>
        <w:spacing w:line="360" w:lineRule="auto"/>
        <w:rPr>
          <w:szCs w:val="21"/>
        </w:rPr>
      </w:pPr>
      <w:r>
        <w:rPr>
          <w:rFonts w:hint="eastAsia"/>
          <w:szCs w:val="21"/>
        </w:rPr>
        <w:t>几内亚高丽亚矿山股份有限公司</w:t>
      </w:r>
      <w:r>
        <w:rPr>
          <w:szCs w:val="21"/>
        </w:rPr>
        <w:t xml:space="preserve">（采购人名称）: </w:t>
      </w:r>
    </w:p>
    <w:p w14:paraId="565818E1">
      <w:pPr>
        <w:adjustRightInd w:val="0"/>
        <w:spacing w:line="360" w:lineRule="auto"/>
        <w:ind w:firstLine="420" w:firstLineChars="200"/>
        <w:rPr>
          <w:szCs w:val="21"/>
        </w:rPr>
      </w:pPr>
      <w:r>
        <w:rPr>
          <w:szCs w:val="21"/>
        </w:rPr>
        <w:t>1．我方己仔细研究了</w:t>
      </w:r>
      <w:r>
        <w:rPr>
          <w:szCs w:val="21"/>
          <w:u w:val="single"/>
        </w:rPr>
        <w:t xml:space="preserve">                     </w:t>
      </w:r>
      <w:r>
        <w:rPr>
          <w:szCs w:val="21"/>
        </w:rPr>
        <w:t>（项目名称）服务直接采购文件的全部内容，愿意以</w:t>
      </w:r>
      <w:r>
        <w:rPr>
          <w:rFonts w:hint="eastAsia"/>
          <w:szCs w:val="21"/>
          <w:lang w:val="en-US"/>
        </w:rPr>
        <w:t>美元</w:t>
      </w:r>
      <w:r>
        <w:rPr>
          <w:szCs w:val="21"/>
        </w:rPr>
        <w:t>（大写）</w:t>
      </w:r>
      <w:r>
        <w:rPr>
          <w:szCs w:val="21"/>
          <w:u w:val="single"/>
        </w:rPr>
        <w:t xml:space="preserve">                 </w:t>
      </w:r>
      <w:r>
        <w:rPr>
          <w:szCs w:val="21"/>
        </w:rPr>
        <w:t>的响应总报价</w:t>
      </w:r>
      <w:r>
        <w:rPr>
          <w:rFonts w:hint="eastAsia"/>
          <w:szCs w:val="21"/>
        </w:rPr>
        <w:t>（</w:t>
      </w:r>
      <w:r>
        <w:rPr>
          <w:rFonts w:hint="eastAsia"/>
          <w:szCs w:val="21"/>
          <w:lang w:val="en-US"/>
        </w:rPr>
        <w:t>不含税</w:t>
      </w:r>
      <w:r>
        <w:rPr>
          <w:rFonts w:hint="eastAsia"/>
          <w:szCs w:val="21"/>
        </w:rPr>
        <w:t>）</w:t>
      </w:r>
      <w:r>
        <w:rPr>
          <w:szCs w:val="21"/>
        </w:rPr>
        <w:t>，服务期限</w:t>
      </w:r>
      <w:r>
        <w:rPr>
          <w:szCs w:val="21"/>
          <w:u w:val="single"/>
        </w:rPr>
        <w:t xml:space="preserve">        </w:t>
      </w:r>
      <w:r>
        <w:rPr>
          <w:szCs w:val="21"/>
        </w:rPr>
        <w:t>日历天，按合同约定完成集中处置类废弃物处置工作。</w:t>
      </w:r>
    </w:p>
    <w:p w14:paraId="0CBF4E60">
      <w:pPr>
        <w:adjustRightInd w:val="0"/>
        <w:snapToGrid w:val="0"/>
        <w:spacing w:line="360" w:lineRule="auto"/>
        <w:ind w:firstLine="420" w:firstLineChars="200"/>
        <w:rPr>
          <w:szCs w:val="21"/>
        </w:rPr>
      </w:pPr>
      <w:r>
        <w:rPr>
          <w:szCs w:val="21"/>
        </w:rPr>
        <w:t>2．我方承诺在响应有效期内不修改、撤销响应文件。</w:t>
      </w:r>
    </w:p>
    <w:p w14:paraId="222E7C2A">
      <w:pPr>
        <w:adjustRightInd w:val="0"/>
        <w:snapToGrid w:val="0"/>
        <w:spacing w:line="360" w:lineRule="auto"/>
        <w:ind w:firstLine="420" w:firstLineChars="200"/>
        <w:rPr>
          <w:szCs w:val="21"/>
        </w:rPr>
      </w:pPr>
      <w:r>
        <w:rPr>
          <w:szCs w:val="21"/>
        </w:rPr>
        <w:t>3．如我方成交：</w:t>
      </w:r>
    </w:p>
    <w:p w14:paraId="6C5E0F14">
      <w:pPr>
        <w:adjustRightInd w:val="0"/>
        <w:snapToGrid w:val="0"/>
        <w:spacing w:line="360" w:lineRule="auto"/>
        <w:ind w:firstLine="420" w:firstLineChars="200"/>
        <w:rPr>
          <w:szCs w:val="21"/>
        </w:rPr>
      </w:pPr>
      <w:r>
        <w:rPr>
          <w:szCs w:val="21"/>
        </w:rPr>
        <w:t>（1）我方承诺在收到成交通知书后，在成交通知书规定的期限内与你方签订合同。</w:t>
      </w:r>
    </w:p>
    <w:p w14:paraId="6F755877">
      <w:pPr>
        <w:adjustRightInd w:val="0"/>
        <w:snapToGrid w:val="0"/>
        <w:spacing w:line="360" w:lineRule="auto"/>
        <w:ind w:firstLine="420" w:firstLineChars="200"/>
        <w:rPr>
          <w:szCs w:val="21"/>
        </w:rPr>
      </w:pPr>
      <w:r>
        <w:rPr>
          <w:szCs w:val="21"/>
        </w:rPr>
        <w:t>（2）随同本响应函递交的响应函附录属于合同文件的组成部分。</w:t>
      </w:r>
    </w:p>
    <w:p w14:paraId="03CFC425">
      <w:pPr>
        <w:adjustRightInd w:val="0"/>
        <w:snapToGrid w:val="0"/>
        <w:spacing w:line="360" w:lineRule="auto"/>
        <w:ind w:firstLine="420" w:firstLineChars="200"/>
        <w:rPr>
          <w:szCs w:val="21"/>
        </w:rPr>
      </w:pPr>
      <w:r>
        <w:rPr>
          <w:szCs w:val="21"/>
        </w:rPr>
        <w:t>（3）我方承诺按照直接采购文件规定向你方递交履约担保。</w:t>
      </w:r>
    </w:p>
    <w:p w14:paraId="54A47D1B">
      <w:pPr>
        <w:adjustRightInd w:val="0"/>
        <w:snapToGrid w:val="0"/>
        <w:spacing w:line="360" w:lineRule="auto"/>
        <w:ind w:firstLine="420" w:firstLineChars="200"/>
        <w:rPr>
          <w:szCs w:val="21"/>
        </w:rPr>
      </w:pPr>
      <w:r>
        <w:rPr>
          <w:szCs w:val="21"/>
        </w:rPr>
        <w:t>（4）我方承诺在合同约定的期限内完成并移交全部合同内容。</w:t>
      </w:r>
    </w:p>
    <w:p w14:paraId="45606174">
      <w:pPr>
        <w:adjustRightInd w:val="0"/>
        <w:snapToGrid w:val="0"/>
        <w:spacing w:line="360" w:lineRule="auto"/>
        <w:ind w:firstLine="420" w:firstLineChars="200"/>
        <w:rPr>
          <w:szCs w:val="21"/>
        </w:rPr>
      </w:pPr>
      <w:r>
        <w:rPr>
          <w:szCs w:val="21"/>
        </w:rPr>
        <w:t>（5）如遇国家增值税税率政策调整，本报价的不含增值税金额不变，含增值税金额根据国家政策进行调整</w:t>
      </w:r>
    </w:p>
    <w:p w14:paraId="1D878785">
      <w:pPr>
        <w:adjustRightInd w:val="0"/>
        <w:snapToGrid w:val="0"/>
        <w:spacing w:line="360" w:lineRule="auto"/>
        <w:ind w:firstLine="420" w:firstLineChars="200"/>
        <w:rPr>
          <w:szCs w:val="21"/>
        </w:rPr>
      </w:pPr>
      <w:r>
        <w:rPr>
          <w:szCs w:val="21"/>
        </w:rPr>
        <w:t>4．我方在此声明，所递交的响应文件及有关资料内容完整、真实和准确。</w:t>
      </w:r>
    </w:p>
    <w:p w14:paraId="7366ADC3">
      <w:pPr>
        <w:adjustRightInd w:val="0"/>
        <w:snapToGrid w:val="0"/>
        <w:spacing w:line="360" w:lineRule="auto"/>
        <w:ind w:firstLine="420"/>
        <w:rPr>
          <w:szCs w:val="21"/>
        </w:rPr>
      </w:pPr>
      <w:r>
        <w:rPr>
          <w:szCs w:val="21"/>
        </w:rPr>
        <w:t>5.我方将严格按照有关法律法规及直接采购文件规定参加响应，理解贵方不保证响应价最低的响应人成交，并不要求对未成交理由做出任何解释。</w:t>
      </w:r>
    </w:p>
    <w:p w14:paraId="452517BD">
      <w:pPr>
        <w:adjustRightInd w:val="0"/>
        <w:snapToGrid w:val="0"/>
        <w:spacing w:line="360" w:lineRule="auto"/>
        <w:ind w:firstLine="420"/>
        <w:rPr>
          <w:szCs w:val="21"/>
        </w:rPr>
      </w:pPr>
      <w:r>
        <w:rPr>
          <w:szCs w:val="21"/>
        </w:rPr>
        <w:t>6．</w:t>
      </w:r>
      <w:r>
        <w:rPr>
          <w:szCs w:val="21"/>
          <w:u w:val="single"/>
        </w:rPr>
        <w:t xml:space="preserve">                                       </w:t>
      </w:r>
      <w:r>
        <w:rPr>
          <w:szCs w:val="21"/>
        </w:rPr>
        <w:t>（其他补充说明）。</w:t>
      </w:r>
    </w:p>
    <w:p w14:paraId="3B0C77EA">
      <w:pPr>
        <w:spacing w:line="440" w:lineRule="exact"/>
        <w:ind w:firstLine="420" w:firstLineChars="200"/>
        <w:rPr>
          <w:szCs w:val="21"/>
        </w:rPr>
      </w:pPr>
    </w:p>
    <w:p w14:paraId="68612612">
      <w:pPr>
        <w:spacing w:line="440" w:lineRule="exact"/>
        <w:ind w:firstLine="2520" w:firstLineChars="1200"/>
        <w:jc w:val="left"/>
        <w:rPr>
          <w:szCs w:val="21"/>
        </w:rPr>
      </w:pPr>
      <w:r>
        <w:rPr>
          <w:szCs w:val="21"/>
        </w:rPr>
        <w:t>响 应 人：</w:t>
      </w:r>
      <w:r>
        <w:rPr>
          <w:szCs w:val="21"/>
          <w:u w:val="single"/>
        </w:rPr>
        <w:t xml:space="preserve">                                </w:t>
      </w:r>
      <w:r>
        <w:rPr>
          <w:szCs w:val="21"/>
          <w:u w:val="single"/>
        </w:rPr>
        <w:tab/>
      </w:r>
      <w:r>
        <w:rPr>
          <w:szCs w:val="21"/>
        </w:rPr>
        <w:t>（盖单位章）</w:t>
      </w:r>
    </w:p>
    <w:p w14:paraId="71FE671D">
      <w:pPr>
        <w:spacing w:line="440" w:lineRule="exact"/>
        <w:jc w:val="left"/>
        <w:rPr>
          <w:szCs w:val="21"/>
        </w:rPr>
      </w:pPr>
      <w:r>
        <w:t xml:space="preserve">                        法定代表人（单位负责人）</w:t>
      </w:r>
      <w:r>
        <w:rPr>
          <w:szCs w:val="21"/>
        </w:rPr>
        <w:t>或其委托代理人：</w:t>
      </w:r>
      <w:r>
        <w:rPr>
          <w:szCs w:val="21"/>
          <w:u w:val="single"/>
        </w:rPr>
        <w:t xml:space="preserve">       </w:t>
      </w:r>
      <w:r>
        <w:rPr>
          <w:szCs w:val="21"/>
          <w:u w:val="single"/>
        </w:rPr>
        <w:tab/>
      </w:r>
      <w:r>
        <w:rPr>
          <w:szCs w:val="21"/>
        </w:rPr>
        <w:t>（签字）</w:t>
      </w:r>
    </w:p>
    <w:p w14:paraId="47C6B6ED">
      <w:pPr>
        <w:spacing w:line="440" w:lineRule="exact"/>
        <w:ind w:firstLine="2520" w:firstLineChars="1200"/>
        <w:jc w:val="left"/>
        <w:rPr>
          <w:szCs w:val="21"/>
        </w:rPr>
      </w:pPr>
      <w:r>
        <w:rPr>
          <w:szCs w:val="21"/>
        </w:rPr>
        <w:t>地    址：</w:t>
      </w:r>
      <w:r>
        <w:rPr>
          <w:szCs w:val="21"/>
          <w:u w:val="single"/>
        </w:rPr>
        <w:t xml:space="preserve">          </w:t>
      </w:r>
      <w:r>
        <w:rPr>
          <w:szCs w:val="21"/>
          <w:u w:val="single"/>
        </w:rPr>
        <w:tab/>
      </w:r>
      <w:r>
        <w:rPr>
          <w:szCs w:val="21"/>
          <w:u w:val="single"/>
        </w:rPr>
        <w:t xml:space="preserve">                             </w:t>
      </w:r>
      <w:r>
        <w:rPr>
          <w:szCs w:val="21"/>
          <w:u w:val="single"/>
        </w:rPr>
        <w:tab/>
      </w:r>
    </w:p>
    <w:p w14:paraId="2D647173">
      <w:pPr>
        <w:spacing w:line="440" w:lineRule="exact"/>
        <w:ind w:firstLine="2520" w:firstLineChars="1200"/>
        <w:jc w:val="left"/>
        <w:rPr>
          <w:szCs w:val="21"/>
        </w:rPr>
      </w:pPr>
      <w:r>
        <w:rPr>
          <w:szCs w:val="21"/>
        </w:rPr>
        <w:t>网    址：</w:t>
      </w:r>
      <w:r>
        <w:rPr>
          <w:szCs w:val="21"/>
          <w:u w:val="single"/>
        </w:rPr>
        <w:t xml:space="preserve">                                       </w:t>
      </w:r>
      <w:r>
        <w:rPr>
          <w:szCs w:val="21"/>
          <w:u w:val="single"/>
        </w:rPr>
        <w:tab/>
      </w:r>
      <w:r>
        <w:rPr>
          <w:szCs w:val="21"/>
          <w:u w:val="single"/>
        </w:rPr>
        <w:t xml:space="preserve">    </w:t>
      </w:r>
    </w:p>
    <w:p w14:paraId="016109F8">
      <w:pPr>
        <w:spacing w:line="440" w:lineRule="exact"/>
        <w:ind w:firstLine="2520" w:firstLineChars="1200"/>
        <w:jc w:val="left"/>
        <w:rPr>
          <w:szCs w:val="21"/>
        </w:rPr>
      </w:pPr>
      <w:r>
        <w:rPr>
          <w:szCs w:val="21"/>
        </w:rPr>
        <w:t>电    话：</w:t>
      </w:r>
      <w:r>
        <w:rPr>
          <w:szCs w:val="21"/>
          <w:u w:val="single"/>
        </w:rPr>
        <w:t xml:space="preserve">          </w:t>
      </w:r>
      <w:r>
        <w:rPr>
          <w:szCs w:val="21"/>
          <w:u w:val="single"/>
        </w:rPr>
        <w:tab/>
      </w:r>
      <w:r>
        <w:rPr>
          <w:szCs w:val="21"/>
          <w:u w:val="single"/>
        </w:rPr>
        <w:t xml:space="preserve">                          </w:t>
      </w:r>
      <w:r>
        <w:rPr>
          <w:szCs w:val="21"/>
          <w:u w:val="single"/>
        </w:rPr>
        <w:tab/>
      </w:r>
      <w:r>
        <w:rPr>
          <w:szCs w:val="21"/>
          <w:u w:val="single"/>
        </w:rPr>
        <w:t xml:space="preserve">    </w:t>
      </w:r>
    </w:p>
    <w:p w14:paraId="02C8239F">
      <w:pPr>
        <w:spacing w:line="440" w:lineRule="exact"/>
        <w:ind w:firstLine="2520" w:firstLineChars="1200"/>
        <w:jc w:val="left"/>
        <w:rPr>
          <w:szCs w:val="21"/>
        </w:rPr>
      </w:pPr>
      <w:r>
        <w:rPr>
          <w:szCs w:val="21"/>
        </w:rPr>
        <w:t>传    真：</w:t>
      </w:r>
      <w:r>
        <w:rPr>
          <w:szCs w:val="21"/>
          <w:u w:val="single"/>
        </w:rPr>
        <w:t xml:space="preserve">          </w:t>
      </w:r>
      <w:r>
        <w:rPr>
          <w:szCs w:val="21"/>
          <w:u w:val="single"/>
        </w:rPr>
        <w:tab/>
      </w:r>
      <w:r>
        <w:rPr>
          <w:szCs w:val="21"/>
          <w:u w:val="single"/>
        </w:rPr>
        <w:t xml:space="preserve">                                </w:t>
      </w:r>
    </w:p>
    <w:p w14:paraId="530B4AE7">
      <w:pPr>
        <w:spacing w:line="440" w:lineRule="exact"/>
        <w:ind w:firstLine="2520" w:firstLineChars="1200"/>
        <w:jc w:val="left"/>
        <w:rPr>
          <w:szCs w:val="21"/>
        </w:rPr>
      </w:pPr>
      <w:r>
        <w:rPr>
          <w:szCs w:val="21"/>
        </w:rPr>
        <w:t>邮政编码：</w:t>
      </w:r>
      <w:r>
        <w:rPr>
          <w:szCs w:val="21"/>
          <w:u w:val="single"/>
        </w:rPr>
        <w:t xml:space="preserve">          </w:t>
      </w:r>
      <w:r>
        <w:rPr>
          <w:szCs w:val="21"/>
          <w:u w:val="single"/>
        </w:rPr>
        <w:tab/>
      </w:r>
      <w:r>
        <w:rPr>
          <w:szCs w:val="21"/>
          <w:u w:val="single"/>
        </w:rPr>
        <w:t xml:space="preserve">                                </w:t>
      </w:r>
    </w:p>
    <w:p w14:paraId="73455179">
      <w:pPr>
        <w:spacing w:line="440" w:lineRule="exact"/>
        <w:ind w:right="840" w:firstLine="4725" w:firstLineChars="2250"/>
        <w:jc w:val="center"/>
      </w:pPr>
      <w:r>
        <w:rPr>
          <w:u w:val="single"/>
        </w:rPr>
        <w:t xml:space="preserve">      </w:t>
      </w:r>
      <w:r>
        <w:rPr>
          <w:szCs w:val="21"/>
        </w:rPr>
        <w:t>年</w:t>
      </w:r>
      <w:r>
        <w:rPr>
          <w:u w:val="single"/>
        </w:rPr>
        <w:t xml:space="preserve">      </w:t>
      </w:r>
      <w:r>
        <w:rPr>
          <w:szCs w:val="21"/>
        </w:rPr>
        <w:t>月</w:t>
      </w:r>
      <w:r>
        <w:rPr>
          <w:u w:val="single"/>
        </w:rPr>
        <w:t xml:space="preserve">      </w:t>
      </w:r>
      <w:r>
        <w:rPr>
          <w:szCs w:val="21"/>
        </w:rPr>
        <w:t>日</w:t>
      </w:r>
    </w:p>
    <w:p w14:paraId="45538079">
      <w:pPr>
        <w:pStyle w:val="21"/>
        <w:rPr>
          <w:b/>
          <w:sz w:val="28"/>
          <w:szCs w:val="21"/>
        </w:rPr>
      </w:pPr>
    </w:p>
    <w:p w14:paraId="2F7482FE">
      <w:pPr>
        <w:pStyle w:val="22"/>
        <w:rPr>
          <w:b/>
          <w:sz w:val="28"/>
          <w:szCs w:val="21"/>
        </w:rPr>
      </w:pPr>
    </w:p>
    <w:p w14:paraId="23D2065E">
      <w:pPr>
        <w:pStyle w:val="22"/>
        <w:rPr>
          <w:b/>
          <w:sz w:val="28"/>
          <w:szCs w:val="21"/>
        </w:rPr>
      </w:pPr>
    </w:p>
    <w:p w14:paraId="4B4B118D">
      <w:pPr>
        <w:pStyle w:val="22"/>
        <w:rPr>
          <w:b/>
          <w:sz w:val="28"/>
          <w:szCs w:val="21"/>
        </w:rPr>
      </w:pPr>
    </w:p>
    <w:p w14:paraId="19ED1A0E">
      <w:pPr>
        <w:pStyle w:val="22"/>
        <w:rPr>
          <w:b/>
          <w:sz w:val="28"/>
          <w:szCs w:val="21"/>
        </w:rPr>
      </w:pPr>
    </w:p>
    <w:p w14:paraId="380D37AB">
      <w:pPr>
        <w:pStyle w:val="22"/>
        <w:rPr>
          <w:b/>
          <w:sz w:val="28"/>
          <w:szCs w:val="21"/>
        </w:rPr>
      </w:pPr>
    </w:p>
    <w:p w14:paraId="6E1D77E1">
      <w:pPr>
        <w:pStyle w:val="22"/>
        <w:rPr>
          <w:b/>
          <w:sz w:val="28"/>
          <w:szCs w:val="21"/>
        </w:rPr>
      </w:pPr>
    </w:p>
    <w:p w14:paraId="7B8CEDFE">
      <w:pPr>
        <w:pStyle w:val="22"/>
        <w:rPr>
          <w:b/>
          <w:sz w:val="28"/>
          <w:szCs w:val="21"/>
        </w:rPr>
      </w:pPr>
    </w:p>
    <w:p w14:paraId="689321D5">
      <w:pPr>
        <w:pStyle w:val="22"/>
        <w:rPr>
          <w:b/>
          <w:sz w:val="28"/>
          <w:szCs w:val="21"/>
        </w:rPr>
      </w:pPr>
    </w:p>
    <w:p w14:paraId="6F85CC41">
      <w:pPr>
        <w:pStyle w:val="22"/>
        <w:rPr>
          <w:b/>
          <w:sz w:val="28"/>
          <w:szCs w:val="21"/>
        </w:rPr>
      </w:pPr>
    </w:p>
    <w:p w14:paraId="7AF9DEAF">
      <w:pPr>
        <w:jc w:val="center"/>
        <w:rPr>
          <w:sz w:val="28"/>
          <w:szCs w:val="28"/>
          <w:lang w:bidi="ar"/>
        </w:rPr>
      </w:pPr>
      <w:r>
        <w:rPr>
          <w:sz w:val="28"/>
          <w:szCs w:val="28"/>
          <w:lang w:bidi="ar"/>
        </w:rPr>
        <w:t>Lettre de réponse</w:t>
      </w:r>
    </w:p>
    <w:p w14:paraId="5EE0D031">
      <w:pPr>
        <w:rPr>
          <w:lang w:bidi="ar"/>
        </w:rPr>
      </w:pPr>
      <w:r>
        <w:rPr>
          <w:lang w:bidi="ar"/>
        </w:rPr>
        <w:t>Destinataire : Guinea Colia Mining S.A.</w:t>
      </w:r>
    </w:p>
    <w:p w14:paraId="719FC1F0"/>
    <w:p w14:paraId="18E001BC">
      <w:pPr>
        <w:spacing w:line="360" w:lineRule="auto"/>
        <w:ind w:firstLine="420" w:firstLineChars="200"/>
      </w:pPr>
      <w:r>
        <w:rPr>
          <w:lang w:bidi="ar"/>
        </w:rPr>
        <w:t xml:space="preserve">1. Nous avons soigneusement examiné l’intégralité du dossier de consultation du projet intitulé [Nom du Projet]. Nous soumettons notre offre pour un prix total de [Montant en chiffres] </w:t>
      </w:r>
      <w:r>
        <w:rPr>
          <w:rFonts w:hint="eastAsia"/>
          <w:lang w:bidi="ar"/>
        </w:rPr>
        <w:t>USD</w:t>
      </w:r>
      <w:r>
        <w:rPr>
          <w:lang w:bidi="ar"/>
        </w:rPr>
        <w:t xml:space="preserve"> (soit [Montant en lettres] </w:t>
      </w:r>
      <w:r>
        <w:rPr>
          <w:rFonts w:hint="eastAsia"/>
          <w:lang w:bidi="ar"/>
        </w:rPr>
        <w:t>USD</w:t>
      </w:r>
      <w:r>
        <w:rPr>
          <w:lang w:bidi="ar"/>
        </w:rPr>
        <w:t>), pour une durée d’exécution de [Nombre] jours calendaires, nous engageant à réaliser et à achever les travaux conformément au contrat, à remédier à tout défaut, et à garantir que la qualité des travaux répond à                .</w:t>
      </w:r>
    </w:p>
    <w:p w14:paraId="64AF525A">
      <w:pPr>
        <w:spacing w:line="360" w:lineRule="auto"/>
        <w:ind w:firstLine="420" w:firstLineChars="200"/>
      </w:pPr>
      <w:r>
        <w:rPr>
          <w:lang w:bidi="ar"/>
        </w:rPr>
        <w:t>2. Nous nous engageons à ne pas modifier ni retirer notre offre durant la période de validité de la soumission.</w:t>
      </w:r>
    </w:p>
    <w:p w14:paraId="34F7245B">
      <w:pPr>
        <w:spacing w:line="360" w:lineRule="auto"/>
        <w:ind w:firstLine="420" w:firstLineChars="200"/>
      </w:pPr>
      <w:r>
        <w:rPr>
          <w:lang w:bidi="ar"/>
        </w:rPr>
        <w:t>3. Si notre offre est retenue :</w:t>
      </w:r>
    </w:p>
    <w:p w14:paraId="083A92D9">
      <w:pPr>
        <w:spacing w:line="360" w:lineRule="auto"/>
        <w:ind w:firstLine="420" w:firstLineChars="200"/>
      </w:pPr>
      <w:r>
        <w:rPr>
          <w:lang w:bidi="ar"/>
        </w:rPr>
        <w:t>(1) Nous nous engageons à signer le contrat dans le délai spécifié dans la notification d’attribution, après réception de celle-ci.</w:t>
      </w:r>
    </w:p>
    <w:p w14:paraId="4A2055DD">
      <w:pPr>
        <w:spacing w:line="360" w:lineRule="auto"/>
        <w:ind w:firstLine="420" w:firstLineChars="200"/>
      </w:pPr>
      <w:r>
        <w:rPr>
          <w:lang w:bidi="ar"/>
        </w:rPr>
        <w:t>(2) L’annexe jointe à la présente lettre de soumission fera partie intégrante des documents contractuels.</w:t>
      </w:r>
    </w:p>
    <w:p w14:paraId="558AE09E">
      <w:pPr>
        <w:spacing w:line="360" w:lineRule="auto"/>
        <w:ind w:firstLine="420" w:firstLineChars="200"/>
      </w:pPr>
      <w:r>
        <w:rPr>
          <w:lang w:bidi="ar"/>
        </w:rPr>
        <w:t>(3) Nous nous engageons à fournir la garantie de bonne exécution conformément aux exigences du dossier de consultation.</w:t>
      </w:r>
    </w:p>
    <w:p w14:paraId="4BD7E55D">
      <w:pPr>
        <w:spacing w:line="360" w:lineRule="auto"/>
        <w:ind w:firstLine="420" w:firstLineChars="200"/>
      </w:pPr>
      <w:r>
        <w:rPr>
          <w:lang w:bidi="ar"/>
        </w:rPr>
        <w:t>(4) Nous nous engageons à achever et à livrer l’ensemble des travaux dans le délai contractuel.</w:t>
      </w:r>
    </w:p>
    <w:p w14:paraId="34870411">
      <w:pPr>
        <w:spacing w:line="360" w:lineRule="auto"/>
        <w:ind w:firstLine="420" w:firstLineChars="200"/>
      </w:pPr>
      <w:r>
        <w:rPr>
          <w:lang w:bidi="ar"/>
        </w:rPr>
        <w:t>(5) En cas de modification de la politique nationale relative au taux de TVA, le montant hors TVA de cette offre restera inchangé, tandis que le montant TTC sera ajusté conformément à la réglementation en vigueur.</w:t>
      </w:r>
    </w:p>
    <w:p w14:paraId="3AB3CD81">
      <w:pPr>
        <w:spacing w:line="360" w:lineRule="auto"/>
        <w:ind w:firstLine="420" w:firstLineChars="200"/>
      </w:pPr>
      <w:r>
        <w:rPr>
          <w:lang w:bidi="ar"/>
        </w:rPr>
        <w:t>4. Nous déclarons par la présente que le contenu de la soumission et tous les documents joints sont complets, véridiques et exacts.</w:t>
      </w:r>
    </w:p>
    <w:p w14:paraId="1EDF92BA">
      <w:pPr>
        <w:spacing w:line="360" w:lineRule="auto"/>
        <w:ind w:firstLine="420" w:firstLineChars="200"/>
      </w:pPr>
      <w:r>
        <w:rPr>
          <w:lang w:bidi="ar"/>
        </w:rPr>
        <w:t>5. Nous participons à cette consultation en stricte conformité avec les lois et réglementations applicables ainsi qu’avec le dossier de consultation. Nous comprenons que le Donneur d’Ordre n’est pas tenu d’attribuer le marché au soumissionnaire ayant soumis l’offre la plus basse et n’est pas obligé de justifier sa décision auprès des soumissionnaires non retenus.</w:t>
      </w:r>
    </w:p>
    <w:p w14:paraId="020C9A47">
      <w:pPr>
        <w:spacing w:line="360" w:lineRule="auto"/>
        <w:ind w:firstLine="420" w:firstLineChars="200"/>
      </w:pPr>
      <w:r>
        <w:rPr>
          <w:lang w:bidi="ar"/>
        </w:rPr>
        <w:t>6. Autres déclarations complémentaires le cas échéant.</w:t>
      </w:r>
    </w:p>
    <w:p w14:paraId="38874BD1">
      <w:pPr>
        <w:pStyle w:val="21"/>
        <w:widowControl/>
      </w:pPr>
    </w:p>
    <w:p w14:paraId="39746958">
      <w:pPr>
        <w:spacing w:line="360" w:lineRule="auto"/>
        <w:ind w:left="3360" w:leftChars="1600"/>
      </w:pPr>
      <w:r>
        <w:rPr>
          <w:lang w:bidi="ar"/>
        </w:rPr>
        <w:t>Soumissionnaire : (Sceau de l’entreprise)</w:t>
      </w:r>
    </w:p>
    <w:p w14:paraId="41FA2C56">
      <w:pPr>
        <w:spacing w:line="360" w:lineRule="auto"/>
        <w:ind w:left="3360" w:leftChars="1600"/>
      </w:pPr>
      <w:r>
        <w:rPr>
          <w:lang w:bidi="ar"/>
        </w:rPr>
        <w:t>Représentant légal ou mandataire dûment autorisé : (Signature)</w:t>
      </w:r>
    </w:p>
    <w:p w14:paraId="3583B124">
      <w:pPr>
        <w:spacing w:line="360" w:lineRule="auto"/>
        <w:ind w:left="3360" w:leftChars="1600"/>
      </w:pPr>
      <w:r>
        <w:rPr>
          <w:lang w:bidi="ar"/>
        </w:rPr>
        <w:t>Adresse :</w:t>
      </w:r>
    </w:p>
    <w:p w14:paraId="182F7A03">
      <w:pPr>
        <w:spacing w:line="360" w:lineRule="auto"/>
        <w:ind w:left="3360" w:leftChars="1600"/>
      </w:pPr>
      <w:r>
        <w:rPr>
          <w:lang w:bidi="ar"/>
        </w:rPr>
        <w:t>Site Internet :</w:t>
      </w:r>
    </w:p>
    <w:p w14:paraId="706886F3">
      <w:pPr>
        <w:spacing w:line="360" w:lineRule="auto"/>
        <w:ind w:left="3360" w:leftChars="1600"/>
      </w:pPr>
      <w:r>
        <w:rPr>
          <w:lang w:bidi="ar"/>
        </w:rPr>
        <w:t>Téléphone :</w:t>
      </w:r>
    </w:p>
    <w:p w14:paraId="750E0B84">
      <w:pPr>
        <w:spacing w:line="360" w:lineRule="auto"/>
        <w:ind w:left="3360" w:leftChars="1600"/>
      </w:pPr>
      <w:r>
        <w:rPr>
          <w:lang w:bidi="ar"/>
        </w:rPr>
        <w:t>Fax :</w:t>
      </w:r>
    </w:p>
    <w:p w14:paraId="36DCAEE1">
      <w:pPr>
        <w:spacing w:line="360" w:lineRule="auto"/>
        <w:ind w:left="3360" w:leftChars="1600"/>
      </w:pPr>
      <w:r>
        <w:rPr>
          <w:lang w:bidi="ar"/>
        </w:rPr>
        <w:t>Code postal :</w:t>
      </w:r>
    </w:p>
    <w:p w14:paraId="4B2DC52E">
      <w:pPr>
        <w:widowControl/>
        <w:ind w:left="3360" w:leftChars="1600"/>
        <w:jc w:val="left"/>
      </w:pPr>
      <w:r>
        <w:rPr>
          <w:lang w:bidi="ar"/>
        </w:rPr>
        <w:t xml:space="preserve">Date :  </w:t>
      </w:r>
    </w:p>
    <w:p w14:paraId="35F24E94">
      <w:pPr>
        <w:spacing w:line="300" w:lineRule="atLeast"/>
        <w:ind w:right="840" w:firstLine="4725" w:firstLineChars="2250"/>
        <w:jc w:val="center"/>
      </w:pPr>
      <w:r>
        <w:rPr>
          <w:u w:val="single"/>
        </w:rPr>
        <w:t xml:space="preserve"> /   /  .   </w:t>
      </w:r>
    </w:p>
    <w:p w14:paraId="2BBD4794">
      <w:pPr>
        <w:pStyle w:val="22"/>
        <w:spacing w:line="300" w:lineRule="atLeast"/>
        <w:rPr>
          <w:sz w:val="21"/>
        </w:rPr>
        <w:sectPr>
          <w:footerReference r:id="rId11" w:type="default"/>
          <w:pgSz w:w="11906" w:h="16838"/>
          <w:pgMar w:top="1417" w:right="1134" w:bottom="1134" w:left="1417" w:header="851" w:footer="850" w:gutter="0"/>
          <w:cols w:space="720" w:num="1"/>
          <w:titlePg/>
          <w:docGrid w:linePitch="319" w:charSpace="0"/>
        </w:sectPr>
      </w:pPr>
    </w:p>
    <w:p w14:paraId="176FBB01">
      <w:pPr>
        <w:pStyle w:val="3"/>
        <w:spacing w:before="0" w:after="0" w:line="360" w:lineRule="auto"/>
        <w:rPr>
          <w:rFonts w:ascii="Times New Roman" w:hAnsi="Times New Roman" w:cs="宋体"/>
          <w:szCs w:val="21"/>
        </w:rPr>
      </w:pPr>
      <w:bookmarkStart w:id="278" w:name="_Toc7490"/>
      <w:bookmarkStart w:id="279" w:name="_Toc3556"/>
      <w:r>
        <w:rPr>
          <w:rFonts w:hint="eastAsia" w:ascii="Times New Roman" w:hAnsi="Times New Roman" w:cs="宋体"/>
          <w:szCs w:val="21"/>
        </w:rPr>
        <w:t>二、</w:t>
      </w:r>
      <w:bookmarkEnd w:id="278"/>
      <w:r>
        <w:rPr>
          <w:rFonts w:hint="eastAsia" w:ascii="Times New Roman" w:hAnsi="Times New Roman" w:cs="宋体"/>
          <w:szCs w:val="21"/>
        </w:rPr>
        <w:t>报价格式</w:t>
      </w:r>
      <w:bookmarkEnd w:id="279"/>
    </w:p>
    <w:p w14:paraId="3465DEB8">
      <w:pPr>
        <w:adjustRightInd w:val="0"/>
        <w:snapToGrid w:val="0"/>
        <w:spacing w:line="360" w:lineRule="auto"/>
        <w:ind w:firstLine="420"/>
        <w:rPr>
          <w:szCs w:val="21"/>
        </w:rPr>
      </w:pPr>
      <w:r>
        <w:rPr>
          <w:rFonts w:hint="eastAsia"/>
          <w:szCs w:val="21"/>
        </w:rPr>
        <w:t>本项目采用</w:t>
      </w:r>
      <w:r>
        <w:rPr>
          <w:rFonts w:hint="eastAsia"/>
          <w:szCs w:val="21"/>
          <w:lang w:val="en-US"/>
        </w:rPr>
        <w:t>固定总价</w:t>
      </w:r>
      <w:r>
        <w:rPr>
          <w:rFonts w:hint="eastAsia"/>
          <w:szCs w:val="21"/>
        </w:rPr>
        <w:t>，工程量清单仅作为响应报价的参考，具体以发包人要求和现场实际情况为准，实施范围涵盖技术要求中的全部项目及标准。除非另有规定，响应人应针对本标施工范围及采购工程质量目标要求，充分预见到各种风险，同时考虑响应人企业管理经验和水平，对为本工程提供满足本询价文件要求的全面服务而发生的全部应有费用自主报价。</w:t>
      </w:r>
    </w:p>
    <w:p w14:paraId="431E0C04">
      <w:pPr>
        <w:adjustRightInd w:val="0"/>
        <w:snapToGrid w:val="0"/>
        <w:spacing w:line="360" w:lineRule="auto"/>
        <w:ind w:firstLine="420"/>
        <w:rPr>
          <w:szCs w:val="21"/>
        </w:rPr>
      </w:pPr>
      <w:r>
        <w:rPr>
          <w:rFonts w:hint="eastAsia"/>
          <w:szCs w:val="21"/>
        </w:rPr>
        <w:t>Le présent marché est attribué sur la base d'un montant forfaitaire fixe</w:t>
      </w:r>
      <w:r>
        <w:rPr>
          <w:szCs w:val="21"/>
        </w:rPr>
        <w:t>. Le devis quantitatif fourni n’a qu’une valeur indicative pour la soumission, la portée réelle et les quantités définitives étant celles qui répondent aux exigences du Maître d’ouvrage et correspondent à la situation sur site, et couvrant l’intégralité des éléments et normes techniques. Sauf stipulation contraire, le Soumissionnaire doit, pour le périmètre des travaux et les objectifs de qualité définis, anticiprer tous les risques, tenir compte de son expérience et de ses capacités de gestion, et inclure dans son offre forfaitaire l’ensemble des coûts nécessaires à l’exécution complète et conforme des travaux tel qu’exigé par le dossier.</w:t>
      </w:r>
    </w:p>
    <w:p w14:paraId="72BFC0C1">
      <w:pPr>
        <w:adjustRightInd w:val="0"/>
        <w:snapToGrid w:val="0"/>
        <w:spacing w:line="360" w:lineRule="auto"/>
        <w:ind w:firstLine="420"/>
        <w:rPr>
          <w:szCs w:val="21"/>
        </w:rPr>
      </w:pPr>
      <w:r>
        <w:rPr>
          <w:rFonts w:hint="eastAsia"/>
          <w:szCs w:val="21"/>
        </w:rPr>
        <w:t>响应人的报价应包括但不限于前期准备、材料费、设备费、人工费、工器具、机械费、管理费、加班赶工费、乙方所缴纳的税金（不含增值税）、利润、临时设施费、配合费、安全防护费、卫生清理及其他与本工程有关的承包商认为应计取的一切费用。</w:t>
      </w:r>
    </w:p>
    <w:p w14:paraId="41529B02">
      <w:pPr>
        <w:adjustRightInd w:val="0"/>
        <w:snapToGrid w:val="0"/>
        <w:spacing w:line="360" w:lineRule="auto"/>
        <w:ind w:firstLine="420"/>
        <w:rPr>
          <w:szCs w:val="21"/>
        </w:rPr>
      </w:pPr>
      <w:r>
        <w:rPr>
          <w:szCs w:val="21"/>
        </w:rPr>
        <w:t>L’offre du soumissionnaire comprendra, sans s’y limiter, les coûts de préparation, de matériaux, d’équipement, de main-d’œuvre, d’outils, de machines, de gestion, d’heures supplémentaires, de taxes (hors TVA), de bénéfices, d’installations temporaires, de coordination, de sûreté et de sécurité, d’assainissement et tous les autres coûts liés aux travaux que le contractant considère comme imputables.</w:t>
      </w:r>
    </w:p>
    <w:p w14:paraId="19116EF9">
      <w:pPr>
        <w:adjustRightInd w:val="0"/>
        <w:snapToGrid w:val="0"/>
        <w:spacing w:line="360" w:lineRule="auto"/>
        <w:ind w:firstLine="420"/>
        <w:rPr>
          <w:szCs w:val="21"/>
        </w:rPr>
      </w:pPr>
      <w:r>
        <w:rPr>
          <w:rFonts w:hint="eastAsia"/>
          <w:szCs w:val="21"/>
        </w:rPr>
        <w:t>本项目不指定响应人在编制响应文件时采用何种定额及费率，响应人可根据各自的施工经验参照现行相关定额及其配套取费费用标准计算报价。本标鼓励响应人按成本价加合理利润报价。</w:t>
      </w:r>
    </w:p>
    <w:p w14:paraId="4CDB18BA">
      <w:pPr>
        <w:adjustRightInd w:val="0"/>
        <w:snapToGrid w:val="0"/>
        <w:spacing w:line="360" w:lineRule="auto"/>
        <w:ind w:firstLine="420"/>
        <w:rPr>
          <w:szCs w:val="21"/>
        </w:rPr>
      </w:pPr>
      <w:r>
        <w:rPr>
          <w:szCs w:val="21"/>
        </w:rPr>
        <w:t>Le projet ne précise pas quels quotas et taux doivent être utilisés par les répondants pour préparer les documents de réponse, et les répondants peuvent calculer les devis sur la base de leur expérience en matière de construction, en se référant aux quotas pertinents actuels et aux normes de coûts qui les accompagnent. Les soumissionnaires sont encouragés à proposer un prix de revient majoré d’un bénéfice raisonnable.</w:t>
      </w:r>
      <w:r>
        <w:rPr>
          <w:szCs w:val="21"/>
        </w:rPr>
        <w:br w:type="textWrapping"/>
      </w:r>
      <w:r>
        <w:rPr>
          <w:rFonts w:hint="eastAsia"/>
          <w:szCs w:val="21"/>
        </w:rPr>
        <w:t xml:space="preserve">    本次采购除采购人提供设备、材料以外的其余设备、材料，无论体现与否，都视为含在响应人的总报价中；由采购人采购并供应的设备费用、材料费用不需报价，但安装费应包括在响应人的总报价中。</w:t>
      </w:r>
    </w:p>
    <w:p w14:paraId="0C508259">
      <w:pPr>
        <w:adjustRightInd w:val="0"/>
        <w:snapToGrid w:val="0"/>
        <w:spacing w:line="360" w:lineRule="auto"/>
        <w:ind w:firstLine="420"/>
        <w:rPr>
          <w:szCs w:val="21"/>
        </w:rPr>
      </w:pPr>
      <w:r>
        <w:rPr>
          <w:szCs w:val="21"/>
        </w:rPr>
        <w:t>Le reste des équipements et matériaux du présent marché autres que ceux fournis par l’</w:t>
      </w:r>
      <w:r>
        <w:rPr>
          <w:rFonts w:hint="eastAsia"/>
          <w:szCs w:val="21"/>
        </w:rPr>
        <w:t>A</w:t>
      </w:r>
      <w:r>
        <w:rPr>
          <w:szCs w:val="21"/>
        </w:rPr>
        <w:t>cheteur, qu’ils soient incorporés ou non, est réputé inclus dans l’offre totale du soumissionnaire ; le coût des équipements et matériaux achetés et fournis par l’acheteur n’a pas à être indiqué, mais le coût de l’installation est inclus dans l’offre totale du soumissionnaire.</w:t>
      </w:r>
    </w:p>
    <w:p w14:paraId="07A53D98">
      <w:pPr>
        <w:adjustRightInd w:val="0"/>
        <w:snapToGrid w:val="0"/>
        <w:spacing w:line="360" w:lineRule="auto"/>
        <w:ind w:firstLine="420"/>
        <w:rPr>
          <w:szCs w:val="21"/>
        </w:rPr>
      </w:pPr>
      <w:r>
        <w:rPr>
          <w:rFonts w:hint="eastAsia"/>
          <w:szCs w:val="21"/>
        </w:rPr>
        <w:t>询价文件提供项目清单，如果响应人对询价文件提供的项目清单有异议（包括种类、数量方面存在的遗漏或不足），可在差异表中提出扩充或偏差。如果报价中未列出，且未提出偏差，采购人将认为响应人不收取这方面的费用，或在其他项目中已综合计算。</w:t>
      </w:r>
    </w:p>
    <w:p w14:paraId="6938989A">
      <w:pPr>
        <w:adjustRightInd w:val="0"/>
        <w:snapToGrid w:val="0"/>
        <w:spacing w:line="360" w:lineRule="auto"/>
        <w:ind w:firstLine="420"/>
        <w:rPr>
          <w:szCs w:val="21"/>
        </w:rPr>
      </w:pPr>
      <w:r>
        <w:rPr>
          <w:szCs w:val="21"/>
        </w:rPr>
        <w:t>L’appel d’offres fournit une liste d’articles, et si le soumissionnaire a des objections à la liste d’articles fournie dans l’appel d’offres (y compris des omissions ou des insuffisances en termes de type et de quantité), il peut soumettre une extension ou une divergence dans le tableau des divergences. Si cet aspect n’est pas mentionné dans l’offre et qu’aucune divergence n’est présentée, l’</w:t>
      </w:r>
      <w:r>
        <w:rPr>
          <w:rFonts w:hint="eastAsia"/>
          <w:szCs w:val="21"/>
        </w:rPr>
        <w:t>A</w:t>
      </w:r>
      <w:r>
        <w:rPr>
          <w:szCs w:val="21"/>
        </w:rPr>
        <w:t>cheteur supposera que le soumissionnaire ne sera pas facturé pour cet aspect ou qu’il a été consolidé dans d’autres articles.</w:t>
      </w:r>
    </w:p>
    <w:tbl>
      <w:tblPr>
        <w:tblStyle w:val="34"/>
        <w:tblpPr w:leftFromText="141" w:rightFromText="141" w:vertAnchor="page" w:horzAnchor="margin" w:tblpY="3264"/>
        <w:tblW w:w="5000" w:type="pct"/>
        <w:tblInd w:w="0" w:type="dxa"/>
        <w:tblLayout w:type="fixed"/>
        <w:tblCellMar>
          <w:top w:w="0" w:type="dxa"/>
          <w:left w:w="108" w:type="dxa"/>
          <w:bottom w:w="0" w:type="dxa"/>
          <w:right w:w="108" w:type="dxa"/>
        </w:tblCellMar>
      </w:tblPr>
      <w:tblGrid>
        <w:gridCol w:w="597"/>
        <w:gridCol w:w="1278"/>
        <w:gridCol w:w="3082"/>
        <w:gridCol w:w="908"/>
        <w:gridCol w:w="646"/>
        <w:gridCol w:w="1019"/>
        <w:gridCol w:w="1260"/>
        <w:gridCol w:w="767"/>
        <w:gridCol w:w="13"/>
      </w:tblGrid>
      <w:tr w14:paraId="1F4045D1">
        <w:tblPrEx>
          <w:tblCellMar>
            <w:top w:w="0" w:type="dxa"/>
            <w:left w:w="108" w:type="dxa"/>
            <w:bottom w:w="0" w:type="dxa"/>
            <w:right w:w="108" w:type="dxa"/>
          </w:tblCellMar>
        </w:tblPrEx>
        <w:trPr>
          <w:trHeight w:val="574" w:hRule="atLeast"/>
        </w:trPr>
        <w:tc>
          <w:tcPr>
            <w:tcW w:w="9570" w:type="dxa"/>
            <w:gridSpan w:val="9"/>
            <w:tcBorders>
              <w:top w:val="single" w:color="auto" w:sz="4" w:space="0"/>
              <w:left w:val="single" w:color="auto" w:sz="4" w:space="0"/>
              <w:bottom w:val="single" w:color="auto" w:sz="4" w:space="0"/>
              <w:right w:val="single" w:color="000000" w:sz="4" w:space="0"/>
            </w:tcBorders>
            <w:vAlign w:val="center"/>
          </w:tcPr>
          <w:p w14:paraId="3B43487A">
            <w:pPr>
              <w:widowControl/>
              <w:jc w:val="center"/>
              <w:rPr>
                <w:rFonts w:eastAsia="等线"/>
                <w:b/>
                <w:bCs/>
                <w:kern w:val="0"/>
                <w:sz w:val="18"/>
                <w:szCs w:val="18"/>
              </w:rPr>
            </w:pPr>
            <w:r>
              <w:rPr>
                <w:rFonts w:eastAsia="等线"/>
                <w:b/>
                <w:bCs/>
                <w:kern w:val="0"/>
                <w:sz w:val="18"/>
                <w:szCs w:val="18"/>
              </w:rPr>
              <w:t>202</w:t>
            </w:r>
            <w:r>
              <w:rPr>
                <w:rFonts w:hint="eastAsia" w:eastAsia="等线"/>
                <w:b/>
                <w:bCs/>
                <w:kern w:val="0"/>
                <w:sz w:val="18"/>
                <w:szCs w:val="18"/>
              </w:rPr>
              <w:t>6</w:t>
            </w:r>
            <w:r>
              <w:rPr>
                <w:rFonts w:hint="eastAsia" w:ascii="宋体" w:hAnsi="宋体"/>
                <w:b/>
                <w:bCs/>
                <w:kern w:val="0"/>
                <w:sz w:val="18"/>
                <w:szCs w:val="18"/>
                <w:lang w:val="en-US"/>
              </w:rPr>
              <w:t>年《支持当地社区发展规划》</w:t>
            </w:r>
            <w:r>
              <w:rPr>
                <w:rFonts w:eastAsia="等线"/>
                <w:b/>
                <w:bCs/>
                <w:kern w:val="0"/>
                <w:sz w:val="18"/>
                <w:szCs w:val="18"/>
              </w:rPr>
              <w:t xml:space="preserve"> </w:t>
            </w:r>
            <w:r>
              <w:rPr>
                <w:rFonts w:hint="eastAsia" w:ascii="宋体" w:hAnsi="宋体"/>
                <w:b/>
                <w:bCs/>
                <w:kern w:val="0"/>
                <w:sz w:val="18"/>
                <w:szCs w:val="18"/>
                <w:lang w:val="en-US"/>
              </w:rPr>
              <w:t>修缮类项目工程量及报价单</w:t>
            </w:r>
            <w:r>
              <w:rPr>
                <w:rFonts w:hint="eastAsia" w:ascii="宋体" w:hAnsi="宋体"/>
                <w:b/>
                <w:bCs/>
                <w:kern w:val="0"/>
                <w:sz w:val="18"/>
                <w:szCs w:val="18"/>
              </w:rPr>
              <w:br w:type="textWrapping"/>
            </w:r>
            <w:r>
              <w:rPr>
                <w:rFonts w:eastAsia="等线"/>
                <w:b/>
                <w:bCs/>
                <w:kern w:val="0"/>
                <w:sz w:val="18"/>
                <w:szCs w:val="18"/>
              </w:rPr>
              <w:t>Quantités et devis pour les projets de réhabilitation</w:t>
            </w:r>
          </w:p>
        </w:tc>
      </w:tr>
      <w:tr w14:paraId="78DF8AB6">
        <w:tblPrEx>
          <w:tblCellMar>
            <w:top w:w="0" w:type="dxa"/>
            <w:left w:w="108" w:type="dxa"/>
            <w:bottom w:w="0" w:type="dxa"/>
            <w:right w:w="108" w:type="dxa"/>
          </w:tblCellMar>
        </w:tblPrEx>
        <w:trPr>
          <w:gridAfter w:val="1"/>
          <w:wAfter w:w="13" w:type="dxa"/>
          <w:trHeight w:val="384" w:hRule="atLeast"/>
        </w:trPr>
        <w:tc>
          <w:tcPr>
            <w:tcW w:w="9557" w:type="dxa"/>
            <w:gridSpan w:val="8"/>
            <w:tcBorders>
              <w:top w:val="nil"/>
              <w:left w:val="single" w:color="auto" w:sz="4" w:space="0"/>
              <w:bottom w:val="single" w:color="auto" w:sz="4" w:space="0"/>
              <w:right w:val="single" w:color="auto" w:sz="4" w:space="0"/>
            </w:tcBorders>
            <w:vAlign w:val="center"/>
          </w:tcPr>
          <w:p w14:paraId="7FC32010">
            <w:r>
              <w:rPr>
                <w:rFonts w:hint="eastAsia" w:eastAsia="等线"/>
                <w:b/>
                <w:bCs/>
                <w:kern w:val="0"/>
                <w:sz w:val="18"/>
                <w:szCs w:val="18"/>
                <w:lang w:val="en-US"/>
              </w:rPr>
              <w:t>修复项目区域内社区道路</w:t>
            </w:r>
            <w:r>
              <w:rPr>
                <w:rFonts w:eastAsia="等线"/>
                <w:b/>
                <w:bCs/>
                <w:kern w:val="0"/>
                <w:sz w:val="18"/>
                <w:szCs w:val="18"/>
              </w:rPr>
              <w:t xml:space="preserve">Réhabilitations des routes d’accès aux villages dans la zone du projet     </w:t>
            </w:r>
          </w:p>
          <w:p w14:paraId="7BB20E67">
            <w:pPr>
              <w:widowControl/>
              <w:jc w:val="center"/>
              <w:rPr>
                <w:rFonts w:ascii="宋体" w:hAnsi="宋体" w:cs="宋体"/>
                <w:b/>
                <w:bCs/>
                <w:kern w:val="0"/>
                <w:sz w:val="18"/>
                <w:szCs w:val="18"/>
              </w:rPr>
            </w:pPr>
          </w:p>
        </w:tc>
      </w:tr>
      <w:tr w14:paraId="307CDE5D">
        <w:tblPrEx>
          <w:tblCellMar>
            <w:top w:w="0" w:type="dxa"/>
            <w:left w:w="108" w:type="dxa"/>
            <w:bottom w:w="0" w:type="dxa"/>
            <w:right w:w="108" w:type="dxa"/>
          </w:tblCellMar>
        </w:tblPrEx>
        <w:trPr>
          <w:gridAfter w:val="1"/>
          <w:wAfter w:w="13" w:type="dxa"/>
          <w:trHeight w:val="724" w:hRule="atLeast"/>
        </w:trPr>
        <w:tc>
          <w:tcPr>
            <w:tcW w:w="597" w:type="dxa"/>
            <w:tcBorders>
              <w:top w:val="nil"/>
              <w:left w:val="single" w:color="auto" w:sz="4" w:space="0"/>
              <w:bottom w:val="single" w:color="auto" w:sz="4" w:space="0"/>
              <w:right w:val="single" w:color="auto" w:sz="4" w:space="0"/>
            </w:tcBorders>
            <w:vAlign w:val="center"/>
          </w:tcPr>
          <w:p w14:paraId="32D96DB7">
            <w:pPr>
              <w:widowControl/>
              <w:jc w:val="center"/>
              <w:rPr>
                <w:rFonts w:eastAsia="等线"/>
                <w:b/>
                <w:bCs/>
                <w:kern w:val="0"/>
                <w:sz w:val="18"/>
                <w:szCs w:val="18"/>
                <w:lang w:val="en-US"/>
              </w:rPr>
            </w:pPr>
            <w:r>
              <w:rPr>
                <w:rFonts w:hint="eastAsia" w:ascii="宋体" w:hAnsi="宋体" w:cs="宋体"/>
                <w:b/>
                <w:bCs/>
                <w:kern w:val="0"/>
                <w:sz w:val="18"/>
                <w:szCs w:val="18"/>
                <w:lang w:val="en-US"/>
              </w:rPr>
              <w:t>序号</w:t>
            </w:r>
          </w:p>
        </w:tc>
        <w:tc>
          <w:tcPr>
            <w:tcW w:w="1278" w:type="dxa"/>
            <w:tcBorders>
              <w:top w:val="nil"/>
              <w:left w:val="nil"/>
              <w:bottom w:val="single" w:color="auto" w:sz="4" w:space="0"/>
              <w:right w:val="single" w:color="auto" w:sz="4" w:space="0"/>
            </w:tcBorders>
            <w:vAlign w:val="center"/>
          </w:tcPr>
          <w:p w14:paraId="5A52DA39">
            <w:pPr>
              <w:widowControl/>
              <w:jc w:val="center"/>
              <w:rPr>
                <w:rFonts w:eastAsia="等线"/>
                <w:b/>
                <w:bCs/>
                <w:kern w:val="0"/>
                <w:sz w:val="18"/>
                <w:szCs w:val="18"/>
                <w:lang w:val="en-US"/>
              </w:rPr>
            </w:pPr>
            <w:r>
              <w:rPr>
                <w:rFonts w:hint="eastAsia" w:ascii="宋体" w:hAnsi="宋体" w:cs="宋体"/>
                <w:b/>
                <w:bCs/>
                <w:kern w:val="0"/>
                <w:sz w:val="18"/>
                <w:szCs w:val="18"/>
                <w:lang w:val="en-US"/>
              </w:rPr>
              <w:t>项目名称</w:t>
            </w:r>
          </w:p>
        </w:tc>
        <w:tc>
          <w:tcPr>
            <w:tcW w:w="3082" w:type="dxa"/>
            <w:vMerge w:val="restart"/>
            <w:tcBorders>
              <w:top w:val="nil"/>
              <w:left w:val="single" w:color="auto" w:sz="4" w:space="0"/>
              <w:bottom w:val="single" w:color="auto" w:sz="4" w:space="0"/>
              <w:right w:val="single" w:color="auto" w:sz="4" w:space="0"/>
            </w:tcBorders>
            <w:vAlign w:val="center"/>
          </w:tcPr>
          <w:p w14:paraId="378AA742">
            <w:pPr>
              <w:widowControl/>
              <w:jc w:val="left"/>
              <w:rPr>
                <w:rFonts w:eastAsia="等线"/>
                <w:b/>
                <w:bCs/>
                <w:kern w:val="0"/>
                <w:sz w:val="18"/>
                <w:szCs w:val="18"/>
                <w:lang w:val="en-US"/>
              </w:rPr>
            </w:pPr>
            <w:r>
              <w:rPr>
                <w:rFonts w:hint="eastAsia" w:ascii="宋体" w:hAnsi="宋体"/>
                <w:b/>
                <w:bCs/>
                <w:kern w:val="0"/>
                <w:sz w:val="18"/>
                <w:szCs w:val="18"/>
                <w:lang w:val="en-US"/>
              </w:rPr>
              <w:t>工作内容</w:t>
            </w:r>
            <w:r>
              <w:rPr>
                <w:rFonts w:eastAsia="等线"/>
                <w:b/>
                <w:bCs/>
                <w:kern w:val="0"/>
                <w:sz w:val="18"/>
                <w:szCs w:val="18"/>
                <w:lang w:val="en-US"/>
              </w:rPr>
              <w:t xml:space="preserve">    Travaux spécifiques</w:t>
            </w:r>
          </w:p>
        </w:tc>
        <w:tc>
          <w:tcPr>
            <w:tcW w:w="908" w:type="dxa"/>
            <w:tcBorders>
              <w:top w:val="nil"/>
              <w:left w:val="single" w:color="auto" w:sz="4" w:space="0"/>
              <w:bottom w:val="single" w:color="auto" w:sz="4" w:space="0"/>
              <w:right w:val="single" w:color="auto" w:sz="4" w:space="0"/>
            </w:tcBorders>
            <w:vAlign w:val="center"/>
          </w:tcPr>
          <w:p w14:paraId="5D3F4DB1">
            <w:pPr>
              <w:widowControl/>
              <w:jc w:val="center"/>
            </w:pPr>
            <w:r>
              <w:rPr>
                <w:rFonts w:hint="eastAsia" w:ascii="宋体" w:hAnsi="宋体" w:cs="宋体"/>
                <w:b/>
                <w:bCs/>
                <w:kern w:val="0"/>
                <w:sz w:val="18"/>
                <w:szCs w:val="18"/>
                <w:lang w:val="en-US"/>
              </w:rPr>
              <w:t>工程量</w:t>
            </w:r>
          </w:p>
        </w:tc>
        <w:tc>
          <w:tcPr>
            <w:tcW w:w="646" w:type="dxa"/>
            <w:tcBorders>
              <w:top w:val="nil"/>
              <w:left w:val="nil"/>
              <w:bottom w:val="single" w:color="auto" w:sz="4" w:space="0"/>
              <w:right w:val="single" w:color="auto" w:sz="4" w:space="0"/>
            </w:tcBorders>
            <w:vAlign w:val="center"/>
          </w:tcPr>
          <w:p w14:paraId="60945A69">
            <w:pPr>
              <w:widowControl/>
              <w:jc w:val="center"/>
              <w:rPr>
                <w:rFonts w:eastAsia="等线"/>
                <w:b/>
                <w:bCs/>
                <w:kern w:val="0"/>
                <w:sz w:val="18"/>
                <w:szCs w:val="18"/>
                <w:lang w:val="en-US"/>
              </w:rPr>
            </w:pPr>
            <w:r>
              <w:rPr>
                <w:rFonts w:hint="eastAsia" w:ascii="宋体" w:hAnsi="宋体" w:cs="宋体"/>
                <w:b/>
                <w:bCs/>
                <w:kern w:val="0"/>
                <w:sz w:val="18"/>
                <w:szCs w:val="18"/>
                <w:lang w:val="en-US"/>
              </w:rPr>
              <w:t>单位</w:t>
            </w:r>
          </w:p>
        </w:tc>
        <w:tc>
          <w:tcPr>
            <w:tcW w:w="1019" w:type="dxa"/>
            <w:tcBorders>
              <w:top w:val="nil"/>
              <w:left w:val="nil"/>
              <w:bottom w:val="single" w:color="auto" w:sz="4" w:space="0"/>
              <w:right w:val="single" w:color="auto" w:sz="4" w:space="0"/>
            </w:tcBorders>
            <w:vAlign w:val="center"/>
          </w:tcPr>
          <w:p w14:paraId="365D698D">
            <w:pPr>
              <w:widowControl/>
              <w:jc w:val="center"/>
            </w:pPr>
            <w:r>
              <w:rPr>
                <w:rFonts w:hint="eastAsia" w:ascii="宋体" w:hAnsi="宋体" w:cs="宋体"/>
                <w:b/>
                <w:bCs/>
                <w:kern w:val="0"/>
                <w:sz w:val="18"/>
                <w:szCs w:val="18"/>
                <w:lang w:val="en-US"/>
              </w:rPr>
              <w:t>单价USD（不含税）</w:t>
            </w:r>
          </w:p>
        </w:tc>
        <w:tc>
          <w:tcPr>
            <w:tcW w:w="1260" w:type="dxa"/>
            <w:tcBorders>
              <w:top w:val="nil"/>
              <w:left w:val="nil"/>
              <w:bottom w:val="single" w:color="auto" w:sz="4" w:space="0"/>
              <w:right w:val="single" w:color="auto" w:sz="4" w:space="0"/>
            </w:tcBorders>
            <w:vAlign w:val="center"/>
          </w:tcPr>
          <w:p w14:paraId="38A72648">
            <w:pPr>
              <w:widowControl/>
              <w:jc w:val="center"/>
              <w:rPr>
                <w:rFonts w:eastAsia="等线"/>
                <w:b/>
                <w:bCs/>
                <w:kern w:val="0"/>
                <w:sz w:val="18"/>
                <w:szCs w:val="18"/>
                <w:lang w:val="en-US"/>
              </w:rPr>
            </w:pPr>
            <w:r>
              <w:rPr>
                <w:rFonts w:hint="eastAsia" w:ascii="宋体" w:hAnsi="宋体" w:cs="宋体"/>
                <w:b/>
                <w:bCs/>
                <w:kern w:val="0"/>
                <w:sz w:val="18"/>
                <w:szCs w:val="18"/>
                <w:lang w:val="en-US"/>
              </w:rPr>
              <w:t>合价USD（不含税）</w:t>
            </w:r>
          </w:p>
        </w:tc>
        <w:tc>
          <w:tcPr>
            <w:tcW w:w="767" w:type="dxa"/>
            <w:tcBorders>
              <w:top w:val="nil"/>
              <w:left w:val="nil"/>
              <w:bottom w:val="single" w:color="auto" w:sz="4" w:space="0"/>
              <w:right w:val="single" w:color="auto" w:sz="4" w:space="0"/>
            </w:tcBorders>
            <w:vAlign w:val="center"/>
          </w:tcPr>
          <w:p w14:paraId="7F746CBF">
            <w:pPr>
              <w:widowControl/>
              <w:jc w:val="center"/>
              <w:rPr>
                <w:rFonts w:eastAsia="等线"/>
                <w:b/>
                <w:bCs/>
                <w:kern w:val="0"/>
                <w:sz w:val="18"/>
                <w:szCs w:val="18"/>
                <w:lang w:val="en-US"/>
              </w:rPr>
            </w:pPr>
            <w:r>
              <w:rPr>
                <w:rFonts w:hint="eastAsia" w:ascii="宋体" w:hAnsi="宋体" w:cs="宋体"/>
                <w:b/>
                <w:bCs/>
                <w:kern w:val="0"/>
                <w:sz w:val="18"/>
                <w:szCs w:val="18"/>
                <w:lang w:val="en-US"/>
              </w:rPr>
              <w:t>备注</w:t>
            </w:r>
          </w:p>
        </w:tc>
      </w:tr>
      <w:tr w14:paraId="6DB1FF24">
        <w:tblPrEx>
          <w:tblCellMar>
            <w:top w:w="0" w:type="dxa"/>
            <w:left w:w="108" w:type="dxa"/>
            <w:bottom w:w="0" w:type="dxa"/>
            <w:right w:w="108" w:type="dxa"/>
          </w:tblCellMar>
        </w:tblPrEx>
        <w:trPr>
          <w:gridAfter w:val="1"/>
          <w:wAfter w:w="13" w:type="dxa"/>
          <w:trHeight w:val="1237" w:hRule="atLeast"/>
        </w:trPr>
        <w:tc>
          <w:tcPr>
            <w:tcW w:w="597" w:type="dxa"/>
            <w:tcBorders>
              <w:top w:val="nil"/>
              <w:left w:val="single" w:color="auto" w:sz="4" w:space="0"/>
              <w:bottom w:val="single" w:color="auto" w:sz="4" w:space="0"/>
              <w:right w:val="single" w:color="auto" w:sz="4" w:space="0"/>
            </w:tcBorders>
            <w:vAlign w:val="center"/>
          </w:tcPr>
          <w:p w14:paraId="416B5CBE">
            <w:pPr>
              <w:widowControl/>
              <w:jc w:val="center"/>
              <w:rPr>
                <w:rFonts w:eastAsia="等线"/>
                <w:kern w:val="0"/>
                <w:sz w:val="18"/>
                <w:szCs w:val="18"/>
                <w:lang w:val="en-US"/>
              </w:rPr>
            </w:pPr>
            <w:r>
              <w:rPr>
                <w:rFonts w:eastAsia="等线"/>
                <w:b/>
                <w:bCs/>
                <w:kern w:val="0"/>
                <w:sz w:val="18"/>
                <w:szCs w:val="18"/>
                <w:lang w:val="en-US"/>
              </w:rPr>
              <w:t>N</w:t>
            </w:r>
            <w:r>
              <w:rPr>
                <w:rFonts w:hint="eastAsia" w:ascii="宋体" w:hAnsi="宋体"/>
                <w:b/>
                <w:bCs/>
                <w:kern w:val="0"/>
                <w:sz w:val="18"/>
                <w:szCs w:val="18"/>
                <w:lang w:val="en-US"/>
              </w:rPr>
              <w:t>°</w:t>
            </w:r>
          </w:p>
        </w:tc>
        <w:tc>
          <w:tcPr>
            <w:tcW w:w="1278" w:type="dxa"/>
            <w:tcBorders>
              <w:top w:val="nil"/>
              <w:left w:val="single" w:color="auto" w:sz="4" w:space="0"/>
              <w:bottom w:val="single" w:color="auto" w:sz="4" w:space="0"/>
              <w:right w:val="single" w:color="auto" w:sz="4" w:space="0"/>
            </w:tcBorders>
            <w:vAlign w:val="center"/>
          </w:tcPr>
          <w:p w14:paraId="4ED1BF63">
            <w:pPr>
              <w:widowControl/>
              <w:jc w:val="center"/>
              <w:rPr>
                <w:rFonts w:eastAsia="等线"/>
                <w:b/>
                <w:bCs/>
                <w:kern w:val="0"/>
                <w:sz w:val="18"/>
                <w:szCs w:val="18"/>
                <w:lang w:val="en-US"/>
              </w:rPr>
            </w:pPr>
            <w:r>
              <w:rPr>
                <w:rFonts w:eastAsia="等线"/>
                <w:b/>
                <w:bCs/>
                <w:kern w:val="0"/>
                <w:sz w:val="18"/>
                <w:szCs w:val="18"/>
                <w:lang w:val="en-US"/>
              </w:rPr>
              <w:t>Nom du travail</w:t>
            </w:r>
          </w:p>
        </w:tc>
        <w:tc>
          <w:tcPr>
            <w:tcW w:w="3082" w:type="dxa"/>
            <w:vMerge w:val="continue"/>
            <w:tcBorders>
              <w:top w:val="nil"/>
              <w:left w:val="nil"/>
              <w:bottom w:val="single" w:color="auto" w:sz="4" w:space="0"/>
              <w:right w:val="single" w:color="auto" w:sz="4" w:space="0"/>
            </w:tcBorders>
            <w:vAlign w:val="center"/>
          </w:tcPr>
          <w:p w14:paraId="5FA8150D">
            <w:pPr>
              <w:widowControl/>
              <w:jc w:val="left"/>
              <w:rPr>
                <w:rFonts w:eastAsia="等线"/>
                <w:kern w:val="0"/>
                <w:sz w:val="18"/>
                <w:szCs w:val="18"/>
                <w:lang w:val="en-US"/>
              </w:rPr>
            </w:pPr>
          </w:p>
        </w:tc>
        <w:tc>
          <w:tcPr>
            <w:tcW w:w="908" w:type="dxa"/>
            <w:tcBorders>
              <w:top w:val="nil"/>
              <w:left w:val="nil"/>
              <w:bottom w:val="single" w:color="auto" w:sz="4" w:space="0"/>
              <w:right w:val="single" w:color="auto" w:sz="4" w:space="0"/>
            </w:tcBorders>
            <w:vAlign w:val="center"/>
          </w:tcPr>
          <w:p w14:paraId="4E3C76A1">
            <w:pPr>
              <w:widowControl/>
              <w:jc w:val="center"/>
            </w:pPr>
            <w:r>
              <w:rPr>
                <w:rFonts w:hint="eastAsia" w:eastAsia="等线"/>
                <w:b/>
                <w:bCs/>
                <w:kern w:val="0"/>
                <w:sz w:val="18"/>
                <w:szCs w:val="18"/>
                <w:lang w:val="en-US"/>
              </w:rPr>
              <w:t>V</w:t>
            </w:r>
            <w:r>
              <w:rPr>
                <w:rFonts w:eastAsia="等线"/>
                <w:b/>
                <w:bCs/>
                <w:kern w:val="0"/>
                <w:sz w:val="18"/>
                <w:szCs w:val="18"/>
                <w:lang w:val="en-US"/>
              </w:rPr>
              <w:t>olumes</w:t>
            </w:r>
          </w:p>
        </w:tc>
        <w:tc>
          <w:tcPr>
            <w:tcW w:w="646" w:type="dxa"/>
            <w:tcBorders>
              <w:top w:val="nil"/>
              <w:left w:val="nil"/>
              <w:bottom w:val="single" w:color="auto" w:sz="4" w:space="0"/>
              <w:right w:val="single" w:color="auto" w:sz="4" w:space="0"/>
            </w:tcBorders>
            <w:vAlign w:val="center"/>
          </w:tcPr>
          <w:p w14:paraId="009FCF57">
            <w:pPr>
              <w:widowControl/>
              <w:jc w:val="center"/>
              <w:rPr>
                <w:rFonts w:eastAsia="等线"/>
                <w:kern w:val="0"/>
                <w:sz w:val="18"/>
                <w:szCs w:val="18"/>
                <w:lang w:val="en-US"/>
              </w:rPr>
            </w:pPr>
            <w:r>
              <w:rPr>
                <w:rFonts w:hint="eastAsia" w:eastAsia="等线"/>
                <w:b/>
                <w:bCs/>
                <w:kern w:val="0"/>
                <w:sz w:val="18"/>
                <w:szCs w:val="18"/>
                <w:lang w:val="en-US"/>
              </w:rPr>
              <w:t>U</w:t>
            </w:r>
            <w:r>
              <w:rPr>
                <w:rFonts w:eastAsia="等线"/>
                <w:b/>
                <w:bCs/>
                <w:kern w:val="0"/>
                <w:sz w:val="18"/>
                <w:szCs w:val="18"/>
                <w:lang w:val="en-US"/>
              </w:rPr>
              <w:t>nité</w:t>
            </w:r>
          </w:p>
        </w:tc>
        <w:tc>
          <w:tcPr>
            <w:tcW w:w="1019" w:type="dxa"/>
            <w:tcBorders>
              <w:top w:val="nil"/>
              <w:left w:val="nil"/>
              <w:bottom w:val="single" w:color="auto" w:sz="4" w:space="0"/>
              <w:right w:val="single" w:color="auto" w:sz="4" w:space="0"/>
            </w:tcBorders>
            <w:vAlign w:val="center"/>
          </w:tcPr>
          <w:p w14:paraId="0DE1EFB6">
            <w:pPr>
              <w:widowControl/>
            </w:pPr>
            <w:r>
              <w:rPr>
                <w:rFonts w:hint="eastAsia" w:eastAsia="等线"/>
                <w:b/>
                <w:bCs/>
                <w:kern w:val="0"/>
                <w:sz w:val="18"/>
                <w:szCs w:val="18"/>
                <w:lang w:val="en-US"/>
              </w:rPr>
              <w:t>Prix unitaire USD (hors taxes)</w:t>
            </w:r>
          </w:p>
        </w:tc>
        <w:tc>
          <w:tcPr>
            <w:tcW w:w="1260" w:type="dxa"/>
            <w:tcBorders>
              <w:top w:val="nil"/>
              <w:left w:val="nil"/>
              <w:bottom w:val="single" w:color="auto" w:sz="4" w:space="0"/>
              <w:right w:val="single" w:color="auto" w:sz="4" w:space="0"/>
            </w:tcBorders>
            <w:vAlign w:val="center"/>
          </w:tcPr>
          <w:p w14:paraId="2FB5C7F3">
            <w:pPr>
              <w:widowControl/>
              <w:rPr>
                <w:rFonts w:ascii="宋体" w:hAnsi="宋体" w:cs="宋体"/>
                <w:kern w:val="0"/>
                <w:sz w:val="18"/>
                <w:szCs w:val="18"/>
                <w:lang w:val="en-US"/>
              </w:rPr>
            </w:pPr>
            <w:r>
              <w:rPr>
                <w:rFonts w:hint="eastAsia" w:eastAsia="等线"/>
                <w:b/>
                <w:bCs/>
                <w:kern w:val="0"/>
                <w:sz w:val="18"/>
                <w:szCs w:val="18"/>
                <w:lang w:val="en-US"/>
              </w:rPr>
              <w:t>Prix total USD (hors taxes)</w:t>
            </w:r>
          </w:p>
        </w:tc>
        <w:tc>
          <w:tcPr>
            <w:tcW w:w="767" w:type="dxa"/>
            <w:tcBorders>
              <w:top w:val="nil"/>
              <w:left w:val="nil"/>
              <w:bottom w:val="single" w:color="auto" w:sz="4" w:space="0"/>
              <w:right w:val="single" w:color="auto" w:sz="4" w:space="0"/>
            </w:tcBorders>
            <w:noWrap/>
            <w:vAlign w:val="center"/>
          </w:tcPr>
          <w:p w14:paraId="6BC48868">
            <w:pPr>
              <w:widowControl/>
              <w:jc w:val="center"/>
              <w:rPr>
                <w:rFonts w:eastAsia="等线"/>
                <w:kern w:val="0"/>
                <w:sz w:val="18"/>
                <w:szCs w:val="18"/>
                <w:lang w:val="en-US"/>
              </w:rPr>
            </w:pPr>
            <w:r>
              <w:rPr>
                <w:rStyle w:val="37"/>
                <w:rFonts w:ascii="Segoe UI" w:hAnsi="Segoe UI" w:eastAsia="Segoe UI" w:cs="Segoe UI"/>
                <w:sz w:val="16"/>
                <w:szCs w:val="16"/>
                <w:shd w:val="clear" w:color="auto" w:fill="FFFFFF"/>
              </w:rPr>
              <w:t>Notes</w:t>
            </w:r>
          </w:p>
        </w:tc>
      </w:tr>
      <w:tr w14:paraId="2E20072D">
        <w:tblPrEx>
          <w:tblCellMar>
            <w:top w:w="0" w:type="dxa"/>
            <w:left w:w="108" w:type="dxa"/>
            <w:bottom w:w="0" w:type="dxa"/>
            <w:right w:w="108" w:type="dxa"/>
          </w:tblCellMar>
        </w:tblPrEx>
        <w:trPr>
          <w:gridAfter w:val="1"/>
          <w:wAfter w:w="13" w:type="dxa"/>
          <w:trHeight w:val="838" w:hRule="atLeast"/>
        </w:trPr>
        <w:tc>
          <w:tcPr>
            <w:tcW w:w="597" w:type="dxa"/>
            <w:vMerge w:val="restart"/>
            <w:tcBorders>
              <w:top w:val="nil"/>
              <w:left w:val="single" w:color="auto" w:sz="4" w:space="0"/>
              <w:bottom w:val="single" w:color="auto" w:sz="4" w:space="0"/>
              <w:right w:val="single" w:color="auto" w:sz="4" w:space="0"/>
            </w:tcBorders>
            <w:vAlign w:val="center"/>
          </w:tcPr>
          <w:p w14:paraId="60960C53">
            <w:pPr>
              <w:widowControl/>
              <w:jc w:val="center"/>
              <w:rPr>
                <w:rFonts w:eastAsia="等线"/>
                <w:kern w:val="0"/>
                <w:sz w:val="18"/>
                <w:szCs w:val="18"/>
                <w:lang w:val="en-US"/>
              </w:rPr>
            </w:pPr>
            <w:r>
              <w:rPr>
                <w:rFonts w:hint="eastAsia" w:eastAsia="等线"/>
                <w:kern w:val="0"/>
                <w:sz w:val="18"/>
                <w:szCs w:val="18"/>
                <w:lang w:val="en-US"/>
              </w:rPr>
              <w:t>1</w:t>
            </w:r>
          </w:p>
        </w:tc>
        <w:tc>
          <w:tcPr>
            <w:tcW w:w="1278" w:type="dxa"/>
            <w:vMerge w:val="restart"/>
            <w:tcBorders>
              <w:top w:val="nil"/>
              <w:left w:val="single" w:color="auto" w:sz="4" w:space="0"/>
              <w:bottom w:val="single" w:color="auto" w:sz="4" w:space="0"/>
              <w:right w:val="single" w:color="auto" w:sz="4" w:space="0"/>
            </w:tcBorders>
            <w:vAlign w:val="center"/>
          </w:tcPr>
          <w:p w14:paraId="7763BCEB">
            <w:pPr>
              <w:widowControl/>
              <w:jc w:val="center"/>
              <w:rPr>
                <w:szCs w:val="21"/>
              </w:rPr>
            </w:pPr>
            <w:r>
              <w:rPr>
                <w:rFonts w:eastAsia="等线"/>
                <w:kern w:val="0"/>
                <w:sz w:val="18"/>
                <w:szCs w:val="18"/>
              </w:rPr>
              <w:t>Thimmewi - Konsatamy Centre</w:t>
            </w:r>
            <w:r>
              <w:rPr>
                <w:rFonts w:hint="eastAsia"/>
                <w:szCs w:val="21"/>
              </w:rPr>
              <w:t>专区政府道路修复</w:t>
            </w:r>
          </w:p>
          <w:p w14:paraId="48536B5F">
            <w:pPr>
              <w:widowControl/>
              <w:jc w:val="center"/>
              <w:rPr>
                <w:rFonts w:eastAsia="等线"/>
                <w:b/>
                <w:bCs/>
                <w:kern w:val="0"/>
                <w:sz w:val="18"/>
                <w:szCs w:val="18"/>
                <w:lang w:val="en-US"/>
              </w:rPr>
            </w:pPr>
            <w:r>
              <w:rPr>
                <w:rFonts w:eastAsia="等线"/>
                <w:kern w:val="0"/>
                <w:sz w:val="18"/>
                <w:szCs w:val="18"/>
                <w:lang w:val="en-US"/>
              </w:rPr>
              <w:t>Réhabilitation de la route de la préfecture Thimmewi - Konsatamy Centre</w:t>
            </w:r>
          </w:p>
        </w:tc>
        <w:tc>
          <w:tcPr>
            <w:tcW w:w="3082" w:type="dxa"/>
            <w:tcBorders>
              <w:top w:val="nil"/>
              <w:left w:val="nil"/>
              <w:bottom w:val="single" w:color="auto" w:sz="4" w:space="0"/>
              <w:right w:val="single" w:color="auto" w:sz="4" w:space="0"/>
            </w:tcBorders>
            <w:vAlign w:val="center"/>
          </w:tcPr>
          <w:p w14:paraId="434AF9D9">
            <w:pPr>
              <w:widowControl/>
              <w:jc w:val="left"/>
              <w:rPr>
                <w:rFonts w:eastAsia="等线"/>
                <w:kern w:val="0"/>
                <w:sz w:val="18"/>
                <w:szCs w:val="18"/>
                <w:lang w:val="en-US"/>
              </w:rPr>
            </w:pPr>
            <w:r>
              <w:rPr>
                <w:rFonts w:hint="eastAsia" w:ascii="宋体" w:hAnsi="宋体"/>
                <w:kern w:val="0"/>
                <w:sz w:val="18"/>
                <w:szCs w:val="18"/>
                <w:lang w:val="en-US"/>
              </w:rPr>
              <w:t>基层作业面清理（对原有路面进行平整、作业面两侧的杂草、及植被清理）</w:t>
            </w:r>
            <w:r>
              <w:rPr>
                <w:rFonts w:hint="eastAsia" w:ascii="宋体" w:hAnsi="宋体"/>
                <w:kern w:val="0"/>
                <w:sz w:val="18"/>
                <w:szCs w:val="18"/>
                <w:lang w:val="en-US"/>
              </w:rPr>
              <w:br w:type="textWrapping"/>
            </w:r>
            <w:r>
              <w:rPr>
                <w:rFonts w:eastAsia="等线"/>
                <w:kern w:val="0"/>
                <w:sz w:val="18"/>
                <w:szCs w:val="18"/>
                <w:lang w:val="en-US"/>
              </w:rPr>
              <w:t>Nivelage de la surface initiale de la route, enlèvement des mauvaises herbes et de la végétation de part et d’autre de la surface de travail.</w:t>
            </w:r>
          </w:p>
        </w:tc>
        <w:tc>
          <w:tcPr>
            <w:tcW w:w="908" w:type="dxa"/>
            <w:tcBorders>
              <w:top w:val="nil"/>
              <w:left w:val="nil"/>
              <w:bottom w:val="single" w:color="auto" w:sz="4" w:space="0"/>
              <w:right w:val="single" w:color="auto" w:sz="4" w:space="0"/>
            </w:tcBorders>
            <w:vAlign w:val="center"/>
          </w:tcPr>
          <w:p w14:paraId="2E5FC79C">
            <w:pPr>
              <w:widowControl/>
              <w:jc w:val="center"/>
            </w:pPr>
            <w:r>
              <w:rPr>
                <w:rFonts w:hint="eastAsia" w:eastAsia="等线"/>
                <w:kern w:val="0"/>
                <w:sz w:val="18"/>
                <w:szCs w:val="18"/>
                <w:lang w:val="en-US"/>
              </w:rPr>
              <w:t>12500</w:t>
            </w:r>
          </w:p>
        </w:tc>
        <w:tc>
          <w:tcPr>
            <w:tcW w:w="646" w:type="dxa"/>
            <w:tcBorders>
              <w:top w:val="nil"/>
              <w:left w:val="nil"/>
              <w:bottom w:val="single" w:color="auto" w:sz="4" w:space="0"/>
              <w:right w:val="single" w:color="auto" w:sz="4" w:space="0"/>
            </w:tcBorders>
            <w:vAlign w:val="center"/>
          </w:tcPr>
          <w:p w14:paraId="2B7973FB">
            <w:pPr>
              <w:widowControl/>
              <w:jc w:val="center"/>
              <w:rPr>
                <w:rFonts w:eastAsia="等线"/>
                <w:kern w:val="0"/>
                <w:sz w:val="18"/>
                <w:szCs w:val="18"/>
                <w:lang w:val="en-US"/>
              </w:rPr>
            </w:pPr>
            <w:r>
              <w:rPr>
                <w:rFonts w:hint="eastAsia" w:eastAsia="等线"/>
                <w:kern w:val="0"/>
                <w:sz w:val="18"/>
                <w:szCs w:val="18"/>
                <w:lang w:val="en-US"/>
              </w:rPr>
              <w:t>m</w:t>
            </w:r>
          </w:p>
        </w:tc>
        <w:tc>
          <w:tcPr>
            <w:tcW w:w="1019" w:type="dxa"/>
            <w:tcBorders>
              <w:top w:val="nil"/>
              <w:left w:val="nil"/>
              <w:bottom w:val="single" w:color="auto" w:sz="4" w:space="0"/>
              <w:right w:val="single" w:color="auto" w:sz="4" w:space="0"/>
            </w:tcBorders>
            <w:vAlign w:val="bottom"/>
          </w:tcPr>
          <w:p w14:paraId="6D632286">
            <w:pPr>
              <w:widowControl/>
              <w:jc w:val="left"/>
            </w:pPr>
          </w:p>
        </w:tc>
        <w:tc>
          <w:tcPr>
            <w:tcW w:w="1260" w:type="dxa"/>
            <w:tcBorders>
              <w:top w:val="nil"/>
              <w:left w:val="nil"/>
              <w:bottom w:val="single" w:color="auto" w:sz="4" w:space="0"/>
              <w:right w:val="single" w:color="auto" w:sz="4" w:space="0"/>
            </w:tcBorders>
            <w:vAlign w:val="bottom"/>
          </w:tcPr>
          <w:p w14:paraId="0F304D51">
            <w:pPr>
              <w:widowControl/>
              <w:jc w:val="left"/>
              <w:rPr>
                <w:rFonts w:ascii="宋体" w:hAnsi="宋体" w:cs="宋体"/>
                <w:kern w:val="0"/>
                <w:sz w:val="18"/>
                <w:szCs w:val="18"/>
                <w:lang w:val="en-US"/>
              </w:rPr>
            </w:pPr>
          </w:p>
        </w:tc>
        <w:tc>
          <w:tcPr>
            <w:tcW w:w="767" w:type="dxa"/>
            <w:tcBorders>
              <w:top w:val="nil"/>
              <w:left w:val="nil"/>
              <w:bottom w:val="single" w:color="auto" w:sz="4" w:space="0"/>
              <w:right w:val="single" w:color="auto" w:sz="4" w:space="0"/>
            </w:tcBorders>
            <w:noWrap/>
            <w:vAlign w:val="bottom"/>
          </w:tcPr>
          <w:p w14:paraId="4B12DFC9">
            <w:pPr>
              <w:widowControl/>
              <w:jc w:val="left"/>
              <w:rPr>
                <w:rFonts w:eastAsia="等线"/>
                <w:kern w:val="0"/>
                <w:sz w:val="18"/>
                <w:szCs w:val="18"/>
                <w:lang w:val="en-US"/>
              </w:rPr>
            </w:pPr>
            <w:r>
              <w:rPr>
                <w:rFonts w:eastAsia="等线"/>
                <w:kern w:val="0"/>
                <w:sz w:val="18"/>
                <w:szCs w:val="18"/>
                <w:lang w:val="en-US"/>
              </w:rPr>
              <w:t xml:space="preserve">  </w:t>
            </w:r>
          </w:p>
        </w:tc>
      </w:tr>
      <w:tr w14:paraId="0B636AD5">
        <w:tblPrEx>
          <w:tblCellMar>
            <w:top w:w="0" w:type="dxa"/>
            <w:left w:w="108" w:type="dxa"/>
            <w:bottom w:w="0" w:type="dxa"/>
            <w:right w:w="108" w:type="dxa"/>
          </w:tblCellMar>
        </w:tblPrEx>
        <w:trPr>
          <w:gridAfter w:val="1"/>
          <w:wAfter w:w="13" w:type="dxa"/>
          <w:trHeight w:val="618" w:hRule="atLeast"/>
        </w:trPr>
        <w:tc>
          <w:tcPr>
            <w:tcW w:w="597" w:type="dxa"/>
            <w:vMerge w:val="continue"/>
            <w:tcBorders>
              <w:top w:val="nil"/>
              <w:left w:val="single" w:color="auto" w:sz="4" w:space="0"/>
              <w:bottom w:val="single" w:color="auto" w:sz="4" w:space="0"/>
              <w:right w:val="single" w:color="auto" w:sz="4" w:space="0"/>
            </w:tcBorders>
            <w:vAlign w:val="center"/>
          </w:tcPr>
          <w:p w14:paraId="1DC00511">
            <w:pPr>
              <w:widowControl/>
              <w:jc w:val="left"/>
              <w:rPr>
                <w:rFonts w:eastAsia="等线"/>
                <w:kern w:val="0"/>
                <w:sz w:val="18"/>
                <w:szCs w:val="18"/>
                <w:lang w:val="en-US"/>
              </w:rPr>
            </w:pPr>
          </w:p>
        </w:tc>
        <w:tc>
          <w:tcPr>
            <w:tcW w:w="1278" w:type="dxa"/>
            <w:vMerge w:val="continue"/>
            <w:tcBorders>
              <w:top w:val="nil"/>
              <w:left w:val="single" w:color="auto" w:sz="4" w:space="0"/>
              <w:bottom w:val="single" w:color="auto" w:sz="4" w:space="0"/>
              <w:right w:val="single" w:color="auto" w:sz="4" w:space="0"/>
            </w:tcBorders>
            <w:vAlign w:val="center"/>
          </w:tcPr>
          <w:p w14:paraId="6A8F2E19">
            <w:pPr>
              <w:widowControl/>
              <w:jc w:val="left"/>
              <w:rPr>
                <w:rFonts w:eastAsia="等线"/>
                <w:b/>
                <w:bCs/>
                <w:kern w:val="0"/>
                <w:sz w:val="18"/>
                <w:szCs w:val="18"/>
                <w:lang w:val="en-US"/>
              </w:rPr>
            </w:pPr>
          </w:p>
        </w:tc>
        <w:tc>
          <w:tcPr>
            <w:tcW w:w="3082" w:type="dxa"/>
            <w:tcBorders>
              <w:top w:val="nil"/>
              <w:left w:val="nil"/>
              <w:bottom w:val="single" w:color="auto" w:sz="4" w:space="0"/>
              <w:right w:val="single" w:color="auto" w:sz="4" w:space="0"/>
            </w:tcBorders>
            <w:vAlign w:val="center"/>
          </w:tcPr>
          <w:p w14:paraId="11E85585">
            <w:pPr>
              <w:widowControl/>
              <w:rPr>
                <w:rFonts w:ascii="宋体" w:hAnsi="宋体"/>
                <w:kern w:val="0"/>
                <w:sz w:val="18"/>
                <w:szCs w:val="18"/>
                <w:lang w:val="en-US"/>
              </w:rPr>
            </w:pPr>
            <w:r>
              <w:rPr>
                <w:rFonts w:hint="eastAsia" w:ascii="宋体" w:hAnsi="宋体"/>
                <w:kern w:val="0"/>
                <w:sz w:val="18"/>
                <w:szCs w:val="18"/>
                <w:lang w:val="en-US"/>
              </w:rPr>
              <w:t>路面采用红土粒料摊铺、整平、压实，平均厚度不小于</w:t>
            </w:r>
            <w:r>
              <w:rPr>
                <w:rFonts w:hint="eastAsia" w:eastAsia="等线"/>
                <w:kern w:val="0"/>
                <w:sz w:val="18"/>
                <w:szCs w:val="18"/>
                <w:lang w:val="en-US"/>
              </w:rPr>
              <w:t>30</w:t>
            </w:r>
            <w:r>
              <w:rPr>
                <w:rFonts w:eastAsia="等线"/>
                <w:kern w:val="0"/>
                <w:sz w:val="18"/>
                <w:szCs w:val="18"/>
                <w:lang w:val="en-US"/>
              </w:rPr>
              <w:t>cm</w:t>
            </w:r>
            <w:r>
              <w:rPr>
                <w:rFonts w:eastAsia="等线"/>
                <w:kern w:val="0"/>
                <w:sz w:val="18"/>
                <w:szCs w:val="18"/>
                <w:lang w:val="en-US"/>
              </w:rPr>
              <w:br w:type="textWrapping"/>
            </w:r>
            <w:r>
              <w:rPr>
                <w:rFonts w:eastAsia="等线"/>
                <w:kern w:val="0"/>
                <w:sz w:val="18"/>
                <w:szCs w:val="18"/>
                <w:lang w:val="en-US"/>
              </w:rPr>
              <w:t>La surface de la route est pavée, nivelée et compactée avec des granulats latéritiques, pour obtenir une couche compactée d’épaisseur moyenne non inférieure à 10 cm.</w:t>
            </w:r>
          </w:p>
        </w:tc>
        <w:tc>
          <w:tcPr>
            <w:tcW w:w="908" w:type="dxa"/>
            <w:tcBorders>
              <w:top w:val="nil"/>
              <w:left w:val="nil"/>
              <w:bottom w:val="single" w:color="auto" w:sz="4" w:space="0"/>
              <w:right w:val="single" w:color="auto" w:sz="4" w:space="0"/>
            </w:tcBorders>
            <w:vAlign w:val="center"/>
          </w:tcPr>
          <w:p w14:paraId="19257A07">
            <w:pPr>
              <w:widowControl/>
              <w:jc w:val="center"/>
            </w:pPr>
            <w:r>
              <w:rPr>
                <w:rFonts w:hint="eastAsia" w:eastAsia="等线"/>
                <w:kern w:val="0"/>
                <w:sz w:val="18"/>
                <w:szCs w:val="18"/>
                <w:lang w:val="en-US"/>
              </w:rPr>
              <w:t>30000</w:t>
            </w:r>
          </w:p>
        </w:tc>
        <w:tc>
          <w:tcPr>
            <w:tcW w:w="646" w:type="dxa"/>
            <w:tcBorders>
              <w:top w:val="nil"/>
              <w:left w:val="nil"/>
              <w:bottom w:val="single" w:color="auto" w:sz="4" w:space="0"/>
              <w:right w:val="single" w:color="auto" w:sz="4" w:space="0"/>
            </w:tcBorders>
            <w:vAlign w:val="center"/>
          </w:tcPr>
          <w:p w14:paraId="4DC7268C">
            <w:pPr>
              <w:widowControl/>
              <w:jc w:val="center"/>
              <w:rPr>
                <w:rFonts w:eastAsia="等线"/>
                <w:kern w:val="0"/>
                <w:sz w:val="18"/>
                <w:szCs w:val="18"/>
                <w:lang w:val="en-US"/>
              </w:rPr>
            </w:pPr>
            <w:r>
              <w:rPr>
                <w:rFonts w:hint="eastAsia" w:ascii="宋体" w:hAnsi="宋体" w:cs="宋体"/>
                <w:kern w:val="0"/>
                <w:sz w:val="20"/>
                <w:lang w:val="en-US"/>
              </w:rPr>
              <w:t>m</w:t>
            </w:r>
            <w:r>
              <w:rPr>
                <w:rFonts w:hint="eastAsia" w:ascii="宋体" w:hAnsi="宋体" w:cs="宋体"/>
                <w:kern w:val="0"/>
                <w:sz w:val="20"/>
                <w:vertAlign w:val="superscript"/>
                <w:lang w:val="en-US"/>
              </w:rPr>
              <w:t>3</w:t>
            </w:r>
          </w:p>
        </w:tc>
        <w:tc>
          <w:tcPr>
            <w:tcW w:w="1019" w:type="dxa"/>
            <w:tcBorders>
              <w:top w:val="nil"/>
              <w:left w:val="nil"/>
              <w:bottom w:val="single" w:color="auto" w:sz="4" w:space="0"/>
              <w:right w:val="single" w:color="auto" w:sz="4" w:space="0"/>
            </w:tcBorders>
            <w:vAlign w:val="bottom"/>
          </w:tcPr>
          <w:p w14:paraId="6C1EB80D">
            <w:pPr>
              <w:widowControl/>
              <w:jc w:val="left"/>
            </w:pPr>
          </w:p>
        </w:tc>
        <w:tc>
          <w:tcPr>
            <w:tcW w:w="1260" w:type="dxa"/>
            <w:tcBorders>
              <w:top w:val="nil"/>
              <w:left w:val="nil"/>
              <w:bottom w:val="single" w:color="auto" w:sz="4" w:space="0"/>
              <w:right w:val="single" w:color="auto" w:sz="4" w:space="0"/>
            </w:tcBorders>
            <w:vAlign w:val="bottom"/>
          </w:tcPr>
          <w:p w14:paraId="7187B9D7">
            <w:pPr>
              <w:widowControl/>
              <w:jc w:val="left"/>
              <w:rPr>
                <w:rFonts w:ascii="宋体" w:hAnsi="宋体" w:cs="宋体"/>
                <w:kern w:val="0"/>
                <w:sz w:val="18"/>
                <w:szCs w:val="18"/>
                <w:lang w:val="en-US"/>
              </w:rPr>
            </w:pPr>
          </w:p>
        </w:tc>
        <w:tc>
          <w:tcPr>
            <w:tcW w:w="767" w:type="dxa"/>
            <w:tcBorders>
              <w:top w:val="nil"/>
              <w:left w:val="nil"/>
              <w:bottom w:val="single" w:color="auto" w:sz="4" w:space="0"/>
              <w:right w:val="single" w:color="auto" w:sz="4" w:space="0"/>
            </w:tcBorders>
            <w:noWrap/>
            <w:vAlign w:val="bottom"/>
          </w:tcPr>
          <w:p w14:paraId="7EF15554">
            <w:pPr>
              <w:widowControl/>
              <w:jc w:val="center"/>
              <w:rPr>
                <w:rFonts w:eastAsia="等线"/>
                <w:kern w:val="0"/>
                <w:sz w:val="18"/>
                <w:szCs w:val="18"/>
                <w:lang w:val="en-US"/>
              </w:rPr>
            </w:pPr>
            <w:r>
              <w:rPr>
                <w:rFonts w:hint="eastAsia" w:eastAsia="等线"/>
                <w:kern w:val="0"/>
                <w:sz w:val="18"/>
                <w:szCs w:val="18"/>
                <w:lang w:val="en-US"/>
              </w:rPr>
              <w:t>暂定工程量（Les V</w:t>
            </w:r>
            <w:r>
              <w:rPr>
                <w:rFonts w:eastAsia="等线"/>
                <w:kern w:val="0"/>
                <w:sz w:val="18"/>
                <w:szCs w:val="18"/>
                <w:lang w:val="en-US"/>
              </w:rPr>
              <w:t>olumes</w:t>
            </w:r>
            <w:r>
              <w:rPr>
                <w:rFonts w:hint="eastAsia" w:eastAsia="等线"/>
                <w:kern w:val="0"/>
                <w:sz w:val="18"/>
                <w:szCs w:val="18"/>
                <w:lang w:val="en-US"/>
              </w:rPr>
              <w:t xml:space="preserve"> sont </w:t>
            </w:r>
            <w:r>
              <w:rPr>
                <w:rFonts w:ascii="Segoe UI" w:hAnsi="Segoe UI" w:eastAsia="Segoe UI" w:cs="Segoe UI"/>
                <w:sz w:val="16"/>
                <w:szCs w:val="16"/>
                <w:shd w:val="clear" w:color="auto" w:fill="FFFFFF"/>
              </w:rPr>
              <w:t>provisoire</w:t>
            </w:r>
            <w:r>
              <w:rPr>
                <w:rFonts w:hint="eastAsia" w:ascii="Segoe UI" w:hAnsi="Segoe UI" w:cs="Segoe UI"/>
                <w:sz w:val="16"/>
                <w:szCs w:val="16"/>
                <w:shd w:val="clear" w:color="auto" w:fill="FFFFFF"/>
                <w:lang w:val="en-US"/>
              </w:rPr>
              <w:t>s</w:t>
            </w:r>
            <w:r>
              <w:rPr>
                <w:rFonts w:hint="eastAsia" w:eastAsia="等线"/>
                <w:kern w:val="0"/>
                <w:sz w:val="18"/>
                <w:szCs w:val="18"/>
                <w:lang w:val="en-US"/>
              </w:rPr>
              <w:t>）</w:t>
            </w:r>
          </w:p>
        </w:tc>
      </w:tr>
      <w:tr w14:paraId="2BC7E34C">
        <w:tblPrEx>
          <w:tblCellMar>
            <w:top w:w="0" w:type="dxa"/>
            <w:left w:w="108" w:type="dxa"/>
            <w:bottom w:w="0" w:type="dxa"/>
            <w:right w:w="108" w:type="dxa"/>
          </w:tblCellMar>
        </w:tblPrEx>
        <w:trPr>
          <w:gridAfter w:val="1"/>
          <w:wAfter w:w="13" w:type="dxa"/>
          <w:trHeight w:val="618" w:hRule="atLeast"/>
        </w:trPr>
        <w:tc>
          <w:tcPr>
            <w:tcW w:w="597" w:type="dxa"/>
            <w:vMerge w:val="continue"/>
            <w:tcBorders>
              <w:top w:val="nil"/>
              <w:left w:val="single" w:color="auto" w:sz="4" w:space="0"/>
              <w:bottom w:val="single" w:color="auto" w:sz="4" w:space="0"/>
              <w:right w:val="single" w:color="auto" w:sz="4" w:space="0"/>
            </w:tcBorders>
            <w:vAlign w:val="center"/>
          </w:tcPr>
          <w:p w14:paraId="000635D7">
            <w:pPr>
              <w:widowControl/>
              <w:jc w:val="left"/>
              <w:rPr>
                <w:rFonts w:eastAsia="等线"/>
                <w:kern w:val="0"/>
                <w:sz w:val="18"/>
                <w:szCs w:val="18"/>
                <w:lang w:val="en-US"/>
              </w:rPr>
            </w:pPr>
          </w:p>
        </w:tc>
        <w:tc>
          <w:tcPr>
            <w:tcW w:w="1278" w:type="dxa"/>
            <w:vMerge w:val="continue"/>
            <w:tcBorders>
              <w:top w:val="nil"/>
              <w:left w:val="single" w:color="auto" w:sz="4" w:space="0"/>
              <w:bottom w:val="single" w:color="auto" w:sz="4" w:space="0"/>
              <w:right w:val="single" w:color="auto" w:sz="4" w:space="0"/>
            </w:tcBorders>
            <w:vAlign w:val="center"/>
          </w:tcPr>
          <w:p w14:paraId="094C1F06">
            <w:pPr>
              <w:widowControl/>
              <w:jc w:val="left"/>
              <w:rPr>
                <w:rFonts w:eastAsia="等线"/>
                <w:b/>
                <w:bCs/>
                <w:kern w:val="0"/>
                <w:sz w:val="18"/>
                <w:szCs w:val="18"/>
                <w:lang w:val="en-US"/>
              </w:rPr>
            </w:pPr>
          </w:p>
        </w:tc>
        <w:tc>
          <w:tcPr>
            <w:tcW w:w="3082" w:type="dxa"/>
            <w:tcBorders>
              <w:top w:val="nil"/>
              <w:left w:val="nil"/>
              <w:bottom w:val="single" w:color="auto" w:sz="4" w:space="0"/>
              <w:right w:val="single" w:color="auto" w:sz="4" w:space="0"/>
            </w:tcBorders>
            <w:vAlign w:val="center"/>
          </w:tcPr>
          <w:p w14:paraId="484ED936">
            <w:pPr>
              <w:widowControl/>
              <w:jc w:val="left"/>
              <w:rPr>
                <w:rFonts w:eastAsia="等线"/>
                <w:kern w:val="0"/>
                <w:sz w:val="18"/>
                <w:szCs w:val="18"/>
              </w:rPr>
            </w:pPr>
            <w:r>
              <w:rPr>
                <w:rFonts w:hint="eastAsia" w:ascii="宋体" w:hAnsi="宋体"/>
                <w:kern w:val="0"/>
                <w:sz w:val="18"/>
                <w:szCs w:val="18"/>
                <w:lang w:val="en-US"/>
              </w:rPr>
              <w:t>道路两侧排水沟进行修整（宽1m 深0.5cm）</w:t>
            </w:r>
            <w:r>
              <w:rPr>
                <w:rFonts w:hint="eastAsia" w:ascii="宋体" w:hAnsi="宋体"/>
                <w:kern w:val="0"/>
                <w:sz w:val="18"/>
                <w:szCs w:val="18"/>
                <w:lang w:val="en-US"/>
              </w:rPr>
              <w:br w:type="textWrapping"/>
            </w:r>
            <w:r>
              <w:rPr>
                <w:rFonts w:eastAsia="等线"/>
                <w:kern w:val="0"/>
                <w:sz w:val="18"/>
                <w:szCs w:val="18"/>
                <w:lang w:val="en-US"/>
              </w:rPr>
              <w:t>Réhabilitation des fossés de drainage  (largeur : 40 cm, profondeur : 30 cm)</w:t>
            </w:r>
            <w:r>
              <w:rPr>
                <w:rFonts w:hint="eastAsia" w:eastAsia="等线"/>
                <w:kern w:val="0"/>
                <w:sz w:val="18"/>
                <w:szCs w:val="18"/>
                <w:lang w:val="en-US"/>
              </w:rPr>
              <w:t xml:space="preserve"> </w:t>
            </w:r>
            <w:r>
              <w:rPr>
                <w:rFonts w:eastAsia="等线"/>
                <w:kern w:val="0"/>
                <w:sz w:val="18"/>
                <w:szCs w:val="18"/>
                <w:lang w:val="en-US"/>
              </w:rPr>
              <w:t>des deux côtés de la route</w:t>
            </w:r>
          </w:p>
        </w:tc>
        <w:tc>
          <w:tcPr>
            <w:tcW w:w="908" w:type="dxa"/>
            <w:tcBorders>
              <w:top w:val="nil"/>
              <w:left w:val="nil"/>
              <w:bottom w:val="single" w:color="auto" w:sz="4" w:space="0"/>
              <w:right w:val="single" w:color="auto" w:sz="4" w:space="0"/>
            </w:tcBorders>
            <w:vAlign w:val="center"/>
          </w:tcPr>
          <w:p w14:paraId="13EFBE50">
            <w:pPr>
              <w:widowControl/>
              <w:jc w:val="center"/>
            </w:pPr>
            <w:r>
              <w:rPr>
                <w:rFonts w:hint="eastAsia" w:eastAsia="等线"/>
                <w:kern w:val="0"/>
                <w:sz w:val="18"/>
                <w:szCs w:val="18"/>
                <w:lang w:val="en-US"/>
              </w:rPr>
              <w:t>12500</w:t>
            </w:r>
          </w:p>
        </w:tc>
        <w:tc>
          <w:tcPr>
            <w:tcW w:w="646" w:type="dxa"/>
            <w:tcBorders>
              <w:top w:val="nil"/>
              <w:left w:val="nil"/>
              <w:bottom w:val="single" w:color="auto" w:sz="4" w:space="0"/>
              <w:right w:val="single" w:color="auto" w:sz="4" w:space="0"/>
            </w:tcBorders>
            <w:vAlign w:val="center"/>
          </w:tcPr>
          <w:p w14:paraId="6F64AE38">
            <w:pPr>
              <w:widowControl/>
              <w:jc w:val="center"/>
              <w:rPr>
                <w:rFonts w:eastAsia="等线"/>
                <w:kern w:val="0"/>
                <w:sz w:val="18"/>
                <w:szCs w:val="18"/>
                <w:lang w:val="en-US"/>
              </w:rPr>
            </w:pPr>
            <w:r>
              <w:rPr>
                <w:rFonts w:hint="eastAsia" w:eastAsia="等线"/>
                <w:kern w:val="0"/>
                <w:sz w:val="18"/>
                <w:szCs w:val="18"/>
                <w:lang w:val="en-US"/>
              </w:rPr>
              <w:t>m</w:t>
            </w:r>
          </w:p>
        </w:tc>
        <w:tc>
          <w:tcPr>
            <w:tcW w:w="1019" w:type="dxa"/>
            <w:tcBorders>
              <w:top w:val="nil"/>
              <w:left w:val="nil"/>
              <w:bottom w:val="single" w:color="auto" w:sz="4" w:space="0"/>
              <w:right w:val="single" w:color="auto" w:sz="4" w:space="0"/>
            </w:tcBorders>
            <w:vAlign w:val="bottom"/>
          </w:tcPr>
          <w:p w14:paraId="047C8C2A">
            <w:pPr>
              <w:widowControl/>
              <w:jc w:val="left"/>
            </w:pPr>
          </w:p>
        </w:tc>
        <w:tc>
          <w:tcPr>
            <w:tcW w:w="1260" w:type="dxa"/>
            <w:tcBorders>
              <w:top w:val="nil"/>
              <w:left w:val="nil"/>
              <w:bottom w:val="single" w:color="auto" w:sz="4" w:space="0"/>
              <w:right w:val="single" w:color="auto" w:sz="4" w:space="0"/>
            </w:tcBorders>
            <w:vAlign w:val="bottom"/>
          </w:tcPr>
          <w:p w14:paraId="3919D770">
            <w:pPr>
              <w:widowControl/>
              <w:jc w:val="left"/>
              <w:rPr>
                <w:rFonts w:eastAsia="等线"/>
                <w:kern w:val="0"/>
                <w:sz w:val="18"/>
                <w:szCs w:val="18"/>
                <w:lang w:val="en-US"/>
              </w:rPr>
            </w:pPr>
          </w:p>
        </w:tc>
        <w:tc>
          <w:tcPr>
            <w:tcW w:w="767" w:type="dxa"/>
            <w:tcBorders>
              <w:top w:val="nil"/>
              <w:left w:val="nil"/>
              <w:bottom w:val="single" w:color="auto" w:sz="4" w:space="0"/>
              <w:right w:val="single" w:color="auto" w:sz="4" w:space="0"/>
            </w:tcBorders>
            <w:noWrap/>
            <w:vAlign w:val="bottom"/>
          </w:tcPr>
          <w:p w14:paraId="2F6AB5A9">
            <w:pPr>
              <w:widowControl/>
              <w:jc w:val="left"/>
              <w:rPr>
                <w:rFonts w:eastAsia="等线"/>
                <w:kern w:val="0"/>
                <w:sz w:val="18"/>
                <w:szCs w:val="18"/>
                <w:lang w:val="en-US"/>
              </w:rPr>
            </w:pPr>
            <w:r>
              <w:rPr>
                <w:rFonts w:eastAsia="等线"/>
                <w:kern w:val="0"/>
                <w:sz w:val="18"/>
                <w:szCs w:val="18"/>
                <w:lang w:val="en-US"/>
              </w:rPr>
              <w:t xml:space="preserve">          -   </w:t>
            </w:r>
          </w:p>
        </w:tc>
      </w:tr>
      <w:tr w14:paraId="151E328D">
        <w:tblPrEx>
          <w:tblCellMar>
            <w:top w:w="0" w:type="dxa"/>
            <w:left w:w="108" w:type="dxa"/>
            <w:bottom w:w="0" w:type="dxa"/>
            <w:right w:w="108" w:type="dxa"/>
          </w:tblCellMar>
        </w:tblPrEx>
        <w:trPr>
          <w:trHeight w:val="301" w:hRule="atLeast"/>
        </w:trPr>
        <w:tc>
          <w:tcPr>
            <w:tcW w:w="597" w:type="dxa"/>
            <w:vMerge w:val="continue"/>
            <w:tcBorders>
              <w:top w:val="single" w:color="auto" w:sz="4" w:space="0"/>
              <w:left w:val="single" w:color="auto" w:sz="4" w:space="0"/>
              <w:bottom w:val="single" w:color="auto" w:sz="4" w:space="0"/>
              <w:right w:val="single" w:color="auto" w:sz="4" w:space="0"/>
            </w:tcBorders>
            <w:shd w:val="clear" w:color="000000" w:fill="BDD7EE"/>
            <w:vAlign w:val="center"/>
          </w:tcPr>
          <w:p w14:paraId="2E67985A">
            <w:pPr>
              <w:widowControl/>
              <w:jc w:val="center"/>
              <w:rPr>
                <w:rFonts w:eastAsia="等线"/>
                <w:kern w:val="0"/>
                <w:sz w:val="18"/>
                <w:szCs w:val="18"/>
                <w:lang w:val="en-US"/>
              </w:rPr>
            </w:pPr>
          </w:p>
        </w:tc>
        <w:tc>
          <w:tcPr>
            <w:tcW w:w="1278" w:type="dxa"/>
            <w:vMerge w:val="continue"/>
            <w:tcBorders>
              <w:top w:val="single" w:color="auto" w:sz="4" w:space="0"/>
              <w:left w:val="single" w:color="auto" w:sz="4" w:space="0"/>
              <w:bottom w:val="single" w:color="auto" w:sz="4" w:space="0"/>
              <w:right w:val="single" w:color="auto" w:sz="4" w:space="0"/>
            </w:tcBorders>
            <w:shd w:val="clear" w:color="000000" w:fill="BDD7EE"/>
            <w:vAlign w:val="center"/>
          </w:tcPr>
          <w:p w14:paraId="574C81F2">
            <w:pPr>
              <w:widowControl/>
              <w:jc w:val="center"/>
            </w:pPr>
          </w:p>
        </w:tc>
        <w:tc>
          <w:tcPr>
            <w:tcW w:w="3082" w:type="dxa"/>
            <w:tcBorders>
              <w:top w:val="single" w:color="auto" w:sz="4" w:space="0"/>
              <w:left w:val="single" w:color="auto" w:sz="4" w:space="0"/>
              <w:bottom w:val="single" w:color="auto" w:sz="4" w:space="0"/>
              <w:right w:val="single" w:color="auto" w:sz="4" w:space="0"/>
            </w:tcBorders>
            <w:shd w:val="clear" w:color="000000" w:fill="BDD7EE"/>
            <w:vAlign w:val="center"/>
          </w:tcPr>
          <w:p w14:paraId="2D22052B">
            <w:pPr>
              <w:widowControl/>
              <w:rPr>
                <w:rFonts w:eastAsia="等线"/>
                <w:kern w:val="0"/>
                <w:sz w:val="18"/>
                <w:szCs w:val="18"/>
                <w:lang w:val="en-US"/>
              </w:rPr>
            </w:pPr>
            <w:r>
              <w:rPr>
                <w:rFonts w:hint="eastAsia" w:eastAsia="等线"/>
                <w:kern w:val="0"/>
                <w:sz w:val="18"/>
                <w:szCs w:val="18"/>
                <w:lang w:val="en-US"/>
              </w:rPr>
              <w:t>其他工程费用及行政手续费（含社区协调费用）</w:t>
            </w:r>
          </w:p>
          <w:p w14:paraId="0D2D1DD0">
            <w:pPr>
              <w:widowControl/>
            </w:pPr>
            <w:r>
              <w:rPr>
                <w:rFonts w:eastAsia="等线"/>
                <w:kern w:val="0"/>
                <w:sz w:val="18"/>
                <w:szCs w:val="18"/>
              </w:rPr>
              <w:t>Frais divers de travaux et frais administratifs</w:t>
            </w:r>
            <w:r>
              <w:rPr>
                <w:rFonts w:hint="eastAsia" w:eastAsia="等线"/>
                <w:kern w:val="0"/>
                <w:sz w:val="18"/>
                <w:szCs w:val="18"/>
              </w:rPr>
              <w:t xml:space="preserve"> </w:t>
            </w:r>
            <w:r>
              <w:rPr>
                <w:rFonts w:eastAsia="等线"/>
                <w:kern w:val="0"/>
                <w:sz w:val="18"/>
                <w:szCs w:val="18"/>
              </w:rPr>
              <w:t> (incluant les frais de coordination communautaire)</w:t>
            </w:r>
          </w:p>
        </w:tc>
        <w:tc>
          <w:tcPr>
            <w:tcW w:w="908" w:type="dxa"/>
            <w:tcBorders>
              <w:top w:val="single" w:color="auto" w:sz="4" w:space="0"/>
              <w:left w:val="single" w:color="auto" w:sz="4" w:space="0"/>
              <w:bottom w:val="single" w:color="auto" w:sz="4" w:space="0"/>
              <w:right w:val="single" w:color="auto" w:sz="4" w:space="0"/>
            </w:tcBorders>
            <w:shd w:val="clear" w:color="000000" w:fill="BDD7EE"/>
            <w:vAlign w:val="center"/>
          </w:tcPr>
          <w:p w14:paraId="16DD6A37">
            <w:pPr>
              <w:widowControl/>
              <w:jc w:val="center"/>
            </w:pPr>
            <w:r>
              <w:rPr>
                <w:rFonts w:hint="eastAsia" w:eastAsia="等线"/>
                <w:kern w:val="0"/>
                <w:sz w:val="18"/>
                <w:szCs w:val="18"/>
              </w:rPr>
              <w:t>1</w:t>
            </w:r>
          </w:p>
        </w:tc>
        <w:tc>
          <w:tcPr>
            <w:tcW w:w="646" w:type="dxa"/>
            <w:tcBorders>
              <w:top w:val="single" w:color="auto" w:sz="4" w:space="0"/>
              <w:left w:val="single" w:color="auto" w:sz="4" w:space="0"/>
              <w:bottom w:val="single" w:color="auto" w:sz="4" w:space="0"/>
              <w:right w:val="single" w:color="auto" w:sz="4" w:space="0"/>
            </w:tcBorders>
            <w:shd w:val="clear" w:color="000000" w:fill="BDD7EE"/>
            <w:vAlign w:val="center"/>
          </w:tcPr>
          <w:p w14:paraId="4740758E">
            <w:pPr>
              <w:widowControl/>
              <w:jc w:val="center"/>
            </w:pPr>
            <w:r>
              <w:rPr>
                <w:rFonts w:eastAsia="等线"/>
                <w:kern w:val="0"/>
                <w:sz w:val="20"/>
                <w:lang w:val="en-US"/>
              </w:rPr>
              <w:t>uinté</w:t>
            </w:r>
          </w:p>
        </w:tc>
        <w:tc>
          <w:tcPr>
            <w:tcW w:w="1019" w:type="dxa"/>
            <w:tcBorders>
              <w:top w:val="single" w:color="auto" w:sz="4" w:space="0"/>
              <w:left w:val="single" w:color="auto" w:sz="4" w:space="0"/>
              <w:bottom w:val="single" w:color="auto" w:sz="4" w:space="0"/>
              <w:right w:val="single" w:color="auto" w:sz="4" w:space="0"/>
            </w:tcBorders>
            <w:shd w:val="clear" w:color="000000" w:fill="BDD7EE"/>
            <w:vAlign w:val="bottom"/>
          </w:tcPr>
          <w:p w14:paraId="0EEA9D8F">
            <w:pPr>
              <w:widowControl/>
              <w:jc w:val="left"/>
            </w:pPr>
          </w:p>
        </w:tc>
        <w:tc>
          <w:tcPr>
            <w:tcW w:w="1260" w:type="dxa"/>
            <w:tcBorders>
              <w:top w:val="nil"/>
              <w:left w:val="nil"/>
              <w:bottom w:val="single" w:color="auto" w:sz="4" w:space="0"/>
              <w:right w:val="single" w:color="auto" w:sz="4" w:space="0"/>
            </w:tcBorders>
            <w:shd w:val="clear" w:color="000000" w:fill="BDD7EE"/>
            <w:noWrap/>
            <w:vAlign w:val="bottom"/>
          </w:tcPr>
          <w:p w14:paraId="59AB29AD">
            <w:pPr>
              <w:widowControl/>
              <w:jc w:val="left"/>
              <w:rPr>
                <w:rFonts w:eastAsia="等线"/>
                <w:kern w:val="0"/>
                <w:sz w:val="18"/>
                <w:szCs w:val="18"/>
                <w:lang w:val="en-US"/>
              </w:rPr>
            </w:pPr>
          </w:p>
        </w:tc>
        <w:tc>
          <w:tcPr>
            <w:tcW w:w="780" w:type="dxa"/>
            <w:gridSpan w:val="2"/>
            <w:tcBorders>
              <w:top w:val="nil"/>
              <w:left w:val="nil"/>
              <w:bottom w:val="single" w:color="auto" w:sz="4" w:space="0"/>
              <w:right w:val="single" w:color="auto" w:sz="4" w:space="0"/>
            </w:tcBorders>
            <w:shd w:val="clear" w:color="000000" w:fill="BDD7EE"/>
            <w:noWrap/>
            <w:vAlign w:val="bottom"/>
          </w:tcPr>
          <w:p w14:paraId="166AAA91">
            <w:pPr>
              <w:widowControl/>
              <w:jc w:val="left"/>
            </w:pPr>
          </w:p>
        </w:tc>
      </w:tr>
      <w:tr w14:paraId="4311AADA">
        <w:tblPrEx>
          <w:tblCellMar>
            <w:top w:w="0" w:type="dxa"/>
            <w:left w:w="108" w:type="dxa"/>
            <w:bottom w:w="0" w:type="dxa"/>
            <w:right w:w="108" w:type="dxa"/>
          </w:tblCellMar>
        </w:tblPrEx>
        <w:trPr>
          <w:trHeight w:val="275" w:hRule="atLeast"/>
        </w:trPr>
        <w:tc>
          <w:tcPr>
            <w:tcW w:w="9570" w:type="dxa"/>
            <w:gridSpan w:val="9"/>
            <w:tcBorders>
              <w:top w:val="single" w:color="auto" w:sz="4" w:space="0"/>
              <w:left w:val="single" w:color="auto" w:sz="4" w:space="0"/>
              <w:bottom w:val="single" w:color="auto" w:sz="4" w:space="0"/>
              <w:right w:val="single" w:color="auto" w:sz="4" w:space="0"/>
            </w:tcBorders>
            <w:shd w:val="clear" w:color="000000" w:fill="FCE4D6"/>
            <w:vAlign w:val="center"/>
          </w:tcPr>
          <w:p w14:paraId="428615B4">
            <w:r>
              <w:rPr>
                <w:rFonts w:eastAsia="等线"/>
                <w:kern w:val="0"/>
                <w:sz w:val="18"/>
                <w:szCs w:val="18"/>
              </w:rPr>
              <w:t xml:space="preserve"> </w:t>
            </w:r>
            <w:r>
              <w:rPr>
                <w:rFonts w:hint="eastAsia" w:ascii="宋体" w:hAnsi="宋体"/>
                <w:kern w:val="0"/>
                <w:sz w:val="18"/>
                <w:szCs w:val="18"/>
                <w:lang w:val="en-US"/>
              </w:rPr>
              <w:t xml:space="preserve">小计(不含税价) </w:t>
            </w:r>
            <w:r>
              <w:rPr>
                <w:rFonts w:eastAsia="等线"/>
                <w:kern w:val="0"/>
                <w:sz w:val="18"/>
                <w:szCs w:val="18"/>
                <w:lang w:val="en-US"/>
              </w:rPr>
              <w:t>Sous-total</w:t>
            </w:r>
            <w:r>
              <w:rPr>
                <w:rFonts w:hint="eastAsia" w:eastAsia="等线"/>
                <w:kern w:val="0"/>
                <w:sz w:val="18"/>
                <w:szCs w:val="18"/>
                <w:lang w:val="en-US"/>
              </w:rPr>
              <w:t xml:space="preserve"> (</w:t>
            </w:r>
            <w:r>
              <w:rPr>
                <w:rFonts w:ascii="Segoe UI" w:hAnsi="Segoe UI" w:eastAsia="Segoe UI" w:cs="Segoe UI"/>
                <w:sz w:val="16"/>
                <w:szCs w:val="16"/>
                <w:shd w:val="clear" w:color="auto" w:fill="FFFFFF"/>
              </w:rPr>
              <w:t>Prix hors taxes</w:t>
            </w:r>
            <w:r>
              <w:rPr>
                <w:rFonts w:hint="eastAsia" w:eastAsia="等线"/>
                <w:kern w:val="0"/>
                <w:sz w:val="18"/>
                <w:szCs w:val="18"/>
                <w:lang w:val="en-US"/>
              </w:rPr>
              <w:t>)</w:t>
            </w:r>
          </w:p>
          <w:p w14:paraId="2CFB62FF">
            <w:pPr>
              <w:widowControl/>
              <w:jc w:val="center"/>
              <w:rPr>
                <w:rFonts w:eastAsia="等线"/>
                <w:kern w:val="0"/>
                <w:sz w:val="18"/>
                <w:szCs w:val="18"/>
                <w:lang w:val="en-US"/>
              </w:rPr>
            </w:pPr>
            <w:r>
              <w:rPr>
                <w:rFonts w:hint="eastAsia" w:eastAsia="等线"/>
                <w:kern w:val="0"/>
                <w:sz w:val="18"/>
                <w:szCs w:val="18"/>
                <w:lang w:val="en-US"/>
              </w:rPr>
              <w:t xml:space="preserve">   </w:t>
            </w:r>
          </w:p>
        </w:tc>
      </w:tr>
      <w:tr w14:paraId="43F58A1E">
        <w:tblPrEx>
          <w:tblCellMar>
            <w:top w:w="0" w:type="dxa"/>
            <w:left w:w="108" w:type="dxa"/>
            <w:bottom w:w="0" w:type="dxa"/>
            <w:right w:w="108" w:type="dxa"/>
          </w:tblCellMar>
        </w:tblPrEx>
        <w:trPr>
          <w:gridAfter w:val="1"/>
          <w:wAfter w:w="13" w:type="dxa"/>
          <w:trHeight w:val="765" w:hRule="atLeast"/>
        </w:trPr>
        <w:tc>
          <w:tcPr>
            <w:tcW w:w="9557" w:type="dxa"/>
            <w:gridSpan w:val="8"/>
            <w:tcBorders>
              <w:top w:val="nil"/>
              <w:left w:val="single" w:color="auto" w:sz="4" w:space="0"/>
              <w:bottom w:val="single" w:color="auto" w:sz="4" w:space="0"/>
              <w:right w:val="single" w:color="auto" w:sz="4" w:space="0"/>
            </w:tcBorders>
            <w:vAlign w:val="center"/>
          </w:tcPr>
          <w:p w14:paraId="17D43B59">
            <w:pPr>
              <w:widowControl/>
              <w:numPr>
                <w:ilvl w:val="255"/>
                <w:numId w:val="0"/>
              </w:numPr>
              <w:jc w:val="center"/>
              <w:rPr>
                <w:rFonts w:eastAsia="等线"/>
                <w:b/>
                <w:bCs/>
                <w:kern w:val="0"/>
                <w:sz w:val="18"/>
                <w:szCs w:val="18"/>
                <w:lang w:val="en-US"/>
              </w:rPr>
            </w:pPr>
            <w:r>
              <w:rPr>
                <w:rFonts w:hint="eastAsia" w:ascii="宋体" w:hAnsi="宋体"/>
                <w:b/>
                <w:bCs/>
                <w:kern w:val="0"/>
                <w:sz w:val="18"/>
                <w:szCs w:val="18"/>
                <w:lang w:val="en-US"/>
              </w:rPr>
              <w:t>足球场修缮</w:t>
            </w:r>
            <w:r>
              <w:rPr>
                <w:rFonts w:eastAsia="等线"/>
                <w:b/>
                <w:bCs/>
                <w:kern w:val="0"/>
                <w:sz w:val="18"/>
                <w:szCs w:val="18"/>
                <w:lang w:val="en-US"/>
              </w:rPr>
              <w:t>Réhabilitation des terrains de football</w:t>
            </w:r>
          </w:p>
        </w:tc>
      </w:tr>
      <w:tr w14:paraId="5B2FBBB8">
        <w:tblPrEx>
          <w:tblCellMar>
            <w:top w:w="0" w:type="dxa"/>
            <w:left w:w="108" w:type="dxa"/>
            <w:bottom w:w="0" w:type="dxa"/>
            <w:right w:w="108" w:type="dxa"/>
          </w:tblCellMar>
        </w:tblPrEx>
        <w:trPr>
          <w:gridAfter w:val="1"/>
          <w:wAfter w:w="13" w:type="dxa"/>
          <w:trHeight w:val="511" w:hRule="atLeast"/>
        </w:trPr>
        <w:tc>
          <w:tcPr>
            <w:tcW w:w="597" w:type="dxa"/>
            <w:tcBorders>
              <w:top w:val="nil"/>
              <w:left w:val="single" w:color="auto" w:sz="4" w:space="0"/>
              <w:bottom w:val="single" w:color="auto" w:sz="4" w:space="0"/>
              <w:right w:val="single" w:color="auto" w:sz="4" w:space="0"/>
            </w:tcBorders>
            <w:vAlign w:val="center"/>
          </w:tcPr>
          <w:p w14:paraId="3DC070FF">
            <w:pPr>
              <w:widowControl/>
              <w:jc w:val="center"/>
              <w:rPr>
                <w:rFonts w:eastAsia="等线"/>
                <w:b/>
                <w:bCs/>
                <w:kern w:val="0"/>
                <w:sz w:val="18"/>
                <w:szCs w:val="18"/>
                <w:lang w:val="en-US"/>
              </w:rPr>
            </w:pPr>
            <w:r>
              <w:rPr>
                <w:rFonts w:hint="eastAsia" w:ascii="宋体" w:hAnsi="宋体" w:cs="宋体"/>
                <w:b/>
                <w:bCs/>
                <w:kern w:val="0"/>
                <w:sz w:val="18"/>
                <w:szCs w:val="18"/>
                <w:lang w:val="en-US"/>
              </w:rPr>
              <w:t>序号</w:t>
            </w:r>
          </w:p>
        </w:tc>
        <w:tc>
          <w:tcPr>
            <w:tcW w:w="1278" w:type="dxa"/>
            <w:tcBorders>
              <w:top w:val="nil"/>
              <w:left w:val="nil"/>
              <w:bottom w:val="single" w:color="auto" w:sz="4" w:space="0"/>
              <w:right w:val="single" w:color="auto" w:sz="4" w:space="0"/>
            </w:tcBorders>
            <w:vAlign w:val="center"/>
          </w:tcPr>
          <w:p w14:paraId="1ABBC726">
            <w:pPr>
              <w:widowControl/>
              <w:jc w:val="center"/>
              <w:rPr>
                <w:rFonts w:eastAsia="等线"/>
                <w:b/>
                <w:bCs/>
                <w:kern w:val="0"/>
                <w:sz w:val="18"/>
                <w:szCs w:val="18"/>
                <w:lang w:val="en-US"/>
              </w:rPr>
            </w:pPr>
            <w:r>
              <w:rPr>
                <w:rFonts w:hint="eastAsia" w:ascii="宋体" w:hAnsi="宋体" w:cs="宋体"/>
                <w:b/>
                <w:bCs/>
                <w:kern w:val="0"/>
                <w:sz w:val="18"/>
                <w:szCs w:val="18"/>
                <w:lang w:val="en-US"/>
              </w:rPr>
              <w:t>项目名称</w:t>
            </w:r>
          </w:p>
        </w:tc>
        <w:tc>
          <w:tcPr>
            <w:tcW w:w="3082" w:type="dxa"/>
            <w:vMerge w:val="restart"/>
            <w:tcBorders>
              <w:top w:val="nil"/>
              <w:left w:val="single" w:color="auto" w:sz="4" w:space="0"/>
              <w:bottom w:val="single" w:color="auto" w:sz="4" w:space="0"/>
              <w:right w:val="single" w:color="auto" w:sz="4" w:space="0"/>
            </w:tcBorders>
            <w:vAlign w:val="center"/>
          </w:tcPr>
          <w:p w14:paraId="30D3AE7C">
            <w:pPr>
              <w:widowControl/>
              <w:jc w:val="left"/>
              <w:rPr>
                <w:rFonts w:eastAsia="等线"/>
                <w:b/>
                <w:bCs/>
                <w:kern w:val="0"/>
                <w:sz w:val="18"/>
                <w:szCs w:val="18"/>
                <w:lang w:val="en-US"/>
              </w:rPr>
            </w:pPr>
            <w:r>
              <w:rPr>
                <w:rFonts w:hint="eastAsia" w:ascii="宋体" w:hAnsi="宋体"/>
                <w:b/>
                <w:bCs/>
                <w:kern w:val="0"/>
                <w:sz w:val="18"/>
                <w:szCs w:val="18"/>
                <w:lang w:val="en-US"/>
              </w:rPr>
              <w:t>工作内容</w:t>
            </w:r>
            <w:r>
              <w:rPr>
                <w:rFonts w:eastAsia="等线"/>
                <w:b/>
                <w:bCs/>
                <w:kern w:val="0"/>
                <w:sz w:val="18"/>
                <w:szCs w:val="18"/>
                <w:lang w:val="en-US"/>
              </w:rPr>
              <w:t xml:space="preserve">    Travaux spécifiques</w:t>
            </w:r>
          </w:p>
        </w:tc>
        <w:tc>
          <w:tcPr>
            <w:tcW w:w="908" w:type="dxa"/>
            <w:tcBorders>
              <w:top w:val="nil"/>
              <w:left w:val="single" w:color="auto" w:sz="4" w:space="0"/>
              <w:bottom w:val="single" w:color="auto" w:sz="4" w:space="0"/>
              <w:right w:val="single" w:color="auto" w:sz="4" w:space="0"/>
            </w:tcBorders>
            <w:vAlign w:val="center"/>
          </w:tcPr>
          <w:p w14:paraId="43D98EEF">
            <w:pPr>
              <w:widowControl/>
              <w:jc w:val="center"/>
            </w:pPr>
            <w:r>
              <w:rPr>
                <w:rFonts w:hint="eastAsia" w:ascii="宋体" w:hAnsi="宋体" w:cs="宋体"/>
                <w:b/>
                <w:bCs/>
                <w:kern w:val="0"/>
                <w:sz w:val="18"/>
                <w:szCs w:val="18"/>
                <w:lang w:val="en-US"/>
              </w:rPr>
              <w:t>工程量</w:t>
            </w:r>
          </w:p>
        </w:tc>
        <w:tc>
          <w:tcPr>
            <w:tcW w:w="646" w:type="dxa"/>
            <w:tcBorders>
              <w:top w:val="nil"/>
              <w:left w:val="nil"/>
              <w:bottom w:val="single" w:color="auto" w:sz="4" w:space="0"/>
              <w:right w:val="single" w:color="auto" w:sz="4" w:space="0"/>
            </w:tcBorders>
            <w:vAlign w:val="center"/>
          </w:tcPr>
          <w:p w14:paraId="0C4D3008">
            <w:pPr>
              <w:widowControl/>
              <w:jc w:val="center"/>
              <w:rPr>
                <w:rFonts w:eastAsia="等线"/>
                <w:b/>
                <w:bCs/>
                <w:kern w:val="0"/>
                <w:sz w:val="18"/>
                <w:szCs w:val="18"/>
                <w:lang w:val="en-US"/>
              </w:rPr>
            </w:pPr>
            <w:r>
              <w:rPr>
                <w:rFonts w:hint="eastAsia" w:ascii="宋体" w:hAnsi="宋体" w:cs="宋体"/>
                <w:b/>
                <w:bCs/>
                <w:kern w:val="0"/>
                <w:sz w:val="18"/>
                <w:szCs w:val="18"/>
                <w:lang w:val="en-US"/>
              </w:rPr>
              <w:t>单位</w:t>
            </w:r>
          </w:p>
        </w:tc>
        <w:tc>
          <w:tcPr>
            <w:tcW w:w="1019" w:type="dxa"/>
            <w:tcBorders>
              <w:top w:val="nil"/>
              <w:left w:val="nil"/>
              <w:bottom w:val="single" w:color="auto" w:sz="4" w:space="0"/>
              <w:right w:val="single" w:color="auto" w:sz="4" w:space="0"/>
            </w:tcBorders>
            <w:vAlign w:val="center"/>
          </w:tcPr>
          <w:p w14:paraId="08386825">
            <w:pPr>
              <w:widowControl/>
              <w:jc w:val="center"/>
            </w:pPr>
            <w:r>
              <w:rPr>
                <w:rFonts w:eastAsia="等线"/>
                <w:b/>
                <w:bCs/>
                <w:kern w:val="0"/>
                <w:sz w:val="18"/>
                <w:szCs w:val="18"/>
                <w:lang w:val="en-US"/>
              </w:rPr>
              <w:t xml:space="preserve"> </w:t>
            </w:r>
            <w:r>
              <w:rPr>
                <w:rFonts w:hint="eastAsia" w:ascii="宋体" w:hAnsi="宋体" w:cs="宋体"/>
                <w:b/>
                <w:bCs/>
                <w:kern w:val="0"/>
                <w:sz w:val="18"/>
                <w:szCs w:val="18"/>
                <w:lang w:val="en-US"/>
              </w:rPr>
              <w:t>单价USD（不含税））</w:t>
            </w:r>
            <w:r>
              <w:rPr>
                <w:rFonts w:eastAsia="等线"/>
                <w:b/>
                <w:bCs/>
                <w:kern w:val="0"/>
                <w:sz w:val="18"/>
                <w:szCs w:val="18"/>
                <w:lang w:val="en-US"/>
              </w:rPr>
              <w:t xml:space="preserve"> </w:t>
            </w:r>
          </w:p>
        </w:tc>
        <w:tc>
          <w:tcPr>
            <w:tcW w:w="1260" w:type="dxa"/>
            <w:tcBorders>
              <w:top w:val="nil"/>
              <w:left w:val="nil"/>
              <w:bottom w:val="single" w:color="auto" w:sz="4" w:space="0"/>
              <w:right w:val="single" w:color="auto" w:sz="4" w:space="0"/>
            </w:tcBorders>
            <w:vAlign w:val="center"/>
          </w:tcPr>
          <w:p w14:paraId="7700009F">
            <w:pPr>
              <w:widowControl/>
              <w:jc w:val="center"/>
              <w:rPr>
                <w:rFonts w:eastAsia="等线"/>
                <w:b/>
                <w:bCs/>
                <w:kern w:val="0"/>
                <w:sz w:val="18"/>
                <w:szCs w:val="18"/>
                <w:lang w:val="en-US"/>
              </w:rPr>
            </w:pPr>
            <w:r>
              <w:rPr>
                <w:rFonts w:hint="eastAsia" w:ascii="宋体" w:hAnsi="宋体" w:cs="宋体"/>
                <w:b/>
                <w:bCs/>
                <w:kern w:val="0"/>
                <w:sz w:val="18"/>
                <w:szCs w:val="18"/>
                <w:lang w:val="en-US"/>
              </w:rPr>
              <w:t>合价USD（不含税）</w:t>
            </w:r>
            <w:r>
              <w:rPr>
                <w:rFonts w:eastAsia="等线"/>
                <w:b/>
                <w:bCs/>
                <w:kern w:val="0"/>
                <w:sz w:val="18"/>
                <w:szCs w:val="18"/>
                <w:lang w:val="en-US"/>
              </w:rPr>
              <w:t xml:space="preserve"> </w:t>
            </w:r>
          </w:p>
        </w:tc>
        <w:tc>
          <w:tcPr>
            <w:tcW w:w="767" w:type="dxa"/>
            <w:tcBorders>
              <w:top w:val="nil"/>
              <w:left w:val="nil"/>
              <w:bottom w:val="single" w:color="auto" w:sz="4" w:space="0"/>
              <w:right w:val="single" w:color="auto" w:sz="4" w:space="0"/>
            </w:tcBorders>
            <w:vAlign w:val="center"/>
          </w:tcPr>
          <w:p w14:paraId="5624C1E8">
            <w:pPr>
              <w:widowControl/>
              <w:jc w:val="center"/>
              <w:rPr>
                <w:rFonts w:eastAsia="等线"/>
                <w:b/>
                <w:bCs/>
                <w:kern w:val="0"/>
                <w:sz w:val="18"/>
                <w:szCs w:val="18"/>
                <w:lang w:val="en-US"/>
              </w:rPr>
            </w:pPr>
          </w:p>
        </w:tc>
      </w:tr>
      <w:tr w14:paraId="72FA7EB0">
        <w:tblPrEx>
          <w:tblCellMar>
            <w:top w:w="0" w:type="dxa"/>
            <w:left w:w="108" w:type="dxa"/>
            <w:bottom w:w="0" w:type="dxa"/>
            <w:right w:w="108" w:type="dxa"/>
          </w:tblCellMar>
        </w:tblPrEx>
        <w:trPr>
          <w:gridAfter w:val="1"/>
          <w:wAfter w:w="13" w:type="dxa"/>
          <w:trHeight w:val="962" w:hRule="atLeast"/>
        </w:trPr>
        <w:tc>
          <w:tcPr>
            <w:tcW w:w="597" w:type="dxa"/>
            <w:tcBorders>
              <w:top w:val="nil"/>
              <w:left w:val="single" w:color="auto" w:sz="4" w:space="0"/>
              <w:bottom w:val="single" w:color="auto" w:sz="4" w:space="0"/>
              <w:right w:val="single" w:color="auto" w:sz="4" w:space="0"/>
            </w:tcBorders>
            <w:vAlign w:val="center"/>
          </w:tcPr>
          <w:p w14:paraId="514164E6">
            <w:pPr>
              <w:widowControl/>
              <w:jc w:val="center"/>
              <w:rPr>
                <w:rFonts w:eastAsia="等线"/>
                <w:kern w:val="0"/>
                <w:sz w:val="18"/>
                <w:szCs w:val="18"/>
                <w:lang w:val="en-US"/>
              </w:rPr>
            </w:pPr>
            <w:r>
              <w:rPr>
                <w:rFonts w:eastAsia="等线"/>
                <w:b/>
                <w:bCs/>
                <w:kern w:val="0"/>
                <w:sz w:val="18"/>
                <w:szCs w:val="18"/>
                <w:lang w:val="en-US"/>
              </w:rPr>
              <w:t>N</w:t>
            </w:r>
            <w:r>
              <w:rPr>
                <w:rFonts w:hint="eastAsia" w:ascii="宋体" w:hAnsi="宋体"/>
                <w:b/>
                <w:bCs/>
                <w:kern w:val="0"/>
                <w:sz w:val="18"/>
                <w:szCs w:val="18"/>
                <w:lang w:val="en-US"/>
              </w:rPr>
              <w:t>°</w:t>
            </w:r>
          </w:p>
        </w:tc>
        <w:tc>
          <w:tcPr>
            <w:tcW w:w="1278" w:type="dxa"/>
            <w:tcBorders>
              <w:top w:val="nil"/>
              <w:left w:val="single" w:color="auto" w:sz="4" w:space="0"/>
              <w:bottom w:val="single" w:color="000000" w:sz="4" w:space="0"/>
              <w:right w:val="single" w:color="auto" w:sz="4" w:space="0"/>
            </w:tcBorders>
            <w:vAlign w:val="center"/>
          </w:tcPr>
          <w:p w14:paraId="54C8AA57">
            <w:pPr>
              <w:widowControl/>
              <w:jc w:val="center"/>
              <w:rPr>
                <w:rFonts w:eastAsia="等线"/>
                <w:kern w:val="0"/>
                <w:sz w:val="18"/>
                <w:szCs w:val="18"/>
              </w:rPr>
            </w:pPr>
            <w:r>
              <w:rPr>
                <w:rFonts w:eastAsia="等线"/>
                <w:b/>
                <w:bCs/>
                <w:kern w:val="0"/>
                <w:sz w:val="18"/>
                <w:szCs w:val="18"/>
                <w:lang w:val="en-US"/>
              </w:rPr>
              <w:t>Nom du travail</w:t>
            </w:r>
          </w:p>
        </w:tc>
        <w:tc>
          <w:tcPr>
            <w:tcW w:w="3082" w:type="dxa"/>
            <w:vMerge w:val="continue"/>
            <w:tcBorders>
              <w:top w:val="nil"/>
              <w:left w:val="nil"/>
              <w:bottom w:val="single" w:color="auto" w:sz="4" w:space="0"/>
              <w:right w:val="single" w:color="auto" w:sz="4" w:space="0"/>
            </w:tcBorders>
            <w:vAlign w:val="center"/>
          </w:tcPr>
          <w:p w14:paraId="313B9CD4">
            <w:pPr>
              <w:widowControl/>
              <w:jc w:val="left"/>
              <w:rPr>
                <w:rFonts w:eastAsia="等线"/>
                <w:kern w:val="0"/>
                <w:sz w:val="18"/>
                <w:szCs w:val="18"/>
                <w:lang w:val="en-US"/>
              </w:rPr>
            </w:pPr>
          </w:p>
        </w:tc>
        <w:tc>
          <w:tcPr>
            <w:tcW w:w="908" w:type="dxa"/>
            <w:tcBorders>
              <w:top w:val="nil"/>
              <w:left w:val="nil"/>
              <w:bottom w:val="single" w:color="auto" w:sz="4" w:space="0"/>
              <w:right w:val="single" w:color="auto" w:sz="4" w:space="0"/>
            </w:tcBorders>
            <w:vAlign w:val="center"/>
          </w:tcPr>
          <w:p w14:paraId="56FC46F5">
            <w:pPr>
              <w:widowControl/>
              <w:jc w:val="center"/>
            </w:pPr>
            <w:r>
              <w:rPr>
                <w:rFonts w:hint="eastAsia" w:eastAsia="等线"/>
                <w:b/>
                <w:bCs/>
                <w:kern w:val="0"/>
                <w:sz w:val="18"/>
                <w:szCs w:val="18"/>
                <w:lang w:val="en-US"/>
              </w:rPr>
              <w:t>V</w:t>
            </w:r>
            <w:r>
              <w:rPr>
                <w:rFonts w:eastAsia="等线"/>
                <w:b/>
                <w:bCs/>
                <w:kern w:val="0"/>
                <w:sz w:val="18"/>
                <w:szCs w:val="18"/>
                <w:lang w:val="en-US"/>
              </w:rPr>
              <w:t>olumes</w:t>
            </w:r>
          </w:p>
        </w:tc>
        <w:tc>
          <w:tcPr>
            <w:tcW w:w="646" w:type="dxa"/>
            <w:tcBorders>
              <w:top w:val="nil"/>
              <w:left w:val="nil"/>
              <w:bottom w:val="single" w:color="auto" w:sz="4" w:space="0"/>
              <w:right w:val="single" w:color="auto" w:sz="4" w:space="0"/>
            </w:tcBorders>
            <w:vAlign w:val="center"/>
          </w:tcPr>
          <w:p w14:paraId="273B0BF5">
            <w:pPr>
              <w:widowControl/>
              <w:jc w:val="center"/>
              <w:rPr>
                <w:rFonts w:eastAsia="等线"/>
                <w:kern w:val="0"/>
                <w:sz w:val="18"/>
                <w:szCs w:val="18"/>
                <w:lang w:val="en-US"/>
              </w:rPr>
            </w:pPr>
            <w:r>
              <w:rPr>
                <w:rFonts w:hint="eastAsia" w:eastAsia="等线"/>
                <w:b/>
                <w:bCs/>
                <w:kern w:val="0"/>
                <w:sz w:val="18"/>
                <w:szCs w:val="18"/>
                <w:lang w:val="en-US"/>
              </w:rPr>
              <w:t>U</w:t>
            </w:r>
            <w:r>
              <w:rPr>
                <w:rFonts w:eastAsia="等线"/>
                <w:b/>
                <w:bCs/>
                <w:kern w:val="0"/>
                <w:sz w:val="18"/>
                <w:szCs w:val="18"/>
                <w:lang w:val="en-US"/>
              </w:rPr>
              <w:t>nité</w:t>
            </w:r>
          </w:p>
        </w:tc>
        <w:tc>
          <w:tcPr>
            <w:tcW w:w="1019" w:type="dxa"/>
            <w:tcBorders>
              <w:top w:val="nil"/>
              <w:left w:val="nil"/>
              <w:bottom w:val="single" w:color="auto" w:sz="4" w:space="0"/>
              <w:right w:val="single" w:color="auto" w:sz="4" w:space="0"/>
            </w:tcBorders>
            <w:vAlign w:val="center"/>
          </w:tcPr>
          <w:p w14:paraId="1F467F83">
            <w:pPr>
              <w:widowControl/>
              <w:jc w:val="center"/>
            </w:pPr>
            <w:r>
              <w:rPr>
                <w:rFonts w:hint="eastAsia" w:eastAsia="等线"/>
                <w:b/>
                <w:bCs/>
                <w:kern w:val="0"/>
                <w:sz w:val="18"/>
                <w:szCs w:val="18"/>
                <w:lang w:val="en-US"/>
              </w:rPr>
              <w:t>Prix unitaire USD (hors taxes)</w:t>
            </w:r>
          </w:p>
        </w:tc>
        <w:tc>
          <w:tcPr>
            <w:tcW w:w="1260" w:type="dxa"/>
            <w:tcBorders>
              <w:top w:val="nil"/>
              <w:left w:val="nil"/>
              <w:bottom w:val="single" w:color="auto" w:sz="4" w:space="0"/>
              <w:right w:val="single" w:color="auto" w:sz="4" w:space="0"/>
            </w:tcBorders>
            <w:vAlign w:val="center"/>
          </w:tcPr>
          <w:p w14:paraId="6E967F55">
            <w:pPr>
              <w:widowControl/>
              <w:jc w:val="center"/>
              <w:rPr>
                <w:rFonts w:ascii="宋体" w:hAnsi="宋体" w:cs="宋体"/>
                <w:kern w:val="0"/>
                <w:sz w:val="18"/>
                <w:szCs w:val="18"/>
                <w:lang w:val="en-US"/>
              </w:rPr>
            </w:pPr>
            <w:r>
              <w:rPr>
                <w:rFonts w:hint="eastAsia" w:eastAsia="等线"/>
                <w:b/>
                <w:bCs/>
                <w:kern w:val="0"/>
                <w:sz w:val="18"/>
                <w:szCs w:val="18"/>
                <w:lang w:val="en-US"/>
              </w:rPr>
              <w:t>Prix total USD (hors taxes)</w:t>
            </w:r>
          </w:p>
        </w:tc>
        <w:tc>
          <w:tcPr>
            <w:tcW w:w="767" w:type="dxa"/>
            <w:tcBorders>
              <w:top w:val="nil"/>
              <w:left w:val="nil"/>
              <w:bottom w:val="single" w:color="auto" w:sz="4" w:space="0"/>
              <w:right w:val="single" w:color="auto" w:sz="4" w:space="0"/>
            </w:tcBorders>
            <w:noWrap/>
            <w:vAlign w:val="center"/>
          </w:tcPr>
          <w:p w14:paraId="1E9FC94E">
            <w:pPr>
              <w:widowControl/>
              <w:jc w:val="center"/>
              <w:rPr>
                <w:rFonts w:eastAsia="等线"/>
                <w:kern w:val="0"/>
                <w:sz w:val="18"/>
                <w:szCs w:val="18"/>
                <w:lang w:val="en-US"/>
              </w:rPr>
            </w:pPr>
          </w:p>
        </w:tc>
      </w:tr>
      <w:tr w14:paraId="0B5E957F">
        <w:tblPrEx>
          <w:tblCellMar>
            <w:top w:w="0" w:type="dxa"/>
            <w:left w:w="108" w:type="dxa"/>
            <w:bottom w:w="0" w:type="dxa"/>
            <w:right w:w="108" w:type="dxa"/>
          </w:tblCellMar>
        </w:tblPrEx>
        <w:trPr>
          <w:gridAfter w:val="1"/>
          <w:wAfter w:w="13" w:type="dxa"/>
          <w:trHeight w:val="439" w:hRule="atLeast"/>
        </w:trPr>
        <w:tc>
          <w:tcPr>
            <w:tcW w:w="597" w:type="dxa"/>
            <w:vMerge w:val="restart"/>
            <w:tcBorders>
              <w:top w:val="nil"/>
              <w:left w:val="single" w:color="auto" w:sz="4" w:space="0"/>
              <w:bottom w:val="single" w:color="auto" w:sz="4" w:space="0"/>
              <w:right w:val="single" w:color="auto" w:sz="4" w:space="0"/>
            </w:tcBorders>
            <w:vAlign w:val="center"/>
          </w:tcPr>
          <w:p w14:paraId="0EDB1F79">
            <w:pPr>
              <w:widowControl/>
              <w:jc w:val="center"/>
              <w:rPr>
                <w:rFonts w:eastAsia="等线"/>
                <w:kern w:val="0"/>
                <w:sz w:val="18"/>
                <w:szCs w:val="18"/>
                <w:lang w:val="en-US"/>
              </w:rPr>
            </w:pPr>
            <w:r>
              <w:rPr>
                <w:rFonts w:eastAsia="等线"/>
                <w:kern w:val="0"/>
                <w:sz w:val="18"/>
                <w:szCs w:val="18"/>
                <w:lang w:val="en-US"/>
              </w:rPr>
              <w:t>2</w:t>
            </w:r>
          </w:p>
        </w:tc>
        <w:tc>
          <w:tcPr>
            <w:tcW w:w="1278" w:type="dxa"/>
            <w:vMerge w:val="restart"/>
            <w:tcBorders>
              <w:top w:val="nil"/>
              <w:left w:val="single" w:color="auto" w:sz="4" w:space="0"/>
              <w:bottom w:val="single" w:color="000000" w:sz="4" w:space="0"/>
              <w:right w:val="single" w:color="auto" w:sz="4" w:space="0"/>
            </w:tcBorders>
            <w:vAlign w:val="center"/>
          </w:tcPr>
          <w:p w14:paraId="0753306A">
            <w:pPr>
              <w:widowControl/>
              <w:jc w:val="center"/>
              <w:rPr>
                <w:rFonts w:eastAsia="等线"/>
                <w:kern w:val="0"/>
                <w:sz w:val="18"/>
                <w:szCs w:val="18"/>
              </w:rPr>
            </w:pPr>
            <w:r>
              <w:rPr>
                <w:rFonts w:eastAsia="等线"/>
                <w:kern w:val="0"/>
                <w:sz w:val="18"/>
                <w:szCs w:val="18"/>
              </w:rPr>
              <w:t>Konsatamy社区足球场</w:t>
            </w:r>
          </w:p>
          <w:p w14:paraId="1D75029D">
            <w:pPr>
              <w:widowControl/>
              <w:jc w:val="center"/>
              <w:rPr>
                <w:rFonts w:eastAsia="等线"/>
                <w:kern w:val="0"/>
                <w:sz w:val="18"/>
                <w:szCs w:val="18"/>
                <w:lang w:val="en-US"/>
              </w:rPr>
            </w:pPr>
            <w:r>
              <w:rPr>
                <w:rFonts w:hint="eastAsia" w:eastAsia="等线"/>
                <w:kern w:val="0"/>
                <w:sz w:val="18"/>
                <w:szCs w:val="18"/>
              </w:rPr>
              <w:t>T</w:t>
            </w:r>
            <w:r>
              <w:rPr>
                <w:rFonts w:eastAsia="等线"/>
                <w:kern w:val="0"/>
                <w:sz w:val="18"/>
                <w:szCs w:val="18"/>
              </w:rPr>
              <w:t>errain de football communautaire de Konsatamy</w:t>
            </w:r>
            <w:r>
              <w:rPr>
                <w:rFonts w:eastAsia="等线"/>
                <w:kern w:val="0"/>
                <w:sz w:val="18"/>
                <w:szCs w:val="18"/>
              </w:rPr>
              <w:br w:type="textWrapping"/>
            </w:r>
            <w:r>
              <w:rPr>
                <w:rFonts w:eastAsia="等线"/>
                <w:kern w:val="0"/>
                <w:sz w:val="18"/>
                <w:szCs w:val="18"/>
              </w:rPr>
              <w:t xml:space="preserve">  </w:t>
            </w:r>
            <w:r>
              <w:rPr>
                <w:rFonts w:hint="eastAsia" w:ascii="宋体" w:hAnsi="宋体"/>
                <w:kern w:val="0"/>
                <w:sz w:val="18"/>
                <w:szCs w:val="18"/>
              </w:rPr>
              <w:t>（</w:t>
            </w:r>
            <w:r>
              <w:rPr>
                <w:rFonts w:eastAsia="等线"/>
                <w:kern w:val="0"/>
                <w:sz w:val="18"/>
                <w:szCs w:val="18"/>
              </w:rPr>
              <w:t>S=8000</w:t>
            </w:r>
            <w:r>
              <w:rPr>
                <w:rFonts w:hint="eastAsia" w:ascii="宋体" w:hAnsi="宋体"/>
                <w:kern w:val="0"/>
                <w:sz w:val="18"/>
                <w:szCs w:val="18"/>
                <w:lang w:val="en-US"/>
              </w:rPr>
              <w:t>㎡</w:t>
            </w:r>
            <w:r>
              <w:rPr>
                <w:rFonts w:eastAsia="等线"/>
                <w:kern w:val="0"/>
                <w:sz w:val="18"/>
                <w:szCs w:val="18"/>
              </w:rPr>
              <w:t xml:space="preserve">  C=360m</w:t>
            </w:r>
            <w:r>
              <w:rPr>
                <w:rFonts w:hint="eastAsia" w:ascii="宋体" w:hAnsi="宋体"/>
                <w:kern w:val="0"/>
                <w:sz w:val="18"/>
                <w:szCs w:val="18"/>
              </w:rPr>
              <w:t>）</w:t>
            </w:r>
          </w:p>
        </w:tc>
        <w:tc>
          <w:tcPr>
            <w:tcW w:w="3082" w:type="dxa"/>
            <w:tcBorders>
              <w:top w:val="nil"/>
              <w:left w:val="nil"/>
              <w:bottom w:val="single" w:color="auto" w:sz="4" w:space="0"/>
              <w:right w:val="single" w:color="auto" w:sz="4" w:space="0"/>
            </w:tcBorders>
            <w:vAlign w:val="center"/>
          </w:tcPr>
          <w:p w14:paraId="2CF20C0A">
            <w:pPr>
              <w:widowControl/>
              <w:rPr>
                <w:rFonts w:eastAsia="等线"/>
                <w:kern w:val="0"/>
                <w:sz w:val="18"/>
                <w:szCs w:val="18"/>
                <w:lang w:val="en-US"/>
              </w:rPr>
            </w:pPr>
            <w:r>
              <w:rPr>
                <w:rFonts w:hint="eastAsia" w:ascii="宋体" w:hAnsi="宋体"/>
                <w:kern w:val="0"/>
                <w:sz w:val="18"/>
                <w:szCs w:val="18"/>
                <w:lang w:val="en-US"/>
              </w:rPr>
              <w:t>基层作业面清理</w:t>
            </w:r>
            <w:r>
              <w:rPr>
                <w:rFonts w:eastAsia="等线"/>
                <w:kern w:val="0"/>
                <w:sz w:val="18"/>
                <w:szCs w:val="18"/>
                <w:lang w:val="en-US"/>
              </w:rPr>
              <w:t>Nettoyage de la surface originale du terrain de football</w:t>
            </w:r>
          </w:p>
        </w:tc>
        <w:tc>
          <w:tcPr>
            <w:tcW w:w="908" w:type="dxa"/>
            <w:tcBorders>
              <w:top w:val="nil"/>
              <w:left w:val="nil"/>
              <w:bottom w:val="single" w:color="auto" w:sz="4" w:space="0"/>
              <w:right w:val="single" w:color="auto" w:sz="4" w:space="0"/>
            </w:tcBorders>
            <w:vAlign w:val="center"/>
          </w:tcPr>
          <w:p w14:paraId="5CC4AEA7">
            <w:pPr>
              <w:widowControl/>
              <w:jc w:val="center"/>
            </w:pPr>
            <w:r>
              <w:rPr>
                <w:rFonts w:eastAsia="等线"/>
                <w:kern w:val="0"/>
                <w:sz w:val="18"/>
                <w:szCs w:val="18"/>
                <w:lang w:val="en-US"/>
              </w:rPr>
              <w:t>8000</w:t>
            </w:r>
          </w:p>
        </w:tc>
        <w:tc>
          <w:tcPr>
            <w:tcW w:w="646" w:type="dxa"/>
            <w:tcBorders>
              <w:top w:val="nil"/>
              <w:left w:val="nil"/>
              <w:bottom w:val="single" w:color="auto" w:sz="4" w:space="0"/>
              <w:right w:val="single" w:color="auto" w:sz="4" w:space="0"/>
            </w:tcBorders>
            <w:vAlign w:val="center"/>
          </w:tcPr>
          <w:p w14:paraId="006D2067">
            <w:pPr>
              <w:widowControl/>
              <w:jc w:val="center"/>
              <w:rPr>
                <w:rFonts w:eastAsia="等线"/>
                <w:kern w:val="0"/>
                <w:sz w:val="18"/>
                <w:szCs w:val="18"/>
                <w:lang w:val="en-US"/>
              </w:rPr>
            </w:pPr>
            <w:r>
              <w:rPr>
                <w:rFonts w:hint="eastAsia" w:ascii="宋体" w:hAnsi="宋体" w:cs="宋体"/>
                <w:kern w:val="0"/>
                <w:sz w:val="18"/>
                <w:szCs w:val="18"/>
                <w:lang w:val="en-US"/>
              </w:rPr>
              <w:t>㎡</w:t>
            </w:r>
          </w:p>
        </w:tc>
        <w:tc>
          <w:tcPr>
            <w:tcW w:w="1019" w:type="dxa"/>
            <w:tcBorders>
              <w:top w:val="nil"/>
              <w:left w:val="nil"/>
              <w:bottom w:val="single" w:color="auto" w:sz="4" w:space="0"/>
              <w:right w:val="single" w:color="auto" w:sz="4" w:space="0"/>
            </w:tcBorders>
            <w:vAlign w:val="bottom"/>
          </w:tcPr>
          <w:p w14:paraId="7580B9D3">
            <w:pPr>
              <w:widowControl/>
              <w:jc w:val="left"/>
            </w:pPr>
          </w:p>
        </w:tc>
        <w:tc>
          <w:tcPr>
            <w:tcW w:w="1260" w:type="dxa"/>
            <w:tcBorders>
              <w:top w:val="nil"/>
              <w:left w:val="nil"/>
              <w:bottom w:val="single" w:color="auto" w:sz="4" w:space="0"/>
              <w:right w:val="single" w:color="auto" w:sz="4" w:space="0"/>
            </w:tcBorders>
            <w:vAlign w:val="bottom"/>
          </w:tcPr>
          <w:p w14:paraId="6665CC83">
            <w:pPr>
              <w:widowControl/>
              <w:jc w:val="left"/>
              <w:rPr>
                <w:rFonts w:ascii="宋体" w:hAnsi="宋体" w:cs="宋体"/>
                <w:kern w:val="0"/>
                <w:sz w:val="18"/>
                <w:szCs w:val="18"/>
                <w:lang w:val="en-US"/>
              </w:rPr>
            </w:pPr>
          </w:p>
        </w:tc>
        <w:tc>
          <w:tcPr>
            <w:tcW w:w="767" w:type="dxa"/>
            <w:tcBorders>
              <w:top w:val="nil"/>
              <w:left w:val="nil"/>
              <w:bottom w:val="single" w:color="auto" w:sz="4" w:space="0"/>
              <w:right w:val="single" w:color="auto" w:sz="4" w:space="0"/>
            </w:tcBorders>
            <w:noWrap/>
            <w:vAlign w:val="bottom"/>
          </w:tcPr>
          <w:p w14:paraId="6A63A284">
            <w:pPr>
              <w:widowControl/>
              <w:jc w:val="center"/>
              <w:rPr>
                <w:rFonts w:eastAsia="等线"/>
                <w:kern w:val="0"/>
                <w:sz w:val="18"/>
                <w:szCs w:val="18"/>
                <w:lang w:val="en-US"/>
              </w:rPr>
            </w:pPr>
            <w:r>
              <w:rPr>
                <w:rFonts w:eastAsia="等线"/>
                <w:kern w:val="0"/>
                <w:sz w:val="18"/>
                <w:szCs w:val="18"/>
                <w:lang w:val="en-US"/>
              </w:rPr>
              <w:t xml:space="preserve">          -   </w:t>
            </w:r>
          </w:p>
        </w:tc>
      </w:tr>
      <w:tr w14:paraId="3D394603">
        <w:tblPrEx>
          <w:tblCellMar>
            <w:top w:w="0" w:type="dxa"/>
            <w:left w:w="108" w:type="dxa"/>
            <w:bottom w:w="0" w:type="dxa"/>
            <w:right w:w="108" w:type="dxa"/>
          </w:tblCellMar>
        </w:tblPrEx>
        <w:trPr>
          <w:gridAfter w:val="1"/>
          <w:wAfter w:w="13" w:type="dxa"/>
          <w:trHeight w:val="439" w:hRule="atLeast"/>
        </w:trPr>
        <w:tc>
          <w:tcPr>
            <w:tcW w:w="597" w:type="dxa"/>
            <w:vMerge w:val="continue"/>
            <w:tcBorders>
              <w:top w:val="nil"/>
              <w:left w:val="single" w:color="auto" w:sz="4" w:space="0"/>
              <w:bottom w:val="single" w:color="auto" w:sz="4" w:space="0"/>
              <w:right w:val="single" w:color="auto" w:sz="4" w:space="0"/>
            </w:tcBorders>
            <w:vAlign w:val="center"/>
          </w:tcPr>
          <w:p w14:paraId="4699E00F">
            <w:pPr>
              <w:widowControl/>
              <w:jc w:val="center"/>
              <w:rPr>
                <w:rFonts w:eastAsia="等线"/>
                <w:kern w:val="0"/>
                <w:sz w:val="18"/>
                <w:szCs w:val="18"/>
                <w:lang w:val="en-US"/>
              </w:rPr>
            </w:pPr>
          </w:p>
        </w:tc>
        <w:tc>
          <w:tcPr>
            <w:tcW w:w="1278" w:type="dxa"/>
            <w:vMerge w:val="continue"/>
            <w:tcBorders>
              <w:top w:val="nil"/>
              <w:left w:val="single" w:color="auto" w:sz="4" w:space="0"/>
              <w:bottom w:val="single" w:color="000000" w:sz="4" w:space="0"/>
              <w:right w:val="single" w:color="auto" w:sz="4" w:space="0"/>
            </w:tcBorders>
            <w:vAlign w:val="center"/>
          </w:tcPr>
          <w:p w14:paraId="18357EC3">
            <w:pPr>
              <w:widowControl/>
              <w:jc w:val="center"/>
              <w:rPr>
                <w:rFonts w:eastAsia="等线"/>
                <w:kern w:val="0"/>
                <w:sz w:val="18"/>
                <w:szCs w:val="18"/>
                <w:lang w:val="en-US"/>
              </w:rPr>
            </w:pPr>
          </w:p>
        </w:tc>
        <w:tc>
          <w:tcPr>
            <w:tcW w:w="3082" w:type="dxa"/>
            <w:tcBorders>
              <w:top w:val="nil"/>
              <w:left w:val="nil"/>
              <w:bottom w:val="single" w:color="auto" w:sz="4" w:space="0"/>
              <w:right w:val="single" w:color="auto" w:sz="4" w:space="0"/>
            </w:tcBorders>
            <w:vAlign w:val="center"/>
          </w:tcPr>
          <w:p w14:paraId="574CB41D">
            <w:pPr>
              <w:widowControl/>
              <w:rPr>
                <w:rFonts w:eastAsia="等线"/>
                <w:kern w:val="0"/>
                <w:sz w:val="18"/>
                <w:szCs w:val="18"/>
                <w:lang w:val="en-US"/>
              </w:rPr>
            </w:pPr>
            <w:r>
              <w:rPr>
                <w:rFonts w:hint="eastAsia" w:ascii="宋体" w:hAnsi="宋体"/>
                <w:kern w:val="0"/>
                <w:sz w:val="18"/>
                <w:szCs w:val="18"/>
                <w:lang w:val="en-US"/>
              </w:rPr>
              <w:t>红土粒料摊铺、压实，厚度10cm</w:t>
            </w:r>
            <w:r>
              <w:rPr>
                <w:rFonts w:eastAsia="等线"/>
                <w:kern w:val="0"/>
                <w:sz w:val="18"/>
                <w:szCs w:val="18"/>
                <w:lang w:val="en-US"/>
              </w:rPr>
              <w:br w:type="textWrapping"/>
            </w:r>
            <w:r>
              <w:rPr>
                <w:rFonts w:eastAsia="等线"/>
                <w:kern w:val="0"/>
                <w:sz w:val="18"/>
                <w:szCs w:val="18"/>
                <w:lang w:val="en-US"/>
              </w:rPr>
              <w:t>Pose et compactage de granulés de latérite</w:t>
            </w:r>
          </w:p>
        </w:tc>
        <w:tc>
          <w:tcPr>
            <w:tcW w:w="908" w:type="dxa"/>
            <w:tcBorders>
              <w:top w:val="nil"/>
              <w:left w:val="nil"/>
              <w:bottom w:val="single" w:color="auto" w:sz="4" w:space="0"/>
              <w:right w:val="single" w:color="auto" w:sz="4" w:space="0"/>
            </w:tcBorders>
            <w:vAlign w:val="center"/>
          </w:tcPr>
          <w:p w14:paraId="34A69BFF">
            <w:pPr>
              <w:widowControl/>
              <w:jc w:val="center"/>
            </w:pPr>
            <w:r>
              <w:rPr>
                <w:rFonts w:hint="eastAsia" w:eastAsia="等线"/>
                <w:kern w:val="0"/>
                <w:sz w:val="18"/>
                <w:szCs w:val="18"/>
                <w:lang w:val="en-US"/>
              </w:rPr>
              <w:t>800</w:t>
            </w:r>
          </w:p>
        </w:tc>
        <w:tc>
          <w:tcPr>
            <w:tcW w:w="646" w:type="dxa"/>
            <w:tcBorders>
              <w:top w:val="nil"/>
              <w:left w:val="nil"/>
              <w:bottom w:val="single" w:color="auto" w:sz="4" w:space="0"/>
              <w:right w:val="single" w:color="auto" w:sz="4" w:space="0"/>
            </w:tcBorders>
            <w:vAlign w:val="center"/>
          </w:tcPr>
          <w:p w14:paraId="76BB48D8">
            <w:pPr>
              <w:widowControl/>
              <w:jc w:val="center"/>
              <w:rPr>
                <w:rFonts w:eastAsia="等线"/>
                <w:kern w:val="0"/>
                <w:sz w:val="18"/>
                <w:szCs w:val="18"/>
                <w:lang w:val="en-US"/>
              </w:rPr>
            </w:pPr>
            <w:r>
              <w:rPr>
                <w:rFonts w:hint="eastAsia" w:ascii="宋体" w:hAnsi="宋体" w:cs="宋体"/>
                <w:kern w:val="0"/>
                <w:sz w:val="18"/>
                <w:szCs w:val="18"/>
                <w:lang w:val="en-US"/>
              </w:rPr>
              <w:t>m</w:t>
            </w:r>
            <w:r>
              <w:rPr>
                <w:rFonts w:hint="eastAsia" w:ascii="宋体" w:hAnsi="宋体" w:cs="宋体"/>
                <w:kern w:val="0"/>
                <w:sz w:val="18"/>
                <w:szCs w:val="18"/>
                <w:vertAlign w:val="superscript"/>
                <w:lang w:val="en-US"/>
              </w:rPr>
              <w:t>3</w:t>
            </w:r>
          </w:p>
        </w:tc>
        <w:tc>
          <w:tcPr>
            <w:tcW w:w="1019" w:type="dxa"/>
            <w:tcBorders>
              <w:top w:val="nil"/>
              <w:left w:val="nil"/>
              <w:bottom w:val="single" w:color="auto" w:sz="4" w:space="0"/>
              <w:right w:val="single" w:color="auto" w:sz="4" w:space="0"/>
            </w:tcBorders>
            <w:vAlign w:val="bottom"/>
          </w:tcPr>
          <w:p w14:paraId="09E6840D">
            <w:pPr>
              <w:widowControl/>
              <w:jc w:val="left"/>
            </w:pPr>
          </w:p>
        </w:tc>
        <w:tc>
          <w:tcPr>
            <w:tcW w:w="1260" w:type="dxa"/>
            <w:tcBorders>
              <w:top w:val="nil"/>
              <w:left w:val="nil"/>
              <w:bottom w:val="single" w:color="auto" w:sz="4" w:space="0"/>
              <w:right w:val="single" w:color="auto" w:sz="4" w:space="0"/>
            </w:tcBorders>
            <w:vAlign w:val="bottom"/>
          </w:tcPr>
          <w:p w14:paraId="6B64AAAE">
            <w:pPr>
              <w:widowControl/>
              <w:jc w:val="left"/>
              <w:rPr>
                <w:rFonts w:eastAsia="等线"/>
                <w:kern w:val="0"/>
                <w:sz w:val="18"/>
                <w:szCs w:val="18"/>
                <w:lang w:val="en-US"/>
              </w:rPr>
            </w:pPr>
          </w:p>
        </w:tc>
        <w:tc>
          <w:tcPr>
            <w:tcW w:w="767" w:type="dxa"/>
            <w:tcBorders>
              <w:top w:val="nil"/>
              <w:left w:val="nil"/>
              <w:bottom w:val="single" w:color="auto" w:sz="4" w:space="0"/>
              <w:right w:val="single" w:color="auto" w:sz="4" w:space="0"/>
            </w:tcBorders>
            <w:noWrap/>
            <w:vAlign w:val="bottom"/>
          </w:tcPr>
          <w:p w14:paraId="0FF4CBC0">
            <w:pPr>
              <w:widowControl/>
              <w:jc w:val="center"/>
              <w:rPr>
                <w:rFonts w:eastAsia="等线"/>
                <w:kern w:val="0"/>
                <w:sz w:val="18"/>
                <w:szCs w:val="18"/>
                <w:lang w:val="en-US"/>
              </w:rPr>
            </w:pPr>
            <w:r>
              <w:rPr>
                <w:rFonts w:hint="eastAsia" w:eastAsia="等线"/>
                <w:kern w:val="0"/>
                <w:sz w:val="18"/>
                <w:szCs w:val="18"/>
                <w:lang w:val="en-US"/>
              </w:rPr>
              <w:t>暂定工程量（Les V</w:t>
            </w:r>
            <w:r>
              <w:rPr>
                <w:rFonts w:eastAsia="等线"/>
                <w:kern w:val="0"/>
                <w:sz w:val="18"/>
                <w:szCs w:val="18"/>
                <w:lang w:val="en-US"/>
              </w:rPr>
              <w:t>olumes</w:t>
            </w:r>
            <w:r>
              <w:rPr>
                <w:rFonts w:hint="eastAsia" w:eastAsia="等线"/>
                <w:kern w:val="0"/>
                <w:sz w:val="18"/>
                <w:szCs w:val="18"/>
                <w:lang w:val="en-US"/>
              </w:rPr>
              <w:t xml:space="preserve"> sont </w:t>
            </w:r>
            <w:r>
              <w:rPr>
                <w:rFonts w:ascii="Segoe UI" w:hAnsi="Segoe UI" w:eastAsia="Segoe UI" w:cs="Segoe UI"/>
                <w:sz w:val="16"/>
                <w:szCs w:val="16"/>
                <w:shd w:val="clear" w:color="auto" w:fill="FFFFFF"/>
              </w:rPr>
              <w:t>provisoire</w:t>
            </w:r>
            <w:r>
              <w:rPr>
                <w:rFonts w:hint="eastAsia" w:ascii="Segoe UI" w:hAnsi="Segoe UI" w:cs="Segoe UI"/>
                <w:sz w:val="16"/>
                <w:szCs w:val="16"/>
                <w:shd w:val="clear" w:color="auto" w:fill="FFFFFF"/>
                <w:lang w:val="en-US"/>
              </w:rPr>
              <w:t>s</w:t>
            </w:r>
            <w:r>
              <w:rPr>
                <w:rFonts w:hint="eastAsia" w:eastAsia="等线"/>
                <w:kern w:val="0"/>
                <w:sz w:val="18"/>
                <w:szCs w:val="18"/>
                <w:lang w:val="en-US"/>
              </w:rPr>
              <w:t>）</w:t>
            </w:r>
          </w:p>
        </w:tc>
      </w:tr>
      <w:tr w14:paraId="5902D0E0">
        <w:tblPrEx>
          <w:tblCellMar>
            <w:top w:w="0" w:type="dxa"/>
            <w:left w:w="108" w:type="dxa"/>
            <w:bottom w:w="0" w:type="dxa"/>
            <w:right w:w="108" w:type="dxa"/>
          </w:tblCellMar>
        </w:tblPrEx>
        <w:trPr>
          <w:gridAfter w:val="1"/>
          <w:wAfter w:w="13" w:type="dxa"/>
          <w:trHeight w:val="659" w:hRule="atLeast"/>
        </w:trPr>
        <w:tc>
          <w:tcPr>
            <w:tcW w:w="597" w:type="dxa"/>
            <w:vMerge w:val="continue"/>
            <w:tcBorders>
              <w:top w:val="nil"/>
              <w:left w:val="single" w:color="auto" w:sz="4" w:space="0"/>
              <w:bottom w:val="single" w:color="auto" w:sz="4" w:space="0"/>
              <w:right w:val="single" w:color="auto" w:sz="4" w:space="0"/>
            </w:tcBorders>
            <w:vAlign w:val="center"/>
          </w:tcPr>
          <w:p w14:paraId="593FC2F2">
            <w:pPr>
              <w:widowControl/>
              <w:jc w:val="left"/>
              <w:rPr>
                <w:rFonts w:eastAsia="等线"/>
                <w:kern w:val="0"/>
                <w:sz w:val="18"/>
                <w:szCs w:val="18"/>
                <w:lang w:val="en-US"/>
              </w:rPr>
            </w:pPr>
          </w:p>
        </w:tc>
        <w:tc>
          <w:tcPr>
            <w:tcW w:w="1278" w:type="dxa"/>
            <w:vMerge w:val="continue"/>
            <w:tcBorders>
              <w:top w:val="nil"/>
              <w:left w:val="single" w:color="auto" w:sz="4" w:space="0"/>
              <w:bottom w:val="single" w:color="000000" w:sz="4" w:space="0"/>
              <w:right w:val="single" w:color="auto" w:sz="4" w:space="0"/>
            </w:tcBorders>
            <w:vAlign w:val="center"/>
          </w:tcPr>
          <w:p w14:paraId="7E26A04B">
            <w:pPr>
              <w:widowControl/>
              <w:jc w:val="left"/>
              <w:rPr>
                <w:rFonts w:eastAsia="等线"/>
                <w:kern w:val="0"/>
                <w:sz w:val="18"/>
                <w:szCs w:val="18"/>
                <w:lang w:val="en-US"/>
              </w:rPr>
            </w:pPr>
          </w:p>
        </w:tc>
        <w:tc>
          <w:tcPr>
            <w:tcW w:w="3082" w:type="dxa"/>
            <w:tcBorders>
              <w:top w:val="nil"/>
              <w:left w:val="nil"/>
              <w:bottom w:val="single" w:color="auto" w:sz="4" w:space="0"/>
              <w:right w:val="single" w:color="auto" w:sz="4" w:space="0"/>
            </w:tcBorders>
            <w:vAlign w:val="center"/>
          </w:tcPr>
          <w:p w14:paraId="2AE04A0B">
            <w:pPr>
              <w:widowControl/>
              <w:rPr>
                <w:rFonts w:ascii="宋体" w:hAnsi="宋体"/>
                <w:kern w:val="0"/>
                <w:sz w:val="18"/>
                <w:szCs w:val="18"/>
                <w:lang w:val="en-US"/>
              </w:rPr>
            </w:pPr>
            <w:r>
              <w:rPr>
                <w:rFonts w:hint="eastAsia" w:ascii="宋体" w:hAnsi="宋体"/>
                <w:kern w:val="0"/>
                <w:sz w:val="18"/>
                <w:szCs w:val="18"/>
                <w:lang w:val="en-US"/>
              </w:rPr>
              <w:t>足球场四周排水沟进行修整</w:t>
            </w:r>
            <w:r>
              <w:rPr>
                <w:rFonts w:eastAsia="等线"/>
                <w:kern w:val="0"/>
                <w:sz w:val="18"/>
                <w:szCs w:val="18"/>
                <w:lang w:val="en-US"/>
              </w:rPr>
              <w:t xml:space="preserve"> </w:t>
            </w:r>
            <w:r>
              <w:rPr>
                <w:rFonts w:hint="eastAsia" w:ascii="宋体" w:hAnsi="宋体"/>
                <w:kern w:val="0"/>
                <w:sz w:val="18"/>
                <w:szCs w:val="18"/>
                <w:lang w:val="en-US"/>
              </w:rPr>
              <w:t>（宽40cm 深30cm）</w:t>
            </w:r>
            <w:r>
              <w:rPr>
                <w:rFonts w:eastAsia="等线"/>
                <w:kern w:val="0"/>
                <w:sz w:val="18"/>
                <w:szCs w:val="18"/>
                <w:lang w:val="en-US"/>
              </w:rPr>
              <w:br w:type="textWrapping"/>
            </w:r>
            <w:r>
              <w:rPr>
                <w:rFonts w:eastAsia="等线"/>
                <w:kern w:val="0"/>
                <w:sz w:val="18"/>
                <w:szCs w:val="18"/>
                <w:lang w:val="en-US"/>
              </w:rPr>
              <w:t>Réhabilitation des fossés de drainage  (largeur : 40 cm, profondeur : 30 cm)</w:t>
            </w:r>
            <w:r>
              <w:rPr>
                <w:rFonts w:hint="eastAsia" w:eastAsia="等线"/>
                <w:kern w:val="0"/>
                <w:sz w:val="18"/>
                <w:szCs w:val="18"/>
                <w:lang w:val="en-US"/>
              </w:rPr>
              <w:t xml:space="preserve"> </w:t>
            </w:r>
            <w:r>
              <w:rPr>
                <w:rFonts w:eastAsia="等线"/>
                <w:kern w:val="0"/>
                <w:sz w:val="18"/>
                <w:szCs w:val="18"/>
                <w:lang w:val="en-US"/>
              </w:rPr>
              <w:t>autour des terrains de football</w:t>
            </w:r>
          </w:p>
        </w:tc>
        <w:tc>
          <w:tcPr>
            <w:tcW w:w="908" w:type="dxa"/>
            <w:tcBorders>
              <w:top w:val="nil"/>
              <w:left w:val="nil"/>
              <w:bottom w:val="single" w:color="auto" w:sz="4" w:space="0"/>
              <w:right w:val="single" w:color="auto" w:sz="4" w:space="0"/>
            </w:tcBorders>
            <w:vAlign w:val="center"/>
          </w:tcPr>
          <w:p w14:paraId="798557F1">
            <w:pPr>
              <w:widowControl/>
              <w:jc w:val="center"/>
            </w:pPr>
            <w:r>
              <w:rPr>
                <w:rFonts w:eastAsia="等线"/>
                <w:kern w:val="0"/>
                <w:sz w:val="18"/>
                <w:szCs w:val="18"/>
                <w:lang w:val="en-US"/>
              </w:rPr>
              <w:t>360</w:t>
            </w:r>
          </w:p>
        </w:tc>
        <w:tc>
          <w:tcPr>
            <w:tcW w:w="646" w:type="dxa"/>
            <w:tcBorders>
              <w:top w:val="nil"/>
              <w:left w:val="nil"/>
              <w:bottom w:val="single" w:color="auto" w:sz="4" w:space="0"/>
              <w:right w:val="single" w:color="auto" w:sz="4" w:space="0"/>
            </w:tcBorders>
            <w:vAlign w:val="center"/>
          </w:tcPr>
          <w:p w14:paraId="0B8BB17D">
            <w:pPr>
              <w:widowControl/>
              <w:jc w:val="center"/>
              <w:rPr>
                <w:rFonts w:eastAsia="等线"/>
                <w:kern w:val="0"/>
                <w:sz w:val="18"/>
                <w:szCs w:val="18"/>
                <w:lang w:val="en-US"/>
              </w:rPr>
            </w:pPr>
            <w:r>
              <w:rPr>
                <w:rFonts w:eastAsia="等线"/>
                <w:kern w:val="0"/>
                <w:sz w:val="18"/>
                <w:szCs w:val="18"/>
                <w:lang w:val="en-US"/>
              </w:rPr>
              <w:t>m</w:t>
            </w:r>
          </w:p>
        </w:tc>
        <w:tc>
          <w:tcPr>
            <w:tcW w:w="1019" w:type="dxa"/>
            <w:tcBorders>
              <w:top w:val="nil"/>
              <w:left w:val="nil"/>
              <w:bottom w:val="single" w:color="auto" w:sz="4" w:space="0"/>
              <w:right w:val="single" w:color="auto" w:sz="4" w:space="0"/>
            </w:tcBorders>
            <w:vAlign w:val="bottom"/>
          </w:tcPr>
          <w:p w14:paraId="0924C27C">
            <w:pPr>
              <w:widowControl/>
              <w:jc w:val="left"/>
            </w:pPr>
          </w:p>
        </w:tc>
        <w:tc>
          <w:tcPr>
            <w:tcW w:w="1260" w:type="dxa"/>
            <w:tcBorders>
              <w:top w:val="nil"/>
              <w:left w:val="nil"/>
              <w:bottom w:val="single" w:color="auto" w:sz="4" w:space="0"/>
              <w:right w:val="single" w:color="auto" w:sz="4" w:space="0"/>
            </w:tcBorders>
            <w:vAlign w:val="bottom"/>
          </w:tcPr>
          <w:p w14:paraId="6245B9C1">
            <w:pPr>
              <w:widowControl/>
              <w:jc w:val="left"/>
              <w:rPr>
                <w:rFonts w:eastAsia="等线"/>
                <w:kern w:val="0"/>
                <w:sz w:val="18"/>
                <w:szCs w:val="18"/>
                <w:lang w:val="en-US"/>
              </w:rPr>
            </w:pPr>
          </w:p>
        </w:tc>
        <w:tc>
          <w:tcPr>
            <w:tcW w:w="767" w:type="dxa"/>
            <w:tcBorders>
              <w:top w:val="nil"/>
              <w:left w:val="nil"/>
              <w:bottom w:val="single" w:color="auto" w:sz="4" w:space="0"/>
              <w:right w:val="single" w:color="auto" w:sz="4" w:space="0"/>
            </w:tcBorders>
            <w:noWrap/>
            <w:vAlign w:val="bottom"/>
          </w:tcPr>
          <w:p w14:paraId="27F40F7C">
            <w:pPr>
              <w:widowControl/>
              <w:jc w:val="center"/>
              <w:rPr>
                <w:rFonts w:eastAsia="等线"/>
                <w:kern w:val="0"/>
                <w:sz w:val="18"/>
                <w:szCs w:val="18"/>
                <w:lang w:val="en-US"/>
              </w:rPr>
            </w:pPr>
            <w:r>
              <w:rPr>
                <w:rFonts w:eastAsia="等线"/>
                <w:kern w:val="0"/>
                <w:sz w:val="18"/>
                <w:szCs w:val="18"/>
                <w:lang w:val="en-US"/>
              </w:rPr>
              <w:t xml:space="preserve">          -   </w:t>
            </w:r>
          </w:p>
        </w:tc>
      </w:tr>
      <w:tr w14:paraId="38C01899">
        <w:tblPrEx>
          <w:tblCellMar>
            <w:top w:w="0" w:type="dxa"/>
            <w:left w:w="108" w:type="dxa"/>
            <w:bottom w:w="0" w:type="dxa"/>
            <w:right w:w="108" w:type="dxa"/>
          </w:tblCellMar>
        </w:tblPrEx>
        <w:trPr>
          <w:gridAfter w:val="1"/>
          <w:wAfter w:w="13" w:type="dxa"/>
          <w:trHeight w:val="659" w:hRule="atLeast"/>
        </w:trPr>
        <w:tc>
          <w:tcPr>
            <w:tcW w:w="597" w:type="dxa"/>
            <w:vMerge w:val="continue"/>
            <w:tcBorders>
              <w:top w:val="nil"/>
              <w:left w:val="single" w:color="auto" w:sz="4" w:space="0"/>
              <w:bottom w:val="single" w:color="auto" w:sz="4" w:space="0"/>
              <w:right w:val="single" w:color="auto" w:sz="4" w:space="0"/>
            </w:tcBorders>
            <w:vAlign w:val="center"/>
          </w:tcPr>
          <w:p w14:paraId="5C14107E">
            <w:pPr>
              <w:widowControl/>
              <w:jc w:val="left"/>
              <w:rPr>
                <w:rFonts w:eastAsia="等线"/>
                <w:kern w:val="0"/>
                <w:sz w:val="18"/>
                <w:szCs w:val="18"/>
                <w:lang w:val="en-US"/>
              </w:rPr>
            </w:pPr>
          </w:p>
        </w:tc>
        <w:tc>
          <w:tcPr>
            <w:tcW w:w="1278" w:type="dxa"/>
            <w:vMerge w:val="continue"/>
            <w:tcBorders>
              <w:top w:val="nil"/>
              <w:left w:val="single" w:color="auto" w:sz="4" w:space="0"/>
              <w:bottom w:val="single" w:color="000000" w:sz="4" w:space="0"/>
              <w:right w:val="single" w:color="auto" w:sz="4" w:space="0"/>
            </w:tcBorders>
            <w:vAlign w:val="center"/>
          </w:tcPr>
          <w:p w14:paraId="08C999ED">
            <w:pPr>
              <w:widowControl/>
              <w:jc w:val="left"/>
              <w:rPr>
                <w:rFonts w:eastAsia="等线"/>
                <w:kern w:val="0"/>
                <w:sz w:val="18"/>
                <w:szCs w:val="18"/>
                <w:lang w:val="en-US"/>
              </w:rPr>
            </w:pPr>
          </w:p>
        </w:tc>
        <w:tc>
          <w:tcPr>
            <w:tcW w:w="3082" w:type="dxa"/>
            <w:tcBorders>
              <w:top w:val="nil"/>
              <w:left w:val="nil"/>
              <w:bottom w:val="single" w:color="auto" w:sz="4" w:space="0"/>
              <w:right w:val="single" w:color="auto" w:sz="4" w:space="0"/>
            </w:tcBorders>
            <w:vAlign w:val="center"/>
          </w:tcPr>
          <w:p w14:paraId="3922DF02">
            <w:pPr>
              <w:widowControl/>
              <w:rPr>
                <w:rFonts w:eastAsia="等线"/>
                <w:kern w:val="0"/>
                <w:sz w:val="18"/>
                <w:szCs w:val="18"/>
                <w:lang w:val="en-US"/>
              </w:rPr>
            </w:pPr>
            <w:r>
              <w:rPr>
                <w:rFonts w:hint="eastAsia" w:ascii="宋体" w:hAnsi="宋体"/>
                <w:kern w:val="0"/>
                <w:sz w:val="18"/>
                <w:szCs w:val="18"/>
                <w:lang w:val="en-US"/>
              </w:rPr>
              <w:t>砖砌长凳（宽</w:t>
            </w:r>
            <w:r>
              <w:rPr>
                <w:rFonts w:eastAsia="等线"/>
                <w:kern w:val="0"/>
                <w:sz w:val="18"/>
                <w:szCs w:val="18"/>
                <w:lang w:val="en-US"/>
              </w:rPr>
              <w:t xml:space="preserve">50cm  </w:t>
            </w:r>
            <w:r>
              <w:rPr>
                <w:rFonts w:hint="eastAsia" w:ascii="宋体" w:hAnsi="宋体"/>
                <w:kern w:val="0"/>
                <w:sz w:val="18"/>
                <w:szCs w:val="18"/>
                <w:lang w:val="en-US"/>
              </w:rPr>
              <w:t>高</w:t>
            </w:r>
            <w:r>
              <w:rPr>
                <w:rFonts w:eastAsia="等线"/>
                <w:kern w:val="0"/>
                <w:sz w:val="18"/>
                <w:szCs w:val="18"/>
                <w:lang w:val="en-US"/>
              </w:rPr>
              <w:t>45cm</w:t>
            </w:r>
            <w:r>
              <w:rPr>
                <w:rFonts w:hint="eastAsia" w:ascii="宋体" w:hAnsi="宋体"/>
                <w:kern w:val="0"/>
                <w:sz w:val="18"/>
                <w:szCs w:val="18"/>
                <w:lang w:val="en-US"/>
              </w:rPr>
              <w:t>）</w:t>
            </w:r>
            <w:r>
              <w:rPr>
                <w:rFonts w:hint="eastAsia" w:ascii="宋体" w:hAnsi="宋体"/>
                <w:kern w:val="0"/>
                <w:sz w:val="18"/>
                <w:szCs w:val="18"/>
                <w:lang w:val="en-US"/>
              </w:rPr>
              <w:br w:type="textWrapping"/>
            </w:r>
            <w:r>
              <w:rPr>
                <w:rFonts w:eastAsia="等线"/>
                <w:kern w:val="0"/>
                <w:sz w:val="18"/>
                <w:szCs w:val="18"/>
                <w:lang w:val="en-US"/>
              </w:rPr>
              <w:t>Utiliser des bancs en maçonnerie de briques (50 cm de large et 45 cm de haut).</w:t>
            </w:r>
          </w:p>
        </w:tc>
        <w:tc>
          <w:tcPr>
            <w:tcW w:w="908" w:type="dxa"/>
            <w:tcBorders>
              <w:top w:val="nil"/>
              <w:left w:val="nil"/>
              <w:bottom w:val="single" w:color="auto" w:sz="4" w:space="0"/>
              <w:right w:val="single" w:color="auto" w:sz="4" w:space="0"/>
            </w:tcBorders>
            <w:vAlign w:val="center"/>
          </w:tcPr>
          <w:p w14:paraId="09D21543">
            <w:pPr>
              <w:widowControl/>
              <w:jc w:val="center"/>
            </w:pPr>
            <w:r>
              <w:rPr>
                <w:rFonts w:eastAsia="等线"/>
                <w:kern w:val="0"/>
                <w:sz w:val="18"/>
                <w:szCs w:val="18"/>
                <w:lang w:val="en-US"/>
              </w:rPr>
              <w:t>30</w:t>
            </w:r>
          </w:p>
        </w:tc>
        <w:tc>
          <w:tcPr>
            <w:tcW w:w="646" w:type="dxa"/>
            <w:tcBorders>
              <w:top w:val="nil"/>
              <w:left w:val="nil"/>
              <w:bottom w:val="single" w:color="auto" w:sz="4" w:space="0"/>
              <w:right w:val="single" w:color="auto" w:sz="4" w:space="0"/>
            </w:tcBorders>
            <w:vAlign w:val="center"/>
          </w:tcPr>
          <w:p w14:paraId="5B867465">
            <w:pPr>
              <w:widowControl/>
              <w:jc w:val="center"/>
              <w:rPr>
                <w:rFonts w:eastAsia="等线"/>
                <w:kern w:val="0"/>
                <w:sz w:val="18"/>
                <w:szCs w:val="18"/>
                <w:lang w:val="en-US"/>
              </w:rPr>
            </w:pPr>
            <w:r>
              <w:rPr>
                <w:rFonts w:eastAsia="等线"/>
                <w:kern w:val="0"/>
                <w:sz w:val="18"/>
                <w:szCs w:val="18"/>
                <w:lang w:val="en-US"/>
              </w:rPr>
              <w:t>m</w:t>
            </w:r>
          </w:p>
        </w:tc>
        <w:tc>
          <w:tcPr>
            <w:tcW w:w="1019" w:type="dxa"/>
            <w:tcBorders>
              <w:top w:val="nil"/>
              <w:left w:val="nil"/>
              <w:bottom w:val="single" w:color="auto" w:sz="4" w:space="0"/>
              <w:right w:val="single" w:color="auto" w:sz="4" w:space="0"/>
            </w:tcBorders>
            <w:vAlign w:val="bottom"/>
          </w:tcPr>
          <w:p w14:paraId="502C245A">
            <w:pPr>
              <w:widowControl/>
              <w:jc w:val="left"/>
            </w:pPr>
          </w:p>
        </w:tc>
        <w:tc>
          <w:tcPr>
            <w:tcW w:w="1260" w:type="dxa"/>
            <w:tcBorders>
              <w:top w:val="nil"/>
              <w:left w:val="nil"/>
              <w:bottom w:val="single" w:color="auto" w:sz="4" w:space="0"/>
              <w:right w:val="single" w:color="auto" w:sz="4" w:space="0"/>
            </w:tcBorders>
            <w:vAlign w:val="bottom"/>
          </w:tcPr>
          <w:p w14:paraId="487B6C7B">
            <w:pPr>
              <w:widowControl/>
              <w:jc w:val="left"/>
              <w:rPr>
                <w:rFonts w:eastAsia="等线"/>
                <w:kern w:val="0"/>
                <w:sz w:val="18"/>
                <w:szCs w:val="18"/>
                <w:lang w:val="en-US"/>
              </w:rPr>
            </w:pPr>
          </w:p>
        </w:tc>
        <w:tc>
          <w:tcPr>
            <w:tcW w:w="767" w:type="dxa"/>
            <w:tcBorders>
              <w:top w:val="nil"/>
              <w:left w:val="nil"/>
              <w:bottom w:val="single" w:color="auto" w:sz="4" w:space="0"/>
              <w:right w:val="single" w:color="auto" w:sz="4" w:space="0"/>
            </w:tcBorders>
            <w:noWrap/>
            <w:vAlign w:val="bottom"/>
          </w:tcPr>
          <w:p w14:paraId="41FD9814">
            <w:pPr>
              <w:widowControl/>
              <w:jc w:val="left"/>
              <w:rPr>
                <w:rFonts w:eastAsia="等线"/>
                <w:kern w:val="0"/>
                <w:sz w:val="18"/>
                <w:szCs w:val="18"/>
                <w:lang w:val="en-US"/>
              </w:rPr>
            </w:pPr>
            <w:r>
              <w:rPr>
                <w:rFonts w:eastAsia="等线"/>
                <w:kern w:val="0"/>
                <w:sz w:val="18"/>
                <w:szCs w:val="18"/>
                <w:lang w:val="en-US"/>
              </w:rPr>
              <w:t xml:space="preserve">          -   </w:t>
            </w:r>
          </w:p>
        </w:tc>
      </w:tr>
      <w:tr w14:paraId="0353967B">
        <w:tblPrEx>
          <w:tblCellMar>
            <w:top w:w="0" w:type="dxa"/>
            <w:left w:w="108" w:type="dxa"/>
            <w:bottom w:w="0" w:type="dxa"/>
            <w:right w:w="108" w:type="dxa"/>
          </w:tblCellMar>
        </w:tblPrEx>
        <w:trPr>
          <w:gridAfter w:val="1"/>
          <w:wAfter w:w="13" w:type="dxa"/>
          <w:trHeight w:val="439" w:hRule="atLeast"/>
        </w:trPr>
        <w:tc>
          <w:tcPr>
            <w:tcW w:w="597" w:type="dxa"/>
            <w:vMerge w:val="continue"/>
            <w:tcBorders>
              <w:top w:val="nil"/>
              <w:left w:val="single" w:color="auto" w:sz="4" w:space="0"/>
              <w:bottom w:val="single" w:color="auto" w:sz="4" w:space="0"/>
              <w:right w:val="single" w:color="auto" w:sz="4" w:space="0"/>
            </w:tcBorders>
            <w:vAlign w:val="center"/>
          </w:tcPr>
          <w:p w14:paraId="3C7C7D8C">
            <w:pPr>
              <w:widowControl/>
              <w:jc w:val="left"/>
              <w:rPr>
                <w:rFonts w:eastAsia="等线"/>
                <w:kern w:val="0"/>
                <w:sz w:val="18"/>
                <w:szCs w:val="18"/>
                <w:lang w:val="en-US"/>
              </w:rPr>
            </w:pPr>
          </w:p>
        </w:tc>
        <w:tc>
          <w:tcPr>
            <w:tcW w:w="1278" w:type="dxa"/>
            <w:vMerge w:val="continue"/>
            <w:tcBorders>
              <w:top w:val="nil"/>
              <w:left w:val="single" w:color="auto" w:sz="4" w:space="0"/>
              <w:bottom w:val="single" w:color="000000" w:sz="4" w:space="0"/>
              <w:right w:val="single" w:color="auto" w:sz="4" w:space="0"/>
            </w:tcBorders>
            <w:vAlign w:val="center"/>
          </w:tcPr>
          <w:p w14:paraId="0EE94725">
            <w:pPr>
              <w:widowControl/>
              <w:jc w:val="left"/>
              <w:rPr>
                <w:rFonts w:eastAsia="等线"/>
                <w:kern w:val="0"/>
                <w:sz w:val="18"/>
                <w:szCs w:val="18"/>
                <w:lang w:val="en-US"/>
              </w:rPr>
            </w:pPr>
          </w:p>
        </w:tc>
        <w:tc>
          <w:tcPr>
            <w:tcW w:w="3082" w:type="dxa"/>
            <w:tcBorders>
              <w:top w:val="nil"/>
              <w:left w:val="nil"/>
              <w:bottom w:val="single" w:color="auto" w:sz="4" w:space="0"/>
              <w:right w:val="single" w:color="auto" w:sz="4" w:space="0"/>
            </w:tcBorders>
            <w:vAlign w:val="center"/>
          </w:tcPr>
          <w:p w14:paraId="265AFD68">
            <w:pPr>
              <w:widowControl/>
              <w:rPr>
                <w:rFonts w:eastAsia="等线"/>
                <w:kern w:val="0"/>
                <w:sz w:val="18"/>
                <w:szCs w:val="18"/>
              </w:rPr>
            </w:pPr>
            <w:r>
              <w:rPr>
                <w:rFonts w:hint="eastAsia" w:ascii="宋体" w:hAnsi="宋体"/>
                <w:kern w:val="0"/>
                <w:sz w:val="18"/>
                <w:szCs w:val="18"/>
                <w:lang w:val="en-US"/>
              </w:rPr>
              <w:t>安装钢制球门，长</w:t>
            </w:r>
            <w:r>
              <w:rPr>
                <w:rFonts w:eastAsia="等线"/>
                <w:kern w:val="0"/>
                <w:sz w:val="18"/>
                <w:szCs w:val="18"/>
                <w:lang w:val="en-US"/>
              </w:rPr>
              <w:t>7.3m×</w:t>
            </w:r>
            <w:r>
              <w:rPr>
                <w:rFonts w:hint="eastAsia" w:ascii="宋体" w:hAnsi="宋体"/>
                <w:kern w:val="0"/>
                <w:sz w:val="18"/>
                <w:szCs w:val="18"/>
                <w:lang w:val="en-US"/>
              </w:rPr>
              <w:t>高</w:t>
            </w:r>
            <w:r>
              <w:rPr>
                <w:rFonts w:eastAsia="等线"/>
                <w:kern w:val="0"/>
                <w:sz w:val="18"/>
                <w:szCs w:val="18"/>
                <w:lang w:val="en-US"/>
              </w:rPr>
              <w:t>2.4m</w:t>
            </w:r>
            <w:r>
              <w:rPr>
                <w:rFonts w:hint="eastAsia" w:ascii="宋体" w:hAnsi="宋体"/>
                <w:kern w:val="0"/>
                <w:sz w:val="18"/>
                <w:szCs w:val="18"/>
                <w:lang w:val="en-US"/>
              </w:rPr>
              <w:t>，配备球网</w:t>
            </w:r>
            <w:r>
              <w:rPr>
                <w:rFonts w:eastAsia="等线"/>
                <w:kern w:val="0"/>
                <w:sz w:val="18"/>
                <w:szCs w:val="18"/>
                <w:lang w:val="en-US"/>
              </w:rPr>
              <w:br w:type="textWrapping"/>
            </w:r>
            <w:r>
              <w:rPr>
                <w:rFonts w:eastAsia="等线"/>
                <w:kern w:val="0"/>
                <w:sz w:val="18"/>
                <w:szCs w:val="18"/>
                <w:lang w:val="en-US"/>
              </w:rPr>
              <w:t>Installation d’un but en acier, longueur 7,3m, hauteur 2,4m, avec un filet</w:t>
            </w:r>
          </w:p>
        </w:tc>
        <w:tc>
          <w:tcPr>
            <w:tcW w:w="908" w:type="dxa"/>
            <w:tcBorders>
              <w:top w:val="nil"/>
              <w:left w:val="nil"/>
              <w:bottom w:val="single" w:color="auto" w:sz="4" w:space="0"/>
              <w:right w:val="single" w:color="auto" w:sz="4" w:space="0"/>
            </w:tcBorders>
            <w:vAlign w:val="center"/>
          </w:tcPr>
          <w:p w14:paraId="0BB843A5">
            <w:pPr>
              <w:widowControl/>
              <w:jc w:val="center"/>
            </w:pPr>
            <w:r>
              <w:rPr>
                <w:rFonts w:eastAsia="等线"/>
                <w:kern w:val="0"/>
                <w:sz w:val="18"/>
                <w:szCs w:val="18"/>
                <w:lang w:val="en-US"/>
              </w:rPr>
              <w:t>2</w:t>
            </w:r>
          </w:p>
        </w:tc>
        <w:tc>
          <w:tcPr>
            <w:tcW w:w="646" w:type="dxa"/>
            <w:tcBorders>
              <w:top w:val="nil"/>
              <w:left w:val="nil"/>
              <w:bottom w:val="single" w:color="auto" w:sz="4" w:space="0"/>
              <w:right w:val="single" w:color="auto" w:sz="4" w:space="0"/>
            </w:tcBorders>
            <w:vAlign w:val="center"/>
          </w:tcPr>
          <w:p w14:paraId="3707C1A5">
            <w:pPr>
              <w:widowControl/>
              <w:jc w:val="center"/>
              <w:rPr>
                <w:rFonts w:eastAsia="等线"/>
                <w:kern w:val="0"/>
                <w:sz w:val="18"/>
                <w:szCs w:val="18"/>
              </w:rPr>
            </w:pPr>
            <w:r>
              <w:rPr>
                <w:rFonts w:eastAsia="等线"/>
                <w:kern w:val="0"/>
                <w:sz w:val="18"/>
                <w:szCs w:val="18"/>
                <w:lang w:val="en-US"/>
              </w:rPr>
              <w:t>uinté</w:t>
            </w:r>
          </w:p>
        </w:tc>
        <w:tc>
          <w:tcPr>
            <w:tcW w:w="1019" w:type="dxa"/>
            <w:tcBorders>
              <w:top w:val="nil"/>
              <w:left w:val="nil"/>
              <w:bottom w:val="single" w:color="auto" w:sz="4" w:space="0"/>
              <w:right w:val="single" w:color="auto" w:sz="4" w:space="0"/>
            </w:tcBorders>
            <w:vAlign w:val="bottom"/>
          </w:tcPr>
          <w:p w14:paraId="3F9CB354">
            <w:pPr>
              <w:widowControl/>
              <w:jc w:val="left"/>
            </w:pPr>
          </w:p>
        </w:tc>
        <w:tc>
          <w:tcPr>
            <w:tcW w:w="1260" w:type="dxa"/>
            <w:tcBorders>
              <w:top w:val="nil"/>
              <w:left w:val="nil"/>
              <w:bottom w:val="single" w:color="auto" w:sz="4" w:space="0"/>
              <w:right w:val="single" w:color="auto" w:sz="4" w:space="0"/>
            </w:tcBorders>
            <w:vAlign w:val="bottom"/>
          </w:tcPr>
          <w:p w14:paraId="799875EE">
            <w:pPr>
              <w:widowControl/>
              <w:jc w:val="left"/>
              <w:rPr>
                <w:rFonts w:eastAsia="等线"/>
                <w:kern w:val="0"/>
                <w:sz w:val="18"/>
                <w:szCs w:val="18"/>
              </w:rPr>
            </w:pPr>
          </w:p>
        </w:tc>
        <w:tc>
          <w:tcPr>
            <w:tcW w:w="767" w:type="dxa"/>
            <w:tcBorders>
              <w:top w:val="nil"/>
              <w:left w:val="nil"/>
              <w:bottom w:val="single" w:color="auto" w:sz="4" w:space="0"/>
              <w:right w:val="single" w:color="auto" w:sz="4" w:space="0"/>
            </w:tcBorders>
            <w:noWrap/>
            <w:vAlign w:val="bottom"/>
          </w:tcPr>
          <w:p w14:paraId="68F1122F">
            <w:pPr>
              <w:widowControl/>
              <w:jc w:val="left"/>
              <w:rPr>
                <w:rFonts w:eastAsia="等线"/>
                <w:kern w:val="0"/>
                <w:sz w:val="18"/>
                <w:szCs w:val="18"/>
                <w:lang w:val="en-US"/>
              </w:rPr>
            </w:pPr>
            <w:r>
              <w:rPr>
                <w:rFonts w:eastAsia="等线"/>
                <w:kern w:val="0"/>
                <w:sz w:val="18"/>
                <w:szCs w:val="18"/>
                <w:lang w:val="en-US"/>
              </w:rPr>
              <w:t xml:space="preserve">          -   </w:t>
            </w:r>
          </w:p>
        </w:tc>
      </w:tr>
      <w:tr w14:paraId="6AC7D972">
        <w:tblPrEx>
          <w:tblCellMar>
            <w:top w:w="0" w:type="dxa"/>
            <w:left w:w="108" w:type="dxa"/>
            <w:bottom w:w="0" w:type="dxa"/>
            <w:right w:w="108" w:type="dxa"/>
          </w:tblCellMar>
        </w:tblPrEx>
        <w:trPr>
          <w:trHeight w:val="301" w:hRule="atLeast"/>
        </w:trPr>
        <w:tc>
          <w:tcPr>
            <w:tcW w:w="597" w:type="dxa"/>
            <w:vMerge w:val="continue"/>
            <w:tcBorders>
              <w:top w:val="single" w:color="auto" w:sz="4" w:space="0"/>
              <w:left w:val="single" w:color="auto" w:sz="4" w:space="0"/>
              <w:bottom w:val="single" w:color="auto" w:sz="4" w:space="0"/>
              <w:right w:val="single" w:color="auto" w:sz="4" w:space="0"/>
            </w:tcBorders>
            <w:shd w:val="clear" w:color="000000" w:fill="BDD7EE"/>
            <w:vAlign w:val="center"/>
          </w:tcPr>
          <w:p w14:paraId="38C09465">
            <w:pPr>
              <w:widowControl/>
              <w:jc w:val="left"/>
              <w:rPr>
                <w:rFonts w:eastAsia="等线"/>
                <w:kern w:val="0"/>
                <w:sz w:val="18"/>
                <w:szCs w:val="18"/>
                <w:lang w:val="en-US"/>
              </w:rPr>
            </w:pPr>
          </w:p>
        </w:tc>
        <w:tc>
          <w:tcPr>
            <w:tcW w:w="1278" w:type="dxa"/>
            <w:vMerge w:val="continue"/>
            <w:tcBorders>
              <w:top w:val="single" w:color="auto" w:sz="4" w:space="0"/>
              <w:left w:val="single" w:color="auto" w:sz="4" w:space="0"/>
              <w:bottom w:val="single" w:color="auto" w:sz="4" w:space="0"/>
              <w:right w:val="single" w:color="auto" w:sz="4" w:space="0"/>
            </w:tcBorders>
            <w:shd w:val="clear" w:color="000000" w:fill="BDD7EE"/>
            <w:vAlign w:val="center"/>
          </w:tcPr>
          <w:p w14:paraId="4F09CADF">
            <w:pPr>
              <w:widowControl/>
              <w:jc w:val="left"/>
            </w:pPr>
          </w:p>
        </w:tc>
        <w:tc>
          <w:tcPr>
            <w:tcW w:w="3082" w:type="dxa"/>
            <w:tcBorders>
              <w:top w:val="single" w:color="auto" w:sz="4" w:space="0"/>
              <w:left w:val="single" w:color="auto" w:sz="4" w:space="0"/>
              <w:bottom w:val="single" w:color="auto" w:sz="4" w:space="0"/>
              <w:right w:val="single" w:color="auto" w:sz="4" w:space="0"/>
            </w:tcBorders>
            <w:shd w:val="clear" w:color="000000" w:fill="BDD7EE"/>
            <w:vAlign w:val="center"/>
          </w:tcPr>
          <w:p w14:paraId="45B8B83C">
            <w:pPr>
              <w:widowControl/>
              <w:rPr>
                <w:rFonts w:eastAsia="等线"/>
                <w:kern w:val="0"/>
                <w:sz w:val="18"/>
                <w:szCs w:val="18"/>
                <w:lang w:val="en-US"/>
              </w:rPr>
            </w:pPr>
            <w:r>
              <w:rPr>
                <w:rFonts w:hint="eastAsia" w:eastAsia="等线"/>
                <w:kern w:val="0"/>
                <w:sz w:val="18"/>
                <w:szCs w:val="18"/>
                <w:lang w:val="en-US"/>
              </w:rPr>
              <w:t>其他工程费用及行政手续费（含社区协调费用）</w:t>
            </w:r>
          </w:p>
          <w:p w14:paraId="5A80ACDD">
            <w:pPr>
              <w:widowControl/>
            </w:pPr>
            <w:r>
              <w:rPr>
                <w:rFonts w:eastAsia="等线"/>
                <w:kern w:val="0"/>
                <w:sz w:val="18"/>
                <w:szCs w:val="18"/>
              </w:rPr>
              <w:t>Frais divers de travaux et frais administratifs</w:t>
            </w:r>
            <w:r>
              <w:rPr>
                <w:rFonts w:hint="eastAsia" w:eastAsia="等线"/>
                <w:kern w:val="0"/>
                <w:sz w:val="18"/>
                <w:szCs w:val="18"/>
              </w:rPr>
              <w:t xml:space="preserve"> </w:t>
            </w:r>
            <w:r>
              <w:rPr>
                <w:rFonts w:eastAsia="等线"/>
                <w:kern w:val="0"/>
                <w:sz w:val="18"/>
                <w:szCs w:val="18"/>
              </w:rPr>
              <w:t> (incluant les frais de coordination communautaire)</w:t>
            </w:r>
          </w:p>
        </w:tc>
        <w:tc>
          <w:tcPr>
            <w:tcW w:w="908" w:type="dxa"/>
            <w:tcBorders>
              <w:top w:val="single" w:color="auto" w:sz="4" w:space="0"/>
              <w:left w:val="single" w:color="auto" w:sz="4" w:space="0"/>
              <w:bottom w:val="single" w:color="auto" w:sz="4" w:space="0"/>
              <w:right w:val="single" w:color="auto" w:sz="4" w:space="0"/>
            </w:tcBorders>
            <w:shd w:val="clear" w:color="000000" w:fill="BDD7EE"/>
            <w:vAlign w:val="center"/>
          </w:tcPr>
          <w:p w14:paraId="157476AD">
            <w:pPr>
              <w:widowControl/>
              <w:jc w:val="center"/>
            </w:pPr>
            <w:r>
              <w:rPr>
                <w:rFonts w:hint="eastAsia" w:eastAsia="等线"/>
                <w:kern w:val="0"/>
                <w:sz w:val="18"/>
                <w:szCs w:val="18"/>
              </w:rPr>
              <w:t>1</w:t>
            </w:r>
          </w:p>
        </w:tc>
        <w:tc>
          <w:tcPr>
            <w:tcW w:w="646" w:type="dxa"/>
            <w:tcBorders>
              <w:top w:val="single" w:color="auto" w:sz="4" w:space="0"/>
              <w:left w:val="single" w:color="auto" w:sz="4" w:space="0"/>
              <w:bottom w:val="single" w:color="auto" w:sz="4" w:space="0"/>
              <w:right w:val="single" w:color="auto" w:sz="4" w:space="0"/>
            </w:tcBorders>
            <w:shd w:val="clear" w:color="000000" w:fill="BDD7EE"/>
            <w:vAlign w:val="center"/>
          </w:tcPr>
          <w:p w14:paraId="2FF97CE7">
            <w:pPr>
              <w:widowControl/>
              <w:jc w:val="center"/>
            </w:pPr>
            <w:r>
              <w:rPr>
                <w:rFonts w:eastAsia="等线"/>
                <w:kern w:val="0"/>
                <w:sz w:val="18"/>
                <w:szCs w:val="18"/>
                <w:lang w:val="en-US"/>
              </w:rPr>
              <w:t>uinté</w:t>
            </w:r>
            <w:r>
              <w:rPr>
                <w:rFonts w:eastAsia="等线"/>
                <w:kern w:val="0"/>
                <w:sz w:val="18"/>
                <w:szCs w:val="18"/>
              </w:rPr>
              <w:t xml:space="preserve"> </w:t>
            </w:r>
          </w:p>
        </w:tc>
        <w:tc>
          <w:tcPr>
            <w:tcW w:w="1019" w:type="dxa"/>
            <w:tcBorders>
              <w:top w:val="single" w:color="auto" w:sz="4" w:space="0"/>
              <w:left w:val="single" w:color="auto" w:sz="4" w:space="0"/>
              <w:bottom w:val="single" w:color="auto" w:sz="4" w:space="0"/>
              <w:right w:val="single" w:color="auto" w:sz="4" w:space="0"/>
            </w:tcBorders>
            <w:shd w:val="clear" w:color="000000" w:fill="BDD7EE"/>
            <w:vAlign w:val="bottom"/>
          </w:tcPr>
          <w:p w14:paraId="11396A49">
            <w:pPr>
              <w:widowControl/>
              <w:jc w:val="left"/>
            </w:pPr>
          </w:p>
        </w:tc>
        <w:tc>
          <w:tcPr>
            <w:tcW w:w="1260" w:type="dxa"/>
            <w:tcBorders>
              <w:top w:val="nil"/>
              <w:left w:val="nil"/>
              <w:bottom w:val="single" w:color="auto" w:sz="4" w:space="0"/>
              <w:right w:val="single" w:color="auto" w:sz="4" w:space="0"/>
            </w:tcBorders>
            <w:shd w:val="clear" w:color="000000" w:fill="BDD7EE"/>
            <w:noWrap/>
            <w:vAlign w:val="bottom"/>
          </w:tcPr>
          <w:p w14:paraId="62AF271E">
            <w:pPr>
              <w:widowControl/>
              <w:jc w:val="left"/>
              <w:rPr>
                <w:rFonts w:eastAsia="等线"/>
                <w:kern w:val="0"/>
                <w:sz w:val="18"/>
                <w:szCs w:val="18"/>
                <w:lang w:val="en-US"/>
              </w:rPr>
            </w:pPr>
          </w:p>
        </w:tc>
        <w:tc>
          <w:tcPr>
            <w:tcW w:w="780" w:type="dxa"/>
            <w:gridSpan w:val="2"/>
            <w:tcBorders>
              <w:top w:val="nil"/>
              <w:left w:val="nil"/>
              <w:bottom w:val="single" w:color="auto" w:sz="4" w:space="0"/>
              <w:right w:val="single" w:color="auto" w:sz="4" w:space="0"/>
            </w:tcBorders>
            <w:shd w:val="clear" w:color="000000" w:fill="BDD7EE"/>
            <w:noWrap/>
            <w:vAlign w:val="bottom"/>
          </w:tcPr>
          <w:p w14:paraId="747C975E">
            <w:pPr>
              <w:widowControl/>
              <w:jc w:val="left"/>
            </w:pPr>
            <w:r>
              <w:rPr>
                <w:rFonts w:eastAsia="等线"/>
                <w:kern w:val="0"/>
                <w:sz w:val="18"/>
                <w:szCs w:val="18"/>
              </w:rPr>
              <w:t xml:space="preserve">          </w:t>
            </w:r>
            <w:r>
              <w:rPr>
                <w:rFonts w:eastAsia="等线"/>
                <w:kern w:val="0"/>
                <w:sz w:val="18"/>
                <w:szCs w:val="18"/>
                <w:lang w:val="en-US"/>
              </w:rPr>
              <w:t xml:space="preserve">-   </w:t>
            </w:r>
          </w:p>
        </w:tc>
      </w:tr>
      <w:tr w14:paraId="29BC318C">
        <w:tblPrEx>
          <w:tblCellMar>
            <w:top w:w="0" w:type="dxa"/>
            <w:left w:w="108" w:type="dxa"/>
            <w:bottom w:w="0" w:type="dxa"/>
            <w:right w:w="108" w:type="dxa"/>
          </w:tblCellMar>
        </w:tblPrEx>
        <w:trPr>
          <w:trHeight w:val="425" w:hRule="atLeast"/>
        </w:trPr>
        <w:tc>
          <w:tcPr>
            <w:tcW w:w="6511" w:type="dxa"/>
            <w:gridSpan w:val="5"/>
            <w:tcBorders>
              <w:top w:val="single" w:color="auto" w:sz="4" w:space="0"/>
              <w:left w:val="single" w:color="auto" w:sz="4" w:space="0"/>
              <w:bottom w:val="single" w:color="auto" w:sz="4" w:space="0"/>
              <w:right w:val="single" w:color="auto" w:sz="4" w:space="0"/>
            </w:tcBorders>
            <w:shd w:val="clear" w:color="000000" w:fill="C6E0B4"/>
            <w:noWrap/>
            <w:vAlign w:val="center"/>
          </w:tcPr>
          <w:p w14:paraId="0FEDE4A0">
            <w:pPr>
              <w:widowControl/>
              <w:jc w:val="center"/>
              <w:rPr>
                <w:rFonts w:eastAsia="等线"/>
                <w:kern w:val="0"/>
                <w:sz w:val="18"/>
                <w:szCs w:val="18"/>
                <w:lang w:val="en-US"/>
              </w:rPr>
            </w:pPr>
            <w:r>
              <w:rPr>
                <w:rFonts w:hint="eastAsia" w:ascii="宋体" w:hAnsi="宋体"/>
                <w:kern w:val="0"/>
                <w:sz w:val="18"/>
                <w:szCs w:val="18"/>
                <w:lang w:val="en-US"/>
              </w:rPr>
              <w:t xml:space="preserve">小计(不含税价) </w:t>
            </w:r>
            <w:r>
              <w:rPr>
                <w:rFonts w:eastAsia="等线"/>
                <w:kern w:val="0"/>
                <w:sz w:val="18"/>
                <w:szCs w:val="18"/>
                <w:lang w:val="en-US"/>
              </w:rPr>
              <w:t>Sous-total</w:t>
            </w:r>
            <w:r>
              <w:rPr>
                <w:rFonts w:hint="eastAsia" w:eastAsia="等线"/>
                <w:kern w:val="0"/>
                <w:sz w:val="18"/>
                <w:szCs w:val="18"/>
                <w:lang w:val="en-US"/>
              </w:rPr>
              <w:t>(</w:t>
            </w:r>
            <w:r>
              <w:rPr>
                <w:rFonts w:ascii="Segoe UI" w:hAnsi="Segoe UI" w:eastAsia="Segoe UI" w:cs="Segoe UI"/>
                <w:sz w:val="16"/>
                <w:szCs w:val="16"/>
                <w:shd w:val="clear" w:color="auto" w:fill="FFFFFF"/>
              </w:rPr>
              <w:t>Prix hors taxes</w:t>
            </w:r>
            <w:r>
              <w:rPr>
                <w:rFonts w:hint="eastAsia" w:eastAsia="等线"/>
                <w:kern w:val="0"/>
                <w:sz w:val="18"/>
                <w:szCs w:val="18"/>
                <w:lang w:val="en-US"/>
              </w:rPr>
              <w:t>)</w:t>
            </w:r>
          </w:p>
        </w:tc>
        <w:tc>
          <w:tcPr>
            <w:tcW w:w="3059" w:type="dxa"/>
            <w:gridSpan w:val="4"/>
            <w:tcBorders>
              <w:top w:val="single" w:color="auto" w:sz="4" w:space="0"/>
              <w:left w:val="single" w:color="auto" w:sz="4" w:space="0"/>
              <w:bottom w:val="single" w:color="auto" w:sz="4" w:space="0"/>
              <w:right w:val="single" w:color="auto" w:sz="4" w:space="0"/>
            </w:tcBorders>
            <w:shd w:val="clear" w:color="000000" w:fill="C6E0B4"/>
            <w:noWrap/>
            <w:vAlign w:val="bottom"/>
          </w:tcPr>
          <w:p w14:paraId="34688B7E">
            <w:pPr>
              <w:widowControl/>
              <w:jc w:val="left"/>
              <w:rPr>
                <w:rFonts w:eastAsia="等线"/>
                <w:kern w:val="0"/>
                <w:sz w:val="18"/>
                <w:szCs w:val="18"/>
                <w:lang w:val="en-US"/>
              </w:rPr>
            </w:pPr>
            <w:r>
              <w:rPr>
                <w:rFonts w:eastAsia="等线"/>
                <w:kern w:val="0"/>
                <w:sz w:val="18"/>
                <w:szCs w:val="18"/>
                <w:lang w:val="en-US"/>
              </w:rPr>
              <w:t xml:space="preserve">          -   </w:t>
            </w:r>
          </w:p>
        </w:tc>
      </w:tr>
    </w:tbl>
    <w:p w14:paraId="33C59A5B">
      <w:pPr>
        <w:adjustRightInd w:val="0"/>
        <w:snapToGrid w:val="0"/>
        <w:spacing w:line="360" w:lineRule="auto"/>
        <w:ind w:firstLine="420"/>
        <w:rPr>
          <w:szCs w:val="21"/>
        </w:rPr>
      </w:pPr>
    </w:p>
    <w:p w14:paraId="3EBF6E60">
      <w:pPr>
        <w:adjustRightInd w:val="0"/>
        <w:snapToGrid w:val="0"/>
        <w:spacing w:line="360" w:lineRule="auto"/>
        <w:ind w:firstLine="420"/>
        <w:rPr>
          <w:szCs w:val="21"/>
        </w:rPr>
      </w:pPr>
    </w:p>
    <w:p w14:paraId="50FA2022">
      <w:pPr>
        <w:adjustRightInd w:val="0"/>
        <w:snapToGrid w:val="0"/>
        <w:spacing w:line="360" w:lineRule="auto"/>
        <w:ind w:firstLine="420"/>
        <w:rPr>
          <w:szCs w:val="21"/>
        </w:rPr>
      </w:pPr>
    </w:p>
    <w:p w14:paraId="26AF883A">
      <w:pPr>
        <w:adjustRightInd w:val="0"/>
        <w:snapToGrid w:val="0"/>
        <w:spacing w:line="360" w:lineRule="auto"/>
        <w:rPr>
          <w:szCs w:val="21"/>
        </w:rPr>
      </w:pPr>
    </w:p>
    <w:p w14:paraId="3709E4AD">
      <w:pPr>
        <w:adjustRightInd w:val="0"/>
        <w:snapToGrid w:val="0"/>
        <w:spacing w:line="360" w:lineRule="auto"/>
        <w:ind w:firstLine="420"/>
        <w:rPr>
          <w:szCs w:val="21"/>
        </w:rPr>
      </w:pPr>
    </w:p>
    <w:p w14:paraId="11967EE4">
      <w:pPr>
        <w:adjustRightInd w:val="0"/>
        <w:snapToGrid w:val="0"/>
        <w:spacing w:line="360" w:lineRule="auto"/>
        <w:ind w:firstLine="420"/>
        <w:rPr>
          <w:szCs w:val="21"/>
        </w:rPr>
      </w:pPr>
    </w:p>
    <w:p w14:paraId="558EB397">
      <w:pPr>
        <w:pStyle w:val="12"/>
        <w:rPr>
          <w:kern w:val="0"/>
          <w:szCs w:val="21"/>
        </w:rPr>
      </w:pPr>
      <w:r>
        <w:rPr>
          <w:rFonts w:hint="eastAsia"/>
          <w:kern w:val="0"/>
          <w:szCs w:val="21"/>
        </w:rPr>
        <w:t>报价单位</w:t>
      </w:r>
      <w:r>
        <w:rPr>
          <w:kern w:val="0"/>
          <w:szCs w:val="21"/>
        </w:rPr>
        <w:t>Nom de l’entreprise soumissionnaire</w:t>
      </w:r>
      <w:r>
        <w:rPr>
          <w:rFonts w:hint="eastAsia"/>
          <w:kern w:val="0"/>
          <w:szCs w:val="21"/>
        </w:rPr>
        <w:t>：</w:t>
      </w:r>
      <w:r>
        <w:rPr>
          <w:kern w:val="0"/>
          <w:szCs w:val="21"/>
          <w:u w:val="single"/>
        </w:rPr>
        <w:t xml:space="preserve">                                  </w:t>
      </w:r>
      <w:r>
        <w:rPr>
          <w:kern w:val="0"/>
          <w:szCs w:val="21"/>
        </w:rPr>
        <w:t xml:space="preserve">.        </w:t>
      </w:r>
    </w:p>
    <w:p w14:paraId="5E8C7BA0">
      <w:pPr>
        <w:pStyle w:val="12"/>
        <w:rPr>
          <w:kern w:val="0"/>
          <w:szCs w:val="21"/>
        </w:rPr>
      </w:pPr>
      <w:r>
        <w:rPr>
          <w:rFonts w:hint="eastAsia"/>
          <w:kern w:val="0"/>
          <w:szCs w:val="21"/>
        </w:rPr>
        <w:t>日期</w:t>
      </w:r>
      <w:r>
        <w:rPr>
          <w:kern w:val="0"/>
          <w:szCs w:val="21"/>
        </w:rPr>
        <w:t xml:space="preserve"> Date de la cotation</w:t>
      </w:r>
      <w:r>
        <w:rPr>
          <w:rFonts w:hint="eastAsia"/>
          <w:kern w:val="0"/>
          <w:szCs w:val="21"/>
        </w:rPr>
        <w:t>：</w:t>
      </w:r>
      <w:r>
        <w:rPr>
          <w:kern w:val="0"/>
          <w:szCs w:val="21"/>
          <w:u w:val="single"/>
        </w:rPr>
        <w:t xml:space="preserve">                                       </w:t>
      </w:r>
      <w:r>
        <w:rPr>
          <w:kern w:val="0"/>
          <w:szCs w:val="21"/>
        </w:rPr>
        <w:t>.</w:t>
      </w:r>
    </w:p>
    <w:p w14:paraId="4E6F85D0">
      <w:pPr>
        <w:pStyle w:val="12"/>
        <w:rPr>
          <w:kern w:val="0"/>
          <w:szCs w:val="21"/>
        </w:rPr>
      </w:pPr>
      <w:r>
        <w:rPr>
          <w:rFonts w:hint="eastAsia"/>
          <w:kern w:val="0"/>
          <w:szCs w:val="21"/>
        </w:rPr>
        <w:t>授权委托人</w:t>
      </w:r>
      <w:r>
        <w:rPr>
          <w:kern w:val="0"/>
          <w:szCs w:val="21"/>
        </w:rPr>
        <w:t>Représentant légal ou personne autorisée</w:t>
      </w:r>
      <w:r>
        <w:rPr>
          <w:rFonts w:hint="eastAsia"/>
          <w:kern w:val="0"/>
          <w:szCs w:val="21"/>
        </w:rPr>
        <w:t>：</w:t>
      </w:r>
      <w:r>
        <w:rPr>
          <w:kern w:val="0"/>
          <w:szCs w:val="21"/>
          <w:u w:val="single"/>
        </w:rPr>
        <w:t xml:space="preserve">                                       .</w:t>
      </w:r>
      <w:r>
        <w:rPr>
          <w:kern w:val="0"/>
          <w:szCs w:val="21"/>
        </w:rPr>
        <w:t xml:space="preserve"> </w:t>
      </w:r>
    </w:p>
    <w:p w14:paraId="276D4A7D">
      <w:pPr>
        <w:pStyle w:val="12"/>
        <w:rPr>
          <w:kern w:val="0"/>
          <w:szCs w:val="21"/>
        </w:rPr>
      </w:pPr>
      <w:r>
        <w:rPr>
          <w:rFonts w:hint="eastAsia"/>
          <w:kern w:val="0"/>
          <w:szCs w:val="21"/>
        </w:rPr>
        <w:t>报价有效期</w:t>
      </w:r>
      <w:r>
        <w:rPr>
          <w:kern w:val="0"/>
          <w:szCs w:val="21"/>
        </w:rPr>
        <w:t>Période de validité de la cotation</w:t>
      </w:r>
      <w:r>
        <w:rPr>
          <w:rFonts w:hint="eastAsia"/>
          <w:kern w:val="0"/>
          <w:szCs w:val="21"/>
        </w:rPr>
        <w:t>：</w:t>
      </w:r>
      <w:r>
        <w:rPr>
          <w:kern w:val="0"/>
          <w:szCs w:val="21"/>
        </w:rPr>
        <w:t>90 jours</w:t>
      </w:r>
    </w:p>
    <w:p w14:paraId="26CF73A8">
      <w:pPr>
        <w:pStyle w:val="12"/>
        <w:spacing w:line="360" w:lineRule="auto"/>
        <w:rPr>
          <w:kern w:val="0"/>
          <w:szCs w:val="21"/>
        </w:rPr>
      </w:pPr>
      <w:r>
        <w:rPr>
          <w:rFonts w:hint="eastAsia"/>
          <w:kern w:val="0"/>
          <w:szCs w:val="21"/>
        </w:rPr>
        <w:t>注意事项：</w:t>
      </w:r>
    </w:p>
    <w:p w14:paraId="7F94AA20">
      <w:pPr>
        <w:pStyle w:val="12"/>
        <w:spacing w:line="360" w:lineRule="auto"/>
        <w:rPr>
          <w:kern w:val="0"/>
          <w:szCs w:val="21"/>
          <w:lang w:val="en-US"/>
        </w:rPr>
      </w:pPr>
      <w:r>
        <w:rPr>
          <w:rFonts w:hint="eastAsia"/>
          <w:kern w:val="0"/>
          <w:szCs w:val="21"/>
          <w:lang w:val="en-US"/>
        </w:rPr>
        <w:t>若服务类响应人为中国注册的公司，中国境内涉及税费应执行中国境内财税法规政策，结合国家出口退免税政策自行负责，并可授权几内亚有增值税税号的分支机构签订合同，则不涉及几内亚侧</w:t>
      </w:r>
      <w:r>
        <w:rPr>
          <w:kern w:val="0"/>
          <w:szCs w:val="21"/>
          <w:lang w:val="en-US"/>
        </w:rPr>
        <w:t>15%</w:t>
      </w:r>
      <w:r>
        <w:rPr>
          <w:rFonts w:hint="eastAsia"/>
          <w:kern w:val="0"/>
          <w:szCs w:val="21"/>
          <w:lang w:val="en-US"/>
        </w:rPr>
        <w:t>服务预提税；</w:t>
      </w:r>
    </w:p>
    <w:p w14:paraId="054F9360">
      <w:pPr>
        <w:pStyle w:val="12"/>
        <w:spacing w:line="360" w:lineRule="auto"/>
        <w:rPr>
          <w:kern w:val="0"/>
          <w:szCs w:val="21"/>
          <w:lang w:val="en-US"/>
        </w:rPr>
      </w:pPr>
      <w:r>
        <w:rPr>
          <w:rFonts w:hint="eastAsia"/>
          <w:kern w:val="0"/>
          <w:szCs w:val="21"/>
          <w:lang w:val="en-US"/>
        </w:rPr>
        <w:t>若响应人为中国注册的公司且在几内亚无实体机构作为签约主体的，根据几内亚当地法律，采购人需代扣代缴服务</w:t>
      </w:r>
      <w:r>
        <w:rPr>
          <w:kern w:val="0"/>
          <w:szCs w:val="21"/>
          <w:lang w:val="en-US"/>
        </w:rPr>
        <w:t>15%</w:t>
      </w:r>
      <w:r>
        <w:rPr>
          <w:rFonts w:hint="eastAsia"/>
          <w:kern w:val="0"/>
          <w:szCs w:val="21"/>
          <w:lang w:val="en-US"/>
        </w:rPr>
        <w:t>预提税，响应人在报价中，应明确报价是否已考虑预提税，未注明的在计算评标价时视为包含</w:t>
      </w:r>
      <w:r>
        <w:rPr>
          <w:kern w:val="0"/>
          <w:szCs w:val="21"/>
          <w:lang w:val="en-US"/>
        </w:rPr>
        <w:t>15%</w:t>
      </w:r>
      <w:r>
        <w:rPr>
          <w:rFonts w:hint="eastAsia"/>
          <w:kern w:val="0"/>
          <w:szCs w:val="21"/>
          <w:lang w:val="en-US"/>
        </w:rPr>
        <w:t>服务预提税的报价价格。</w:t>
      </w:r>
    </w:p>
    <w:p w14:paraId="58D58631">
      <w:pPr>
        <w:pStyle w:val="12"/>
        <w:spacing w:line="360" w:lineRule="auto"/>
        <w:rPr>
          <w:kern w:val="0"/>
          <w:szCs w:val="21"/>
          <w:lang w:val="en-US"/>
        </w:rPr>
      </w:pPr>
      <w:r>
        <w:rPr>
          <w:rFonts w:hint="eastAsia"/>
          <w:kern w:val="0"/>
          <w:szCs w:val="21"/>
          <w:lang w:val="en-US"/>
        </w:rPr>
        <w:t>若响应人为几内亚注册的公司且有实体机构作为签约主体的，几内亚当地采购的物资、劳务、服务等业务，无论是否签订合同，如对方公司无税号（</w:t>
      </w:r>
      <w:r>
        <w:rPr>
          <w:kern w:val="0"/>
          <w:szCs w:val="21"/>
          <w:lang w:val="en-US"/>
        </w:rPr>
        <w:t>NIF</w:t>
      </w:r>
      <w:r>
        <w:rPr>
          <w:rFonts w:hint="eastAsia"/>
          <w:kern w:val="0"/>
          <w:szCs w:val="21"/>
          <w:lang w:val="en-US"/>
        </w:rPr>
        <w:t>号），需代扣代缴</w:t>
      </w:r>
      <w:r>
        <w:rPr>
          <w:kern w:val="0"/>
          <w:szCs w:val="21"/>
          <w:lang w:val="en-US"/>
        </w:rPr>
        <w:t>20%</w:t>
      </w:r>
      <w:r>
        <w:rPr>
          <w:rFonts w:hint="eastAsia"/>
          <w:kern w:val="0"/>
          <w:szCs w:val="21"/>
          <w:lang w:val="en-US"/>
        </w:rPr>
        <w:t>当地采购预提税；如无增值税号（</w:t>
      </w:r>
      <w:r>
        <w:rPr>
          <w:kern w:val="0"/>
          <w:szCs w:val="21"/>
          <w:lang w:val="en-US"/>
        </w:rPr>
        <w:t>TVA</w:t>
      </w:r>
      <w:r>
        <w:rPr>
          <w:rFonts w:hint="eastAsia"/>
          <w:kern w:val="0"/>
          <w:szCs w:val="21"/>
          <w:lang w:val="en-US"/>
        </w:rPr>
        <w:t>号），需代扣代缴</w:t>
      </w:r>
      <w:r>
        <w:rPr>
          <w:kern w:val="0"/>
          <w:szCs w:val="21"/>
          <w:lang w:val="en-US"/>
        </w:rPr>
        <w:t>10%</w:t>
      </w:r>
      <w:r>
        <w:rPr>
          <w:rFonts w:hint="eastAsia"/>
          <w:kern w:val="0"/>
          <w:szCs w:val="21"/>
          <w:lang w:val="en-US"/>
        </w:rPr>
        <w:t>当地采购预提税。</w:t>
      </w:r>
    </w:p>
    <w:p w14:paraId="1289E81C">
      <w:pPr>
        <w:pStyle w:val="12"/>
        <w:spacing w:line="360" w:lineRule="auto"/>
        <w:rPr>
          <w:kern w:val="0"/>
          <w:szCs w:val="21"/>
          <w:lang w:val="en-US"/>
        </w:rPr>
      </w:pPr>
      <w:r>
        <w:rPr>
          <w:rFonts w:hint="eastAsia"/>
          <w:kern w:val="0"/>
          <w:szCs w:val="21"/>
          <w:lang w:val="en-US"/>
        </w:rPr>
        <w:t>根据招标采购人与几内亚政府相关税收优惠条款约定，当期增值税免交，响应人报价无需考虑几内亚侧增值税。</w:t>
      </w:r>
    </w:p>
    <w:p w14:paraId="4F9A39A3">
      <w:pPr>
        <w:pStyle w:val="12"/>
        <w:spacing w:line="360" w:lineRule="auto"/>
        <w:rPr>
          <w:kern w:val="0"/>
          <w:szCs w:val="21"/>
        </w:rPr>
      </w:pPr>
      <w:r>
        <w:rPr>
          <w:kern w:val="0"/>
          <w:szCs w:val="21"/>
        </w:rPr>
        <w:t>Si le soumissionnaire du service est une société enregistrée en Chine, les taxes et impôts applicables en Chine doivent être conformes à la législation fiscale chinoise, en tenant compte de la politique nationale en matière de remboursement des taxes à l’exportation, et le soumissionnaire est responsable de ces taxes. Il peut autoriser une succursale guinéenne disposant d’un numéro de TVA à signer le contrat, auquel cas la retenue à la source de 15 % sur les services en Guinée ne s’applique pas.</w:t>
      </w:r>
    </w:p>
    <w:p w14:paraId="6AA1F648">
      <w:pPr>
        <w:pStyle w:val="12"/>
        <w:spacing w:line="360" w:lineRule="auto"/>
        <w:rPr>
          <w:kern w:val="0"/>
          <w:szCs w:val="21"/>
        </w:rPr>
      </w:pPr>
      <w:r>
        <w:rPr>
          <w:kern w:val="0"/>
          <w:szCs w:val="21"/>
        </w:rPr>
        <w:t>Si le soumissionnaire est une société enregistrée en Chine et qu’il n’a pas d’entité physique en Guinée en tant que partie contractante, conformément à la législation locale guinéenne, l’acheteur doit retenir et verser la retenue à la source de 15 % sur les services. Le soumissionnaire doit indiquer clairement dans son offre si la retenue à la source a été prise en compte. Si cela n’est pas précisé, le prix de l’offre sera considéré comme incluant la retenue à la source de 15 % sur les services lors du calcul du prix d’évaluation.</w:t>
      </w:r>
    </w:p>
    <w:p w14:paraId="627220B7">
      <w:pPr>
        <w:pStyle w:val="12"/>
        <w:spacing w:line="360" w:lineRule="auto"/>
        <w:rPr>
          <w:kern w:val="0"/>
          <w:szCs w:val="21"/>
        </w:rPr>
      </w:pPr>
      <w:r>
        <w:rPr>
          <w:kern w:val="0"/>
          <w:szCs w:val="21"/>
        </w:rPr>
        <w:t>Si le soumissionnaire est une société enregistrée en Guinée et dispose d’une entité physique en tant que partie contractante, les biens, travaux et services achetés localement en Guinée, qu’un contrat ait été signé ou non, sont soumis à une retenue à la source de 20 % sur les achats locaux si la société partenaire ne dispose pas d’un numéro d’identification fiscale (NIF) ; s’il ne dispose pas d’un numéro de TVA (TVA), une retenue à la source de 10 % sur les achats locaux est appliquée.</w:t>
      </w:r>
    </w:p>
    <w:p w14:paraId="4F5DF049">
      <w:pPr>
        <w:pStyle w:val="12"/>
        <w:spacing w:line="360" w:lineRule="auto"/>
        <w:rPr>
          <w:kern w:val="0"/>
          <w:szCs w:val="21"/>
        </w:rPr>
      </w:pPr>
      <w:r>
        <w:rPr>
          <w:kern w:val="0"/>
          <w:szCs w:val="21"/>
        </w:rPr>
        <w:t>Conformément aux dispositions relatives aux avantages fiscaux convenues entre l’acheteur et le gouvernement guinéen, la TVA est exonérée pour la période en cours et les soumissionnaires n’ont pas à tenir compte de la TVA guinéenne dans leur offre.</w:t>
      </w:r>
    </w:p>
    <w:sectPr>
      <w:footerReference r:id="rId12" w:type="default"/>
      <w:pgSz w:w="11905" w:h="16838"/>
      <w:pgMar w:top="1417" w:right="1134" w:bottom="1134" w:left="1417" w:header="851" w:footer="850" w:gutter="0"/>
      <w:cols w:space="72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D7CEF">
    <w:pPr>
      <w:pStyle w:val="21"/>
    </w:pPr>
    <w:bookmarkStart w:id="280" w:name="Content"/>
    <w:bookmarkEnd w:id="280"/>
    <w:r>
      <w:rPr>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4E47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31</w:t>
                          </w:r>
                          <w:r>
                            <w:rPr>
                              <w:rFonts w:hint="eastAsia"/>
                              <w:sz w:val="18"/>
                            </w:rP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U0j/M8wBAACYAwAADgAAAAAAAAABACAAAAAiAQAAZHJz&#10;L2Uyb0RvYy54bWxQSwUGAAAAAAYABgBZAQAAYAUAAAAA&#10;">
              <v:fill on="f" focussize="0,0"/>
              <v:stroke on="f" weight="1.25pt"/>
              <v:imagedata o:title=""/>
              <o:lock v:ext="edit" aspectratio="f"/>
              <v:textbox inset="0mm,0mm,0mm,0mm" style="mso-fit-shape-to-text:t;">
                <w:txbxContent>
                  <w:p w14:paraId="14E47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4EDDD">
    <w:pPr>
      <w:pStyle w:val="21"/>
    </w:pP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364293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104</w:t>
                          </w:r>
                          <w:r>
                            <w:rPr>
                              <w:rFonts w:hint="eastAsia"/>
                              <w:sz w:val="18"/>
                            </w:rPr>
                            <w:fldChar w:fldCharType="end"/>
                          </w:r>
                        </w:p>
                      </w:txbxContent>
                    </wps:txbx>
                    <wps:bodyPr wrap="none" lIns="0" tIns="0" rIns="0" bIns="0">
                      <a:spAutoFit/>
                    </wps:bodyPr>
                  </wps:wsp>
                </a:graphicData>
              </a:graphic>
            </wp:anchor>
          </w:drawing>
        </mc:Choice>
        <mc:Fallback>
          <w:pict>
            <v:shape id="文本框 4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&#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pbDzFdIBAACmAwAADgAAAAAAAAABACAAAAAi&#10;AQAAZHJzL2Uyb0RvYy54bWxQSwUGAAAAAAYABgBZAQAAZgUAAAAA&#10;">
              <v:fill on="f" focussize="0,0"/>
              <v:stroke on="f" weight="1.25pt"/>
              <v:imagedata o:title=""/>
              <o:lock v:ext="edit" aspectratio="f"/>
              <v:textbox inset="0mm,0mm,0mm,0mm" style="mso-fit-shape-to-text:t;">
                <w:txbxContent>
                  <w:p w14:paraId="3364293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104</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E1D3C">
    <w:pPr>
      <w:pStyle w:val="21"/>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798C56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107</w:t>
                          </w:r>
                          <w:r>
                            <w:rPr>
                              <w:rFonts w:hint="eastAsia"/>
                              <w:sz w:val="18"/>
                            </w:rPr>
                            <w:fldChar w:fldCharType="end"/>
                          </w:r>
                        </w:p>
                      </w:txbxContent>
                    </wps:txbx>
                    <wps:bodyPr wrap="none" lIns="0" tIns="0" rIns="0" bIns="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&#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CDO1lh0QEAAKYDAAAOAAAAAAAAAAEAIAAAACIB&#10;AABkcnMvZTJvRG9jLnhtbFBLBQYAAAAABgAGAFkBAABlBQAAAAA=&#10;">
              <v:fill on="f" focussize="0,0"/>
              <v:stroke on="f" weight="1.25pt"/>
              <v:imagedata o:title=""/>
              <o:lock v:ext="edit" aspectratio="f"/>
              <v:textbox inset="0mm,0mm,0mm,0mm" style="mso-fit-shape-to-text:t;">
                <w:txbxContent>
                  <w:p w14:paraId="7798C56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107</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835B5">
    <w:pPr>
      <w:pStyle w:val="21"/>
    </w:pP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9B555B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wps:txbx>
                    <wps:bodyPr wrap="none" lIns="0" tIns="0" rIns="0" bIns="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AREPQcywEAAJgDAAAOAAAAAAAAAAEAIAAAACIBAABkcnMv&#10;ZTJvRG9jLnhtbFBLBQYAAAAABgAGAFkBAABfBQAAAAA=&#10;">
              <v:fill on="f" focussize="0,0"/>
              <v:stroke on="f" weight="1.25pt"/>
              <v:imagedata o:title=""/>
              <o:lock v:ext="edit" aspectratio="f"/>
              <v:textbox inset="0mm,0mm,0mm,0mm" style="mso-fit-shape-to-text:t;">
                <w:txbxContent>
                  <w:p w14:paraId="59B555B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F204B">
    <w:pPr>
      <w:pStyle w:val="22"/>
      <w:pBdr>
        <w:bottom w:val="single" w:color="auto" w:sz="4" w:space="1"/>
      </w:pBdr>
    </w:pPr>
    <w:r>
      <w:rPr>
        <w:rFonts w:hint="eastAsia" w:ascii="仿宋_GB2312" w:eastAsia="仿宋_GB2312"/>
        <w:color w:val="000000"/>
        <w:sz w:val="32"/>
        <w:szCs w:val="32"/>
        <w:lang w:val="en-US"/>
      </w:rPr>
      <w:drawing>
        <wp:inline distT="0" distB="0" distL="114300" distR="114300">
          <wp:extent cx="350520" cy="168910"/>
          <wp:effectExtent l="0" t="0" r="11430"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
                  <a:stretch>
                    <a:fillRect/>
                  </a:stretch>
                </pic:blipFill>
                <pic:spPr>
                  <a:xfrm>
                    <a:off x="0" y="0"/>
                    <a:ext cx="518795" cy="168910"/>
                  </a:xfrm>
                  <a:prstGeom prst="rect">
                    <a:avLst/>
                  </a:prstGeom>
                  <a:noFill/>
                  <a:ln>
                    <a:noFill/>
                  </a:ln>
                  <a:effectLst/>
                </pic:spPr>
              </pic:pic>
            </a:graphicData>
          </a:graphic>
        </wp:inline>
      </w:drawing>
    </w:r>
    <w:r>
      <w:rPr>
        <w:rFonts w:hint="eastAsia"/>
      </w:rPr>
      <w:t>国家电投集团铝电投资有限公司                                         施工询价采购文件（2023版）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9866980"/>
    </w:sdtPr>
    <w:sdtContent>
      <w:p w14:paraId="257BE0D8">
        <w:pPr>
          <w:pStyle w:val="22"/>
          <w:ind w:firstLine="210"/>
          <w:jc w:val="center"/>
        </w:pPr>
        <w:r>
          <w:fldChar w:fldCharType="begin"/>
        </w:r>
        <w:r>
          <w:instrText xml:space="preserve">PAGE   \* MERGEFORMAT</w:instrText>
        </w:r>
        <w:r>
          <w:fldChar w:fldCharType="separate"/>
        </w:r>
        <w:r>
          <w:rPr>
            <w:lang w:val="zh-CN"/>
          </w:rPr>
          <w:t>2</w:t>
        </w:r>
        <w:r>
          <w:fldChar w:fldCharType="end"/>
        </w:r>
      </w:p>
    </w:sdtContent>
  </w:sdt>
  <w:p w14:paraId="1C6D85A7">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3F564">
    <w:pPr>
      <w:pStyle w:val="22"/>
      <w:pBdr>
        <w:bottom w:val="single" w:color="auto" w:sz="4" w:space="1"/>
      </w:pBdr>
    </w:pPr>
    <w:r>
      <w:rPr>
        <w:rFonts w:hint="eastAsia" w:ascii="仿宋_GB2312" w:eastAsia="仿宋_GB2312"/>
        <w:color w:val="000000"/>
        <w:sz w:val="32"/>
        <w:szCs w:val="32"/>
        <w:lang w:val="en-US"/>
      </w:rPr>
      <w:drawing>
        <wp:inline distT="0" distB="0" distL="114300" distR="114300">
          <wp:extent cx="350520" cy="168910"/>
          <wp:effectExtent l="0" t="0" r="508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518795" cy="168910"/>
                  </a:xfrm>
                  <a:prstGeom prst="rect">
                    <a:avLst/>
                  </a:prstGeom>
                  <a:noFill/>
                  <a:ln>
                    <a:noFill/>
                  </a:ln>
                  <a:effectLst/>
                </pic:spPr>
              </pic:pic>
            </a:graphicData>
          </a:graphic>
        </wp:inline>
      </w:drawing>
    </w:r>
    <w:r>
      <w:rPr>
        <w:rFonts w:hint="eastAsia"/>
      </w:rPr>
      <w:t>国家电投集团铝电投资有限公司                                            施工询价采购文件（2023版）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7771F">
    <w:pPr>
      <w:pStyle w:val="22"/>
    </w:pPr>
    <w:r>
      <w:pict>
        <v:shape id="PowerPlusWaterMarkObject1257245078" o:spid="_x0000_s3074" o:spt="136" type="#_x0000_t136" style="position:absolute;left:0pt;height:57.4pt;width:574.1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t" xscale="f" string="集团公司采购文件范本" style="font-family:宋体;font-size:8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99B64">
    <w:pPr>
      <w:pStyle w:val="22"/>
    </w:pPr>
    <w:r>
      <w:pict>
        <v:shape id="PowerPlusWaterMarkObject1257245077" o:spid="_x0000_s3073" o:spt="136" type="#_x0000_t136" style="position:absolute;left:0pt;height:57.4pt;width:574.1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t" xscale="f" string="集团公司采购文件范本" style="font-family:宋体;font-size:8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689D2">
    <w:pPr>
      <w:pStyle w:val="22"/>
      <w:pBdr>
        <w:bottom w:val="single" w:color="auto" w:sz="4" w:space="1"/>
      </w:pBdr>
    </w:pPr>
    <w:r>
      <w:rPr>
        <w:rFonts w:hint="eastAsia" w:ascii="仿宋_GB2312" w:eastAsia="仿宋_GB2312"/>
        <w:color w:val="000000"/>
        <w:sz w:val="32"/>
        <w:szCs w:val="32"/>
        <w:lang w:val="en-US"/>
      </w:rPr>
      <w:drawing>
        <wp:inline distT="0" distB="0" distL="114300" distR="114300">
          <wp:extent cx="350520" cy="168910"/>
          <wp:effectExtent l="0" t="0" r="11430"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
                  <a:stretch>
                    <a:fillRect/>
                  </a:stretch>
                </pic:blipFill>
                <pic:spPr>
                  <a:xfrm>
                    <a:off x="0" y="0"/>
                    <a:ext cx="518795" cy="168910"/>
                  </a:xfrm>
                  <a:prstGeom prst="rect">
                    <a:avLst/>
                  </a:prstGeom>
                  <a:noFill/>
                  <a:ln>
                    <a:noFill/>
                  </a:ln>
                  <a:effectLst/>
                </pic:spPr>
              </pic:pic>
            </a:graphicData>
          </a:graphic>
        </wp:inline>
      </w:drawing>
    </w:r>
    <w:r>
      <w:rPr>
        <w:rFonts w:hint="eastAsia"/>
      </w:rPr>
      <w:t>国家电投集团铝电投资有限公司                                            施工询价采购文件（2023版）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EE0A30"/>
    <w:multiLevelType w:val="singleLevel"/>
    <w:tmpl w:val="91EE0A30"/>
    <w:lvl w:ilvl="0" w:tentative="0">
      <w:start w:val="2"/>
      <w:numFmt w:val="chineseCounting"/>
      <w:suff w:val="space"/>
      <w:lvlText w:val="第%1章"/>
      <w:lvlJc w:val="left"/>
      <w:rPr>
        <w:rFonts w:hint="eastAsia"/>
      </w:rPr>
    </w:lvl>
  </w:abstractNum>
  <w:abstractNum w:abstractNumId="1">
    <w:nsid w:val="F40D1188"/>
    <w:multiLevelType w:val="singleLevel"/>
    <w:tmpl w:val="F40D1188"/>
    <w:lvl w:ilvl="0" w:tentative="0">
      <w:start w:val="1"/>
      <w:numFmt w:val="chineseCounting"/>
      <w:suff w:val="nothing"/>
      <w:lvlText w:val="%1、"/>
      <w:lvlJc w:val="left"/>
      <w:rPr>
        <w:rFonts w:hint="eastAsia"/>
      </w:rPr>
    </w:lvl>
  </w:abstractNum>
  <w:abstractNum w:abstractNumId="2">
    <w:nsid w:val="19697A96"/>
    <w:multiLevelType w:val="multilevel"/>
    <w:tmpl w:val="19697A96"/>
    <w:lvl w:ilvl="0" w:tentative="0">
      <w:start w:val="1"/>
      <w:numFmt w:val="decimal"/>
      <w:lvlText w:val="%1."/>
      <w:lvlJc w:val="left"/>
      <w:pPr>
        <w:ind w:left="927" w:hanging="360"/>
      </w:pPr>
      <w:rPr>
        <w:rFonts w:hint="default"/>
      </w:rPr>
    </w:lvl>
    <w:lvl w:ilvl="1" w:tentative="0">
      <w:start w:val="1"/>
      <w:numFmt w:val="decimal"/>
      <w:lvlText w:val="%2."/>
      <w:lvlJc w:val="left"/>
      <w:pPr>
        <w:ind w:left="1149" w:hanging="440"/>
      </w:pPr>
    </w:lvl>
    <w:lvl w:ilvl="2" w:tentative="0">
      <w:start w:val="1"/>
      <w:numFmt w:val="decimal"/>
      <w:isLgl/>
      <w:lvlText w:val="%1.%2.%3"/>
      <w:lvlJc w:val="left"/>
      <w:pPr>
        <w:ind w:left="1287" w:hanging="720"/>
      </w:pPr>
      <w:rPr>
        <w:rFonts w:hint="default" w:cs="Times New Roman"/>
        <w:color w:val="auto"/>
      </w:rPr>
    </w:lvl>
    <w:lvl w:ilvl="3" w:tentative="0">
      <w:start w:val="1"/>
      <w:numFmt w:val="decimal"/>
      <w:isLgl/>
      <w:lvlText w:val="%1.%2.%3.%4"/>
      <w:lvlJc w:val="left"/>
      <w:pPr>
        <w:ind w:left="1647" w:hanging="1080"/>
      </w:pPr>
      <w:rPr>
        <w:rFonts w:hint="default" w:cs="Times New Roman"/>
        <w:color w:val="auto"/>
      </w:rPr>
    </w:lvl>
    <w:lvl w:ilvl="4" w:tentative="0">
      <w:start w:val="1"/>
      <w:numFmt w:val="decimal"/>
      <w:isLgl/>
      <w:lvlText w:val="%1.%2.%3.%4.%5"/>
      <w:lvlJc w:val="left"/>
      <w:pPr>
        <w:ind w:left="1647" w:hanging="1080"/>
      </w:pPr>
      <w:rPr>
        <w:rFonts w:hint="default" w:cs="Times New Roman"/>
        <w:color w:val="auto"/>
      </w:rPr>
    </w:lvl>
    <w:lvl w:ilvl="5" w:tentative="0">
      <w:start w:val="1"/>
      <w:numFmt w:val="decimal"/>
      <w:isLgl/>
      <w:lvlText w:val="%1.%2.%3.%4.%5.%6"/>
      <w:lvlJc w:val="left"/>
      <w:pPr>
        <w:ind w:left="2007" w:hanging="1440"/>
      </w:pPr>
      <w:rPr>
        <w:rFonts w:hint="default" w:cs="Times New Roman"/>
        <w:color w:val="auto"/>
      </w:rPr>
    </w:lvl>
    <w:lvl w:ilvl="6" w:tentative="0">
      <w:start w:val="1"/>
      <w:numFmt w:val="decimal"/>
      <w:isLgl/>
      <w:lvlText w:val="%1.%2.%3.%4.%5.%6.%7"/>
      <w:lvlJc w:val="left"/>
      <w:pPr>
        <w:ind w:left="2007" w:hanging="1440"/>
      </w:pPr>
      <w:rPr>
        <w:rFonts w:hint="default" w:cs="Times New Roman"/>
        <w:color w:val="auto"/>
      </w:rPr>
    </w:lvl>
    <w:lvl w:ilvl="7" w:tentative="0">
      <w:start w:val="1"/>
      <w:numFmt w:val="decimal"/>
      <w:isLgl/>
      <w:lvlText w:val="%1.%2.%3.%4.%5.%6.%7.%8"/>
      <w:lvlJc w:val="left"/>
      <w:pPr>
        <w:ind w:left="2367" w:hanging="1800"/>
      </w:pPr>
      <w:rPr>
        <w:rFonts w:hint="default" w:cs="Times New Roman"/>
        <w:color w:val="auto"/>
      </w:rPr>
    </w:lvl>
    <w:lvl w:ilvl="8" w:tentative="0">
      <w:start w:val="1"/>
      <w:numFmt w:val="decimal"/>
      <w:isLgl/>
      <w:lvlText w:val="%1.%2.%3.%4.%5.%6.%7.%8.%9"/>
      <w:lvlJc w:val="left"/>
      <w:pPr>
        <w:ind w:left="2367" w:hanging="1800"/>
      </w:pPr>
      <w:rPr>
        <w:rFonts w:hint="default" w:cs="Times New Roman"/>
        <w:color w:val="auto"/>
      </w:rPr>
    </w:lvl>
  </w:abstractNum>
  <w:abstractNum w:abstractNumId="3">
    <w:nsid w:val="1DA4623C"/>
    <w:multiLevelType w:val="multilevel"/>
    <w:tmpl w:val="1DA4623C"/>
    <w:lvl w:ilvl="0" w:tentative="0">
      <w:start w:val="1"/>
      <w:numFmt w:val="decimal"/>
      <w:lvlText w:val="%1"/>
      <w:lvlJc w:val="left"/>
      <w:pPr>
        <w:ind w:left="425" w:hanging="425"/>
      </w:pPr>
      <w:rPr>
        <w:rFonts w:hint="eastAsia"/>
      </w:rPr>
    </w:lvl>
    <w:lvl w:ilvl="1" w:tentative="0">
      <w:start w:val="1"/>
      <w:numFmt w:val="decimal"/>
      <w:lvlText w:val="2.%2"/>
      <w:lvlJc w:val="left"/>
      <w:pPr>
        <w:ind w:left="1277"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246E4FB5"/>
    <w:multiLevelType w:val="singleLevel"/>
    <w:tmpl w:val="246E4FB5"/>
    <w:lvl w:ilvl="0" w:tentative="0">
      <w:start w:val="2"/>
      <w:numFmt w:val="decimal"/>
      <w:suff w:val="space"/>
      <w:lvlText w:val="%1."/>
      <w:lvlJc w:val="left"/>
      <w:rPr>
        <w:b/>
        <w:bCs/>
      </w:rPr>
    </w:lvl>
  </w:abstractNum>
  <w:abstractNum w:abstractNumId="5">
    <w:nsid w:val="647224B4"/>
    <w:multiLevelType w:val="singleLevel"/>
    <w:tmpl w:val="647224B4"/>
    <w:lvl w:ilvl="0" w:tentative="0">
      <w:start w:val="1"/>
      <w:numFmt w:val="decimal"/>
      <w:lvlText w:val="%1"/>
      <w:lvlJc w:val="center"/>
      <w:pPr>
        <w:tabs>
          <w:tab w:val="left" w:pos="170"/>
        </w:tabs>
        <w:ind w:left="0" w:firstLine="170"/>
      </w:pPr>
      <w:rPr>
        <w:rFonts w:hint="default"/>
      </w:rPr>
    </w:lvl>
  </w:abstractNum>
  <w:abstractNum w:abstractNumId="6">
    <w:nsid w:val="6472375E"/>
    <w:multiLevelType w:val="singleLevel"/>
    <w:tmpl w:val="6472375E"/>
    <w:lvl w:ilvl="0" w:tentative="0">
      <w:start w:val="1"/>
      <w:numFmt w:val="chineseCounting"/>
      <w:suff w:val="nothing"/>
      <w:lvlText w:val="（%1）"/>
      <w:lvlJc w:val="left"/>
    </w:lvl>
  </w:abstractNum>
  <w:abstractNum w:abstractNumId="7">
    <w:nsid w:val="64732144"/>
    <w:multiLevelType w:val="singleLevel"/>
    <w:tmpl w:val="64732144"/>
    <w:lvl w:ilvl="0" w:tentative="0">
      <w:start w:val="1"/>
      <w:numFmt w:val="chineseCounting"/>
      <w:suff w:val="nothing"/>
      <w:lvlText w:val="%1、"/>
      <w:lvlJc w:val="left"/>
    </w:lvl>
  </w:abstractNum>
  <w:num w:numId="1">
    <w:abstractNumId w:val="5"/>
  </w:num>
  <w:num w:numId="2">
    <w:abstractNumId w:val="0"/>
  </w:num>
  <w:num w:numId="3">
    <w:abstractNumId w:val="7"/>
  </w:num>
  <w:num w:numId="4">
    <w:abstractNumId w:val="2"/>
  </w:num>
  <w:num w:numId="5">
    <w:abstractNumId w:val="3"/>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425"/>
  <w:drawingGridHorizontalSpacing w:val="210"/>
  <w:drawingGridVerticalSpacing w:val="-7946"/>
  <w:displayHorizontalDrawingGridEvery w:val="1"/>
  <w:displayVerticalDrawingGridEvery w:val="1"/>
  <w:noPunctuationKerning w:val="1"/>
  <w:characterSpacingControl w:val="compressPunctuation"/>
  <w:doNotValidateAgainstSchema/>
  <w:doNotDemarcateInvalidXml/>
  <w:hdrShapeDefaults>
    <o:shapelayout v:ext="edit">
      <o:idmap v:ext="edit" data="2,3"/>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1MzljODBiNDliMzEyMzFlZWNlN2EzYjU0N2YzMWEifQ=="/>
  </w:docVars>
  <w:rsids>
    <w:rsidRoot w:val="00172A27"/>
    <w:rsid w:val="00006A94"/>
    <w:rsid w:val="00010A13"/>
    <w:rsid w:val="000138F2"/>
    <w:rsid w:val="00014E3B"/>
    <w:rsid w:val="0001640A"/>
    <w:rsid w:val="000206BB"/>
    <w:rsid w:val="00021717"/>
    <w:rsid w:val="00024F45"/>
    <w:rsid w:val="00026250"/>
    <w:rsid w:val="00026D16"/>
    <w:rsid w:val="00027BDA"/>
    <w:rsid w:val="0004593C"/>
    <w:rsid w:val="000475DA"/>
    <w:rsid w:val="00052CD1"/>
    <w:rsid w:val="000578A3"/>
    <w:rsid w:val="0005792D"/>
    <w:rsid w:val="000605C8"/>
    <w:rsid w:val="00064C64"/>
    <w:rsid w:val="000650A6"/>
    <w:rsid w:val="000674DB"/>
    <w:rsid w:val="0007288B"/>
    <w:rsid w:val="000861E1"/>
    <w:rsid w:val="000967DB"/>
    <w:rsid w:val="000A1559"/>
    <w:rsid w:val="000A2128"/>
    <w:rsid w:val="000B0EE6"/>
    <w:rsid w:val="000B251A"/>
    <w:rsid w:val="000B3426"/>
    <w:rsid w:val="000B3B62"/>
    <w:rsid w:val="000B4B62"/>
    <w:rsid w:val="000D36B7"/>
    <w:rsid w:val="000D6B02"/>
    <w:rsid w:val="000E677A"/>
    <w:rsid w:val="000F2FF6"/>
    <w:rsid w:val="00103A6A"/>
    <w:rsid w:val="00105A7A"/>
    <w:rsid w:val="00112426"/>
    <w:rsid w:val="00115B1A"/>
    <w:rsid w:val="00120ABE"/>
    <w:rsid w:val="00125D09"/>
    <w:rsid w:val="00130ABB"/>
    <w:rsid w:val="0013333F"/>
    <w:rsid w:val="0014668D"/>
    <w:rsid w:val="001513DA"/>
    <w:rsid w:val="001728C4"/>
    <w:rsid w:val="00172A27"/>
    <w:rsid w:val="00177940"/>
    <w:rsid w:val="00184E64"/>
    <w:rsid w:val="001945B5"/>
    <w:rsid w:val="00194876"/>
    <w:rsid w:val="001970EA"/>
    <w:rsid w:val="001A19C7"/>
    <w:rsid w:val="001A3623"/>
    <w:rsid w:val="001A582F"/>
    <w:rsid w:val="001B0A73"/>
    <w:rsid w:val="001C09B5"/>
    <w:rsid w:val="001C5DF1"/>
    <w:rsid w:val="001D7ECB"/>
    <w:rsid w:val="001F0C0F"/>
    <w:rsid w:val="00216217"/>
    <w:rsid w:val="002206B4"/>
    <w:rsid w:val="00222C47"/>
    <w:rsid w:val="002237A4"/>
    <w:rsid w:val="00250DE7"/>
    <w:rsid w:val="00257554"/>
    <w:rsid w:val="0027252D"/>
    <w:rsid w:val="002768B1"/>
    <w:rsid w:val="00277457"/>
    <w:rsid w:val="00277A83"/>
    <w:rsid w:val="00282D09"/>
    <w:rsid w:val="00286A04"/>
    <w:rsid w:val="0029448B"/>
    <w:rsid w:val="0029492E"/>
    <w:rsid w:val="00296D3F"/>
    <w:rsid w:val="002A79EF"/>
    <w:rsid w:val="002B6A40"/>
    <w:rsid w:val="002C2A97"/>
    <w:rsid w:val="002D5EA2"/>
    <w:rsid w:val="002F082C"/>
    <w:rsid w:val="002F1A9F"/>
    <w:rsid w:val="002F4258"/>
    <w:rsid w:val="002F4F92"/>
    <w:rsid w:val="002F550B"/>
    <w:rsid w:val="002F6B90"/>
    <w:rsid w:val="003008A9"/>
    <w:rsid w:val="00300D6E"/>
    <w:rsid w:val="003016F6"/>
    <w:rsid w:val="00306A4D"/>
    <w:rsid w:val="0032062A"/>
    <w:rsid w:val="003230A1"/>
    <w:rsid w:val="00326DC4"/>
    <w:rsid w:val="00337EEB"/>
    <w:rsid w:val="00340A8C"/>
    <w:rsid w:val="0034328D"/>
    <w:rsid w:val="00345F35"/>
    <w:rsid w:val="0035513B"/>
    <w:rsid w:val="00361894"/>
    <w:rsid w:val="00367441"/>
    <w:rsid w:val="003702EF"/>
    <w:rsid w:val="00372D91"/>
    <w:rsid w:val="00373B49"/>
    <w:rsid w:val="00374E93"/>
    <w:rsid w:val="00384051"/>
    <w:rsid w:val="0038616E"/>
    <w:rsid w:val="00396302"/>
    <w:rsid w:val="003A0497"/>
    <w:rsid w:val="003A0620"/>
    <w:rsid w:val="003A2B66"/>
    <w:rsid w:val="003C7145"/>
    <w:rsid w:val="003E01DF"/>
    <w:rsid w:val="003E4D42"/>
    <w:rsid w:val="003F088C"/>
    <w:rsid w:val="003F0CA1"/>
    <w:rsid w:val="003F245A"/>
    <w:rsid w:val="003F2E95"/>
    <w:rsid w:val="003F6959"/>
    <w:rsid w:val="00400A80"/>
    <w:rsid w:val="00402CD2"/>
    <w:rsid w:val="0042145E"/>
    <w:rsid w:val="00424FB7"/>
    <w:rsid w:val="004327F6"/>
    <w:rsid w:val="004436FB"/>
    <w:rsid w:val="004613C7"/>
    <w:rsid w:val="004616B3"/>
    <w:rsid w:val="00480D56"/>
    <w:rsid w:val="004855C4"/>
    <w:rsid w:val="004857D6"/>
    <w:rsid w:val="00487BB3"/>
    <w:rsid w:val="004928A4"/>
    <w:rsid w:val="00493B95"/>
    <w:rsid w:val="004967B8"/>
    <w:rsid w:val="004C3DE8"/>
    <w:rsid w:val="004C4B19"/>
    <w:rsid w:val="004C66BD"/>
    <w:rsid w:val="004E0C7A"/>
    <w:rsid w:val="004F2275"/>
    <w:rsid w:val="004F2E62"/>
    <w:rsid w:val="004F6CC6"/>
    <w:rsid w:val="004F7DD6"/>
    <w:rsid w:val="00500A09"/>
    <w:rsid w:val="00502E63"/>
    <w:rsid w:val="0050403E"/>
    <w:rsid w:val="005040A4"/>
    <w:rsid w:val="00513DB1"/>
    <w:rsid w:val="00516A56"/>
    <w:rsid w:val="00523B89"/>
    <w:rsid w:val="00524FEC"/>
    <w:rsid w:val="005261FB"/>
    <w:rsid w:val="005271DB"/>
    <w:rsid w:val="0052751E"/>
    <w:rsid w:val="005537A7"/>
    <w:rsid w:val="00556932"/>
    <w:rsid w:val="00557808"/>
    <w:rsid w:val="00564DEC"/>
    <w:rsid w:val="00582219"/>
    <w:rsid w:val="005828CE"/>
    <w:rsid w:val="005850B1"/>
    <w:rsid w:val="005937FE"/>
    <w:rsid w:val="00594986"/>
    <w:rsid w:val="005A3256"/>
    <w:rsid w:val="005B1694"/>
    <w:rsid w:val="005B1E46"/>
    <w:rsid w:val="005B3597"/>
    <w:rsid w:val="005C5B70"/>
    <w:rsid w:val="005C661B"/>
    <w:rsid w:val="005D0F9F"/>
    <w:rsid w:val="005D3D4D"/>
    <w:rsid w:val="005E4A0C"/>
    <w:rsid w:val="005F6D94"/>
    <w:rsid w:val="006009DC"/>
    <w:rsid w:val="00613110"/>
    <w:rsid w:val="00623901"/>
    <w:rsid w:val="00626D6A"/>
    <w:rsid w:val="00637E49"/>
    <w:rsid w:val="00642A61"/>
    <w:rsid w:val="0064348E"/>
    <w:rsid w:val="00651F4F"/>
    <w:rsid w:val="00661B3A"/>
    <w:rsid w:val="00662093"/>
    <w:rsid w:val="00664042"/>
    <w:rsid w:val="00671938"/>
    <w:rsid w:val="0068275B"/>
    <w:rsid w:val="0068326A"/>
    <w:rsid w:val="00690501"/>
    <w:rsid w:val="00690E82"/>
    <w:rsid w:val="00691E1E"/>
    <w:rsid w:val="0069245D"/>
    <w:rsid w:val="00695B6A"/>
    <w:rsid w:val="006A3723"/>
    <w:rsid w:val="006A6818"/>
    <w:rsid w:val="006A6DF8"/>
    <w:rsid w:val="006C0842"/>
    <w:rsid w:val="006C42D1"/>
    <w:rsid w:val="006D1CC4"/>
    <w:rsid w:val="006D5437"/>
    <w:rsid w:val="006D5C59"/>
    <w:rsid w:val="006D7F3D"/>
    <w:rsid w:val="006E0276"/>
    <w:rsid w:val="006E27C1"/>
    <w:rsid w:val="006F2021"/>
    <w:rsid w:val="006F5816"/>
    <w:rsid w:val="00703DEA"/>
    <w:rsid w:val="0072511F"/>
    <w:rsid w:val="0072738D"/>
    <w:rsid w:val="007448B9"/>
    <w:rsid w:val="00750916"/>
    <w:rsid w:val="007526DE"/>
    <w:rsid w:val="00755BFE"/>
    <w:rsid w:val="00771D5E"/>
    <w:rsid w:val="0077278E"/>
    <w:rsid w:val="0077564C"/>
    <w:rsid w:val="00775882"/>
    <w:rsid w:val="0078002F"/>
    <w:rsid w:val="00782AA2"/>
    <w:rsid w:val="007834ED"/>
    <w:rsid w:val="00784DC6"/>
    <w:rsid w:val="007937F2"/>
    <w:rsid w:val="007A0F8C"/>
    <w:rsid w:val="007A359F"/>
    <w:rsid w:val="007A5A56"/>
    <w:rsid w:val="007A6BC0"/>
    <w:rsid w:val="007B23A9"/>
    <w:rsid w:val="007C3E9F"/>
    <w:rsid w:val="007C4E6E"/>
    <w:rsid w:val="007D1D36"/>
    <w:rsid w:val="007D6309"/>
    <w:rsid w:val="007D648E"/>
    <w:rsid w:val="007E1576"/>
    <w:rsid w:val="007F0E49"/>
    <w:rsid w:val="007F72E8"/>
    <w:rsid w:val="008044FD"/>
    <w:rsid w:val="008100D3"/>
    <w:rsid w:val="00814B5A"/>
    <w:rsid w:val="0082167B"/>
    <w:rsid w:val="00824C36"/>
    <w:rsid w:val="00827DF2"/>
    <w:rsid w:val="0083549E"/>
    <w:rsid w:val="00836671"/>
    <w:rsid w:val="008438F8"/>
    <w:rsid w:val="00847D32"/>
    <w:rsid w:val="0085062F"/>
    <w:rsid w:val="008507DF"/>
    <w:rsid w:val="008526E9"/>
    <w:rsid w:val="008526EE"/>
    <w:rsid w:val="0085314B"/>
    <w:rsid w:val="00856CC9"/>
    <w:rsid w:val="0086098D"/>
    <w:rsid w:val="00865D1E"/>
    <w:rsid w:val="00870DD9"/>
    <w:rsid w:val="008843CF"/>
    <w:rsid w:val="00891154"/>
    <w:rsid w:val="008934E6"/>
    <w:rsid w:val="008A205C"/>
    <w:rsid w:val="008B66A2"/>
    <w:rsid w:val="008B6E77"/>
    <w:rsid w:val="008C4383"/>
    <w:rsid w:val="008C66F7"/>
    <w:rsid w:val="008C6B4C"/>
    <w:rsid w:val="008D0464"/>
    <w:rsid w:val="008D0FB5"/>
    <w:rsid w:val="008D1D78"/>
    <w:rsid w:val="008F41D9"/>
    <w:rsid w:val="00904CEE"/>
    <w:rsid w:val="009223B3"/>
    <w:rsid w:val="00927926"/>
    <w:rsid w:val="009352B5"/>
    <w:rsid w:val="00936139"/>
    <w:rsid w:val="00940DF2"/>
    <w:rsid w:val="009565B7"/>
    <w:rsid w:val="0096572A"/>
    <w:rsid w:val="00975788"/>
    <w:rsid w:val="0098234E"/>
    <w:rsid w:val="009855D9"/>
    <w:rsid w:val="009B748B"/>
    <w:rsid w:val="009C31CF"/>
    <w:rsid w:val="009C5D8A"/>
    <w:rsid w:val="009C7879"/>
    <w:rsid w:val="009D7165"/>
    <w:rsid w:val="009E0ACA"/>
    <w:rsid w:val="009E2A86"/>
    <w:rsid w:val="009E3EFA"/>
    <w:rsid w:val="009E4070"/>
    <w:rsid w:val="009E5DD9"/>
    <w:rsid w:val="009E750E"/>
    <w:rsid w:val="009F637C"/>
    <w:rsid w:val="00A01445"/>
    <w:rsid w:val="00A03158"/>
    <w:rsid w:val="00A065DD"/>
    <w:rsid w:val="00A07A7B"/>
    <w:rsid w:val="00A126D8"/>
    <w:rsid w:val="00A12E46"/>
    <w:rsid w:val="00A17012"/>
    <w:rsid w:val="00A32FC8"/>
    <w:rsid w:val="00A4178B"/>
    <w:rsid w:val="00A531F3"/>
    <w:rsid w:val="00A5411A"/>
    <w:rsid w:val="00A54396"/>
    <w:rsid w:val="00A545E0"/>
    <w:rsid w:val="00A60ECA"/>
    <w:rsid w:val="00A65D5E"/>
    <w:rsid w:val="00A66EAB"/>
    <w:rsid w:val="00A81EF1"/>
    <w:rsid w:val="00A9467A"/>
    <w:rsid w:val="00A95970"/>
    <w:rsid w:val="00AA1EF2"/>
    <w:rsid w:val="00AA64FD"/>
    <w:rsid w:val="00AB27AB"/>
    <w:rsid w:val="00AB4276"/>
    <w:rsid w:val="00AB590E"/>
    <w:rsid w:val="00AB62C0"/>
    <w:rsid w:val="00AB6CD8"/>
    <w:rsid w:val="00AC1EC5"/>
    <w:rsid w:val="00AC5492"/>
    <w:rsid w:val="00AC66FF"/>
    <w:rsid w:val="00AC7ABC"/>
    <w:rsid w:val="00AD61CF"/>
    <w:rsid w:val="00AE2EF3"/>
    <w:rsid w:val="00AE7863"/>
    <w:rsid w:val="00AF06D5"/>
    <w:rsid w:val="00B112FD"/>
    <w:rsid w:val="00B12FC8"/>
    <w:rsid w:val="00B141AE"/>
    <w:rsid w:val="00B146BA"/>
    <w:rsid w:val="00B14A27"/>
    <w:rsid w:val="00B25E70"/>
    <w:rsid w:val="00B27F48"/>
    <w:rsid w:val="00B3085A"/>
    <w:rsid w:val="00B413FC"/>
    <w:rsid w:val="00B537B5"/>
    <w:rsid w:val="00B53D94"/>
    <w:rsid w:val="00B54D3B"/>
    <w:rsid w:val="00B62EA8"/>
    <w:rsid w:val="00B67BD7"/>
    <w:rsid w:val="00B72EA1"/>
    <w:rsid w:val="00B848D2"/>
    <w:rsid w:val="00B86376"/>
    <w:rsid w:val="00B93803"/>
    <w:rsid w:val="00BA3B87"/>
    <w:rsid w:val="00BA3E8F"/>
    <w:rsid w:val="00BB1BDB"/>
    <w:rsid w:val="00BB5319"/>
    <w:rsid w:val="00BB7129"/>
    <w:rsid w:val="00BC5493"/>
    <w:rsid w:val="00BC5FA7"/>
    <w:rsid w:val="00BD6698"/>
    <w:rsid w:val="00BD6CCF"/>
    <w:rsid w:val="00BE24E5"/>
    <w:rsid w:val="00BE7A3E"/>
    <w:rsid w:val="00C23C83"/>
    <w:rsid w:val="00C44F61"/>
    <w:rsid w:val="00C51BE6"/>
    <w:rsid w:val="00C52D43"/>
    <w:rsid w:val="00C532DB"/>
    <w:rsid w:val="00C63F9E"/>
    <w:rsid w:val="00C70E6E"/>
    <w:rsid w:val="00C72151"/>
    <w:rsid w:val="00C72917"/>
    <w:rsid w:val="00C96500"/>
    <w:rsid w:val="00C975DC"/>
    <w:rsid w:val="00C97A5F"/>
    <w:rsid w:val="00C97F25"/>
    <w:rsid w:val="00CA58A0"/>
    <w:rsid w:val="00CB2616"/>
    <w:rsid w:val="00CB2F94"/>
    <w:rsid w:val="00CC043E"/>
    <w:rsid w:val="00CC1979"/>
    <w:rsid w:val="00CC2D52"/>
    <w:rsid w:val="00CE028F"/>
    <w:rsid w:val="00CE3F54"/>
    <w:rsid w:val="00CF168A"/>
    <w:rsid w:val="00CF349E"/>
    <w:rsid w:val="00D026FC"/>
    <w:rsid w:val="00D034C5"/>
    <w:rsid w:val="00D03571"/>
    <w:rsid w:val="00D17C63"/>
    <w:rsid w:val="00D2748E"/>
    <w:rsid w:val="00D33CCF"/>
    <w:rsid w:val="00D44F4A"/>
    <w:rsid w:val="00D564B5"/>
    <w:rsid w:val="00D656A4"/>
    <w:rsid w:val="00D700DD"/>
    <w:rsid w:val="00D84098"/>
    <w:rsid w:val="00D84359"/>
    <w:rsid w:val="00DA32BA"/>
    <w:rsid w:val="00DA4699"/>
    <w:rsid w:val="00DA659D"/>
    <w:rsid w:val="00DA69C5"/>
    <w:rsid w:val="00DA79D5"/>
    <w:rsid w:val="00DB1673"/>
    <w:rsid w:val="00DB26D6"/>
    <w:rsid w:val="00DC63C0"/>
    <w:rsid w:val="00DE281B"/>
    <w:rsid w:val="00DE2C79"/>
    <w:rsid w:val="00DE4309"/>
    <w:rsid w:val="00DE56BC"/>
    <w:rsid w:val="00DE6209"/>
    <w:rsid w:val="00DF1C3D"/>
    <w:rsid w:val="00E04448"/>
    <w:rsid w:val="00E06528"/>
    <w:rsid w:val="00E0691A"/>
    <w:rsid w:val="00E07DE8"/>
    <w:rsid w:val="00E16CA2"/>
    <w:rsid w:val="00E2469E"/>
    <w:rsid w:val="00E2474B"/>
    <w:rsid w:val="00E322D2"/>
    <w:rsid w:val="00E3449D"/>
    <w:rsid w:val="00E3691A"/>
    <w:rsid w:val="00E43DC1"/>
    <w:rsid w:val="00E47F50"/>
    <w:rsid w:val="00E52098"/>
    <w:rsid w:val="00E52653"/>
    <w:rsid w:val="00E54F42"/>
    <w:rsid w:val="00E55ADE"/>
    <w:rsid w:val="00E62927"/>
    <w:rsid w:val="00E65851"/>
    <w:rsid w:val="00E659D4"/>
    <w:rsid w:val="00E706E0"/>
    <w:rsid w:val="00E7077B"/>
    <w:rsid w:val="00E75233"/>
    <w:rsid w:val="00E77E76"/>
    <w:rsid w:val="00E954F8"/>
    <w:rsid w:val="00EB3DF8"/>
    <w:rsid w:val="00EC6347"/>
    <w:rsid w:val="00ED02BF"/>
    <w:rsid w:val="00ED5E08"/>
    <w:rsid w:val="00EE1C8B"/>
    <w:rsid w:val="00EE35E5"/>
    <w:rsid w:val="00EE5B1C"/>
    <w:rsid w:val="00EE5E25"/>
    <w:rsid w:val="00EF5FA9"/>
    <w:rsid w:val="00F01435"/>
    <w:rsid w:val="00F036F0"/>
    <w:rsid w:val="00F16435"/>
    <w:rsid w:val="00F209CE"/>
    <w:rsid w:val="00F31D3F"/>
    <w:rsid w:val="00F32E52"/>
    <w:rsid w:val="00F373F7"/>
    <w:rsid w:val="00F406AE"/>
    <w:rsid w:val="00F40B0A"/>
    <w:rsid w:val="00F43ED3"/>
    <w:rsid w:val="00F44971"/>
    <w:rsid w:val="00F45D92"/>
    <w:rsid w:val="00F468DD"/>
    <w:rsid w:val="00F603FC"/>
    <w:rsid w:val="00F63737"/>
    <w:rsid w:val="00F657BB"/>
    <w:rsid w:val="00F67FFC"/>
    <w:rsid w:val="00F75F12"/>
    <w:rsid w:val="00F77540"/>
    <w:rsid w:val="00F77A48"/>
    <w:rsid w:val="00F8673E"/>
    <w:rsid w:val="00F90A61"/>
    <w:rsid w:val="00F95C86"/>
    <w:rsid w:val="00F96956"/>
    <w:rsid w:val="00F974C0"/>
    <w:rsid w:val="00F97BC4"/>
    <w:rsid w:val="00FA70A2"/>
    <w:rsid w:val="00FA7E89"/>
    <w:rsid w:val="00FB1487"/>
    <w:rsid w:val="00FC1DDC"/>
    <w:rsid w:val="00FC2E61"/>
    <w:rsid w:val="00FC6CFE"/>
    <w:rsid w:val="00FD0C07"/>
    <w:rsid w:val="00FD709F"/>
    <w:rsid w:val="00FE4407"/>
    <w:rsid w:val="00FE5E86"/>
    <w:rsid w:val="00FF3CB3"/>
    <w:rsid w:val="011C256C"/>
    <w:rsid w:val="011E11B2"/>
    <w:rsid w:val="012526ED"/>
    <w:rsid w:val="013111F5"/>
    <w:rsid w:val="01527EDF"/>
    <w:rsid w:val="01591DAF"/>
    <w:rsid w:val="01625187"/>
    <w:rsid w:val="019A392B"/>
    <w:rsid w:val="01A00F03"/>
    <w:rsid w:val="01D70B50"/>
    <w:rsid w:val="01E451B5"/>
    <w:rsid w:val="01E62BF6"/>
    <w:rsid w:val="02150B4D"/>
    <w:rsid w:val="02552523"/>
    <w:rsid w:val="025821F7"/>
    <w:rsid w:val="027D1E8C"/>
    <w:rsid w:val="02895B13"/>
    <w:rsid w:val="028E7395"/>
    <w:rsid w:val="0292312B"/>
    <w:rsid w:val="029D724E"/>
    <w:rsid w:val="03137173"/>
    <w:rsid w:val="033E70DF"/>
    <w:rsid w:val="035C483A"/>
    <w:rsid w:val="0367724A"/>
    <w:rsid w:val="037D3116"/>
    <w:rsid w:val="03962A60"/>
    <w:rsid w:val="04011C72"/>
    <w:rsid w:val="0423121E"/>
    <w:rsid w:val="043671AB"/>
    <w:rsid w:val="04382766"/>
    <w:rsid w:val="043E1130"/>
    <w:rsid w:val="045A1FA8"/>
    <w:rsid w:val="047558D8"/>
    <w:rsid w:val="04A1439A"/>
    <w:rsid w:val="04A702A3"/>
    <w:rsid w:val="04B14206"/>
    <w:rsid w:val="04BC67AE"/>
    <w:rsid w:val="04EB0712"/>
    <w:rsid w:val="05075ADC"/>
    <w:rsid w:val="05662AC7"/>
    <w:rsid w:val="05681FB7"/>
    <w:rsid w:val="056A46EC"/>
    <w:rsid w:val="05A949CB"/>
    <w:rsid w:val="05AE2263"/>
    <w:rsid w:val="05BE5307"/>
    <w:rsid w:val="05D750A2"/>
    <w:rsid w:val="05DF092A"/>
    <w:rsid w:val="061F6399"/>
    <w:rsid w:val="06226A25"/>
    <w:rsid w:val="06280B5D"/>
    <w:rsid w:val="062975E3"/>
    <w:rsid w:val="06325679"/>
    <w:rsid w:val="068E0277"/>
    <w:rsid w:val="069F3663"/>
    <w:rsid w:val="06B56391"/>
    <w:rsid w:val="06D22A09"/>
    <w:rsid w:val="06D870D9"/>
    <w:rsid w:val="06FE2753"/>
    <w:rsid w:val="06FF52F7"/>
    <w:rsid w:val="071F0129"/>
    <w:rsid w:val="072C05B2"/>
    <w:rsid w:val="073D1F23"/>
    <w:rsid w:val="074A39DE"/>
    <w:rsid w:val="07534492"/>
    <w:rsid w:val="075B1FFD"/>
    <w:rsid w:val="07824BC2"/>
    <w:rsid w:val="07960FF5"/>
    <w:rsid w:val="07CE5979"/>
    <w:rsid w:val="080D288E"/>
    <w:rsid w:val="087F0174"/>
    <w:rsid w:val="08B07BDA"/>
    <w:rsid w:val="08C75B33"/>
    <w:rsid w:val="08E3673B"/>
    <w:rsid w:val="092E3070"/>
    <w:rsid w:val="094B287A"/>
    <w:rsid w:val="094D6CAE"/>
    <w:rsid w:val="09524D48"/>
    <w:rsid w:val="09784EA8"/>
    <w:rsid w:val="098134B0"/>
    <w:rsid w:val="09913193"/>
    <w:rsid w:val="09941BAA"/>
    <w:rsid w:val="099E0386"/>
    <w:rsid w:val="09A51579"/>
    <w:rsid w:val="09B246FB"/>
    <w:rsid w:val="09E964AF"/>
    <w:rsid w:val="0A083331"/>
    <w:rsid w:val="0A246AB8"/>
    <w:rsid w:val="0A333D26"/>
    <w:rsid w:val="0A337614"/>
    <w:rsid w:val="0A4F7011"/>
    <w:rsid w:val="0A6E7355"/>
    <w:rsid w:val="0A860291"/>
    <w:rsid w:val="0A8E3333"/>
    <w:rsid w:val="0A9D31F2"/>
    <w:rsid w:val="0AB13762"/>
    <w:rsid w:val="0ABE0520"/>
    <w:rsid w:val="0AD44E8F"/>
    <w:rsid w:val="0AE97B47"/>
    <w:rsid w:val="0AF41CF4"/>
    <w:rsid w:val="0B064109"/>
    <w:rsid w:val="0B1775DA"/>
    <w:rsid w:val="0B243B52"/>
    <w:rsid w:val="0B251BF6"/>
    <w:rsid w:val="0B2C4193"/>
    <w:rsid w:val="0B47389E"/>
    <w:rsid w:val="0B9151D6"/>
    <w:rsid w:val="0BA53C97"/>
    <w:rsid w:val="0BBF6B41"/>
    <w:rsid w:val="0BC6066B"/>
    <w:rsid w:val="0BD71CC2"/>
    <w:rsid w:val="0BEE06F3"/>
    <w:rsid w:val="0BF04834"/>
    <w:rsid w:val="0C335C74"/>
    <w:rsid w:val="0C3B29EE"/>
    <w:rsid w:val="0C401627"/>
    <w:rsid w:val="0C4C1855"/>
    <w:rsid w:val="0C4C738D"/>
    <w:rsid w:val="0C540DC0"/>
    <w:rsid w:val="0C7A710B"/>
    <w:rsid w:val="0CAB755A"/>
    <w:rsid w:val="0CB55C32"/>
    <w:rsid w:val="0CBC7656"/>
    <w:rsid w:val="0CCA7C19"/>
    <w:rsid w:val="0CD437CB"/>
    <w:rsid w:val="0CDF7C06"/>
    <w:rsid w:val="0CF7360C"/>
    <w:rsid w:val="0CFF0F1B"/>
    <w:rsid w:val="0D1E2A49"/>
    <w:rsid w:val="0D3A7D9F"/>
    <w:rsid w:val="0D5079C9"/>
    <w:rsid w:val="0D57214D"/>
    <w:rsid w:val="0D8727EA"/>
    <w:rsid w:val="0DAC1A51"/>
    <w:rsid w:val="0DB461AA"/>
    <w:rsid w:val="0DCA2721"/>
    <w:rsid w:val="0DCA6573"/>
    <w:rsid w:val="0DD71957"/>
    <w:rsid w:val="0DE37E21"/>
    <w:rsid w:val="0E1E09EC"/>
    <w:rsid w:val="0E1F5B04"/>
    <w:rsid w:val="0E3B401F"/>
    <w:rsid w:val="0E4544C4"/>
    <w:rsid w:val="0E4F4A1D"/>
    <w:rsid w:val="0E5028C0"/>
    <w:rsid w:val="0E6242F1"/>
    <w:rsid w:val="0E725C2C"/>
    <w:rsid w:val="0E785CD6"/>
    <w:rsid w:val="0E8A1010"/>
    <w:rsid w:val="0EA55EF1"/>
    <w:rsid w:val="0EBE6504"/>
    <w:rsid w:val="0ED25781"/>
    <w:rsid w:val="0ED6768D"/>
    <w:rsid w:val="0EE802A4"/>
    <w:rsid w:val="0EF97E05"/>
    <w:rsid w:val="0F0A1A7F"/>
    <w:rsid w:val="0F0F1508"/>
    <w:rsid w:val="0F264E85"/>
    <w:rsid w:val="0F3C1ED8"/>
    <w:rsid w:val="0F4446F1"/>
    <w:rsid w:val="0F581D20"/>
    <w:rsid w:val="0F970DD1"/>
    <w:rsid w:val="0FE2074E"/>
    <w:rsid w:val="101C2A28"/>
    <w:rsid w:val="10C10E3F"/>
    <w:rsid w:val="10C802E5"/>
    <w:rsid w:val="10EF5477"/>
    <w:rsid w:val="10FB30A3"/>
    <w:rsid w:val="11086E21"/>
    <w:rsid w:val="110B4192"/>
    <w:rsid w:val="111C267A"/>
    <w:rsid w:val="11460A14"/>
    <w:rsid w:val="11534E21"/>
    <w:rsid w:val="11650E8E"/>
    <w:rsid w:val="116B13C1"/>
    <w:rsid w:val="11A938BB"/>
    <w:rsid w:val="11AF49CC"/>
    <w:rsid w:val="11BF23B2"/>
    <w:rsid w:val="11C36D82"/>
    <w:rsid w:val="11E42A85"/>
    <w:rsid w:val="11E45F6B"/>
    <w:rsid w:val="1200322E"/>
    <w:rsid w:val="121C3B3F"/>
    <w:rsid w:val="12277192"/>
    <w:rsid w:val="122E5164"/>
    <w:rsid w:val="12436EB6"/>
    <w:rsid w:val="12521634"/>
    <w:rsid w:val="128C1739"/>
    <w:rsid w:val="12AF1625"/>
    <w:rsid w:val="12BE3850"/>
    <w:rsid w:val="12D15E76"/>
    <w:rsid w:val="12D750FD"/>
    <w:rsid w:val="12F14400"/>
    <w:rsid w:val="13012EDD"/>
    <w:rsid w:val="132A0456"/>
    <w:rsid w:val="1334421E"/>
    <w:rsid w:val="13816095"/>
    <w:rsid w:val="139212A0"/>
    <w:rsid w:val="13A419C0"/>
    <w:rsid w:val="13A628DD"/>
    <w:rsid w:val="13A918DF"/>
    <w:rsid w:val="13A949EE"/>
    <w:rsid w:val="13B40BB5"/>
    <w:rsid w:val="13B82662"/>
    <w:rsid w:val="13CE218A"/>
    <w:rsid w:val="13D83FF2"/>
    <w:rsid w:val="13F105D7"/>
    <w:rsid w:val="141B07A0"/>
    <w:rsid w:val="141E34FA"/>
    <w:rsid w:val="145F7FF5"/>
    <w:rsid w:val="14622B1B"/>
    <w:rsid w:val="148C2F05"/>
    <w:rsid w:val="149D7403"/>
    <w:rsid w:val="14A078F0"/>
    <w:rsid w:val="14B64904"/>
    <w:rsid w:val="14B836DE"/>
    <w:rsid w:val="14B94509"/>
    <w:rsid w:val="14D83E1F"/>
    <w:rsid w:val="14E204F9"/>
    <w:rsid w:val="1538215B"/>
    <w:rsid w:val="159C229A"/>
    <w:rsid w:val="159F2069"/>
    <w:rsid w:val="15DC65B9"/>
    <w:rsid w:val="15DF7FC3"/>
    <w:rsid w:val="15F95D46"/>
    <w:rsid w:val="15FF1F8C"/>
    <w:rsid w:val="161863FE"/>
    <w:rsid w:val="163B684A"/>
    <w:rsid w:val="166B7495"/>
    <w:rsid w:val="16AE4853"/>
    <w:rsid w:val="16AF0185"/>
    <w:rsid w:val="16CD113C"/>
    <w:rsid w:val="16CF50A6"/>
    <w:rsid w:val="16ED44DA"/>
    <w:rsid w:val="16FC5CD5"/>
    <w:rsid w:val="170843D6"/>
    <w:rsid w:val="1721018C"/>
    <w:rsid w:val="17416D4D"/>
    <w:rsid w:val="174D567C"/>
    <w:rsid w:val="174F2990"/>
    <w:rsid w:val="17870C46"/>
    <w:rsid w:val="1790395F"/>
    <w:rsid w:val="17A27336"/>
    <w:rsid w:val="17AB786B"/>
    <w:rsid w:val="17B20016"/>
    <w:rsid w:val="17BD6A61"/>
    <w:rsid w:val="17ED6034"/>
    <w:rsid w:val="17FA7979"/>
    <w:rsid w:val="181E0C1C"/>
    <w:rsid w:val="182B2BE2"/>
    <w:rsid w:val="182B47C5"/>
    <w:rsid w:val="185307E2"/>
    <w:rsid w:val="185769C4"/>
    <w:rsid w:val="1866695F"/>
    <w:rsid w:val="186B7E89"/>
    <w:rsid w:val="18AC5CCF"/>
    <w:rsid w:val="18AE3E75"/>
    <w:rsid w:val="18C82B09"/>
    <w:rsid w:val="18EE7721"/>
    <w:rsid w:val="19091539"/>
    <w:rsid w:val="190A1374"/>
    <w:rsid w:val="1939201B"/>
    <w:rsid w:val="19414B14"/>
    <w:rsid w:val="194F69A7"/>
    <w:rsid w:val="195D7684"/>
    <w:rsid w:val="196809E8"/>
    <w:rsid w:val="19772571"/>
    <w:rsid w:val="19AB30FE"/>
    <w:rsid w:val="19B3292F"/>
    <w:rsid w:val="19B42420"/>
    <w:rsid w:val="19D16884"/>
    <w:rsid w:val="19D90D46"/>
    <w:rsid w:val="19E85F02"/>
    <w:rsid w:val="1A092B76"/>
    <w:rsid w:val="1A106FF9"/>
    <w:rsid w:val="1A1B1A53"/>
    <w:rsid w:val="1A586719"/>
    <w:rsid w:val="1A760CD8"/>
    <w:rsid w:val="1A7D3B8C"/>
    <w:rsid w:val="1AA11864"/>
    <w:rsid w:val="1ABF3694"/>
    <w:rsid w:val="1AEC3CA6"/>
    <w:rsid w:val="1B0946AA"/>
    <w:rsid w:val="1B342824"/>
    <w:rsid w:val="1B6F265C"/>
    <w:rsid w:val="1BA46CA2"/>
    <w:rsid w:val="1BA958A8"/>
    <w:rsid w:val="1BB10779"/>
    <w:rsid w:val="1BCA1274"/>
    <w:rsid w:val="1C542E6D"/>
    <w:rsid w:val="1C5740BC"/>
    <w:rsid w:val="1CE323DB"/>
    <w:rsid w:val="1D1D63D2"/>
    <w:rsid w:val="1D594B01"/>
    <w:rsid w:val="1D655C6E"/>
    <w:rsid w:val="1D775CB7"/>
    <w:rsid w:val="1D7B5631"/>
    <w:rsid w:val="1D870088"/>
    <w:rsid w:val="1D996C1F"/>
    <w:rsid w:val="1D9D4D13"/>
    <w:rsid w:val="1DCF4C7E"/>
    <w:rsid w:val="1DD25A19"/>
    <w:rsid w:val="1DF262C0"/>
    <w:rsid w:val="1E3C64F5"/>
    <w:rsid w:val="1E5D13D7"/>
    <w:rsid w:val="1E5D66F6"/>
    <w:rsid w:val="1E7D4F9B"/>
    <w:rsid w:val="1EB06E01"/>
    <w:rsid w:val="1EB945DC"/>
    <w:rsid w:val="1EC901E2"/>
    <w:rsid w:val="1EF94842"/>
    <w:rsid w:val="1F15438D"/>
    <w:rsid w:val="1F5B4EEB"/>
    <w:rsid w:val="1F72617F"/>
    <w:rsid w:val="1F756139"/>
    <w:rsid w:val="1F85537A"/>
    <w:rsid w:val="1F9000F9"/>
    <w:rsid w:val="1F9C5654"/>
    <w:rsid w:val="1F9E196B"/>
    <w:rsid w:val="1FBF453A"/>
    <w:rsid w:val="1FE67FD9"/>
    <w:rsid w:val="200F7048"/>
    <w:rsid w:val="20251861"/>
    <w:rsid w:val="20327222"/>
    <w:rsid w:val="204004F3"/>
    <w:rsid w:val="20410F67"/>
    <w:rsid w:val="20587304"/>
    <w:rsid w:val="208A1BBA"/>
    <w:rsid w:val="20A17154"/>
    <w:rsid w:val="20A26336"/>
    <w:rsid w:val="20FC79B4"/>
    <w:rsid w:val="20FE334B"/>
    <w:rsid w:val="21193906"/>
    <w:rsid w:val="214D7990"/>
    <w:rsid w:val="21592794"/>
    <w:rsid w:val="215B3DE4"/>
    <w:rsid w:val="215F20BD"/>
    <w:rsid w:val="21605F7A"/>
    <w:rsid w:val="216B5FFB"/>
    <w:rsid w:val="216E0B8F"/>
    <w:rsid w:val="2199791E"/>
    <w:rsid w:val="21B86216"/>
    <w:rsid w:val="21C3558E"/>
    <w:rsid w:val="21C706CC"/>
    <w:rsid w:val="22326228"/>
    <w:rsid w:val="22421B7E"/>
    <w:rsid w:val="22457549"/>
    <w:rsid w:val="224C5A3E"/>
    <w:rsid w:val="224F2A09"/>
    <w:rsid w:val="225C7D64"/>
    <w:rsid w:val="225E7682"/>
    <w:rsid w:val="2269635C"/>
    <w:rsid w:val="228C1A65"/>
    <w:rsid w:val="228D4195"/>
    <w:rsid w:val="229125E8"/>
    <w:rsid w:val="22AA4E49"/>
    <w:rsid w:val="22C01718"/>
    <w:rsid w:val="22CA165A"/>
    <w:rsid w:val="22D24A4D"/>
    <w:rsid w:val="22EC1E92"/>
    <w:rsid w:val="232B5F5E"/>
    <w:rsid w:val="23334645"/>
    <w:rsid w:val="235E6C61"/>
    <w:rsid w:val="2381217A"/>
    <w:rsid w:val="239351B2"/>
    <w:rsid w:val="23C8523B"/>
    <w:rsid w:val="23E00F22"/>
    <w:rsid w:val="23E33DFF"/>
    <w:rsid w:val="23F90EA7"/>
    <w:rsid w:val="246403A9"/>
    <w:rsid w:val="24730E59"/>
    <w:rsid w:val="24A94248"/>
    <w:rsid w:val="24B51F22"/>
    <w:rsid w:val="24CC2D4F"/>
    <w:rsid w:val="24FE6940"/>
    <w:rsid w:val="25021151"/>
    <w:rsid w:val="25030867"/>
    <w:rsid w:val="25392F14"/>
    <w:rsid w:val="256442AC"/>
    <w:rsid w:val="2584633F"/>
    <w:rsid w:val="25BE7D5D"/>
    <w:rsid w:val="25C57992"/>
    <w:rsid w:val="25DA0C9E"/>
    <w:rsid w:val="260B4047"/>
    <w:rsid w:val="261A127C"/>
    <w:rsid w:val="261B3491"/>
    <w:rsid w:val="261D3980"/>
    <w:rsid w:val="264D180B"/>
    <w:rsid w:val="26871BDC"/>
    <w:rsid w:val="26AE0B66"/>
    <w:rsid w:val="26B77804"/>
    <w:rsid w:val="26B877A0"/>
    <w:rsid w:val="26E25569"/>
    <w:rsid w:val="26FB5337"/>
    <w:rsid w:val="27096EC9"/>
    <w:rsid w:val="27307622"/>
    <w:rsid w:val="273322D8"/>
    <w:rsid w:val="27470A77"/>
    <w:rsid w:val="27636E07"/>
    <w:rsid w:val="278C68FA"/>
    <w:rsid w:val="27D65A32"/>
    <w:rsid w:val="2823612C"/>
    <w:rsid w:val="28361BDE"/>
    <w:rsid w:val="28377363"/>
    <w:rsid w:val="2888434B"/>
    <w:rsid w:val="28ED2E36"/>
    <w:rsid w:val="2936634D"/>
    <w:rsid w:val="295964F7"/>
    <w:rsid w:val="296F06D8"/>
    <w:rsid w:val="29814734"/>
    <w:rsid w:val="29934F7E"/>
    <w:rsid w:val="29A80E1B"/>
    <w:rsid w:val="29C4050D"/>
    <w:rsid w:val="29D047A9"/>
    <w:rsid w:val="29E14B7B"/>
    <w:rsid w:val="29EC2FE1"/>
    <w:rsid w:val="29F91127"/>
    <w:rsid w:val="29FB17AA"/>
    <w:rsid w:val="2A027E45"/>
    <w:rsid w:val="2A0852BE"/>
    <w:rsid w:val="2A0F2EA5"/>
    <w:rsid w:val="2A476DE8"/>
    <w:rsid w:val="2A4A5FBC"/>
    <w:rsid w:val="2A516492"/>
    <w:rsid w:val="2A61648D"/>
    <w:rsid w:val="2A68703A"/>
    <w:rsid w:val="2A7C6AAB"/>
    <w:rsid w:val="2A8A088A"/>
    <w:rsid w:val="2A9D06FE"/>
    <w:rsid w:val="2AB42A1A"/>
    <w:rsid w:val="2AB528BC"/>
    <w:rsid w:val="2AB94FB6"/>
    <w:rsid w:val="2AC81B90"/>
    <w:rsid w:val="2AE764AE"/>
    <w:rsid w:val="2B0B59C1"/>
    <w:rsid w:val="2B10761A"/>
    <w:rsid w:val="2B2426EC"/>
    <w:rsid w:val="2B2622F4"/>
    <w:rsid w:val="2B2E0D87"/>
    <w:rsid w:val="2B3F1D11"/>
    <w:rsid w:val="2B511A0C"/>
    <w:rsid w:val="2B690DB9"/>
    <w:rsid w:val="2BAA20FD"/>
    <w:rsid w:val="2BB60894"/>
    <w:rsid w:val="2BBF5962"/>
    <w:rsid w:val="2BCC1688"/>
    <w:rsid w:val="2BE040E1"/>
    <w:rsid w:val="2BE128FE"/>
    <w:rsid w:val="2BF7461E"/>
    <w:rsid w:val="2C06757B"/>
    <w:rsid w:val="2C11439E"/>
    <w:rsid w:val="2C1E4AA6"/>
    <w:rsid w:val="2C1F2CE0"/>
    <w:rsid w:val="2C3A286F"/>
    <w:rsid w:val="2C58554A"/>
    <w:rsid w:val="2C78619D"/>
    <w:rsid w:val="2C9C38B7"/>
    <w:rsid w:val="2CB76457"/>
    <w:rsid w:val="2CCF1143"/>
    <w:rsid w:val="2CE02784"/>
    <w:rsid w:val="2D066228"/>
    <w:rsid w:val="2D095281"/>
    <w:rsid w:val="2D4B3C0C"/>
    <w:rsid w:val="2D7C7995"/>
    <w:rsid w:val="2DA15B49"/>
    <w:rsid w:val="2DBB592B"/>
    <w:rsid w:val="2DF228DF"/>
    <w:rsid w:val="2DFC1831"/>
    <w:rsid w:val="2E075AB2"/>
    <w:rsid w:val="2E184AB3"/>
    <w:rsid w:val="2E187975"/>
    <w:rsid w:val="2E1F76C1"/>
    <w:rsid w:val="2E322D8A"/>
    <w:rsid w:val="2E472C8D"/>
    <w:rsid w:val="2EB67552"/>
    <w:rsid w:val="2EEE1E58"/>
    <w:rsid w:val="2F0657FE"/>
    <w:rsid w:val="2F386F18"/>
    <w:rsid w:val="2F3B5307"/>
    <w:rsid w:val="2FA14021"/>
    <w:rsid w:val="2FAA3995"/>
    <w:rsid w:val="2FB15345"/>
    <w:rsid w:val="2FBB3C86"/>
    <w:rsid w:val="2FD23B0D"/>
    <w:rsid w:val="3005243D"/>
    <w:rsid w:val="30084F7B"/>
    <w:rsid w:val="30230C8C"/>
    <w:rsid w:val="30395986"/>
    <w:rsid w:val="304E524D"/>
    <w:rsid w:val="306D6ACD"/>
    <w:rsid w:val="31013598"/>
    <w:rsid w:val="3106432D"/>
    <w:rsid w:val="31067240"/>
    <w:rsid w:val="31183CCA"/>
    <w:rsid w:val="31216E03"/>
    <w:rsid w:val="31562CFE"/>
    <w:rsid w:val="316D7B4A"/>
    <w:rsid w:val="316E5F97"/>
    <w:rsid w:val="31A66F00"/>
    <w:rsid w:val="31C4221D"/>
    <w:rsid w:val="31E66883"/>
    <w:rsid w:val="31F134B7"/>
    <w:rsid w:val="320A1F29"/>
    <w:rsid w:val="32247D29"/>
    <w:rsid w:val="322F7F9F"/>
    <w:rsid w:val="323F68EE"/>
    <w:rsid w:val="325F5246"/>
    <w:rsid w:val="326C3FAA"/>
    <w:rsid w:val="32761821"/>
    <w:rsid w:val="3290780E"/>
    <w:rsid w:val="32997933"/>
    <w:rsid w:val="32D26084"/>
    <w:rsid w:val="3337479B"/>
    <w:rsid w:val="33766BFC"/>
    <w:rsid w:val="33770394"/>
    <w:rsid w:val="33C45E26"/>
    <w:rsid w:val="33C56985"/>
    <w:rsid w:val="33CD2CBD"/>
    <w:rsid w:val="33D33272"/>
    <w:rsid w:val="33D93804"/>
    <w:rsid w:val="34040FE8"/>
    <w:rsid w:val="341B50F6"/>
    <w:rsid w:val="341E4915"/>
    <w:rsid w:val="343E68B7"/>
    <w:rsid w:val="34572405"/>
    <w:rsid w:val="345A08AC"/>
    <w:rsid w:val="34610250"/>
    <w:rsid w:val="346A4ED3"/>
    <w:rsid w:val="346E6E6C"/>
    <w:rsid w:val="34820CDB"/>
    <w:rsid w:val="34A56FCB"/>
    <w:rsid w:val="34AC64FD"/>
    <w:rsid w:val="34DB165B"/>
    <w:rsid w:val="352016EA"/>
    <w:rsid w:val="354400C3"/>
    <w:rsid w:val="354514AC"/>
    <w:rsid w:val="35617605"/>
    <w:rsid w:val="35735B8B"/>
    <w:rsid w:val="35A863E0"/>
    <w:rsid w:val="35CE0793"/>
    <w:rsid w:val="35D2674A"/>
    <w:rsid w:val="35E357D9"/>
    <w:rsid w:val="35FB7509"/>
    <w:rsid w:val="36034D29"/>
    <w:rsid w:val="360A392E"/>
    <w:rsid w:val="36286165"/>
    <w:rsid w:val="36383712"/>
    <w:rsid w:val="364F3177"/>
    <w:rsid w:val="36766A13"/>
    <w:rsid w:val="367F4DAF"/>
    <w:rsid w:val="36875E2A"/>
    <w:rsid w:val="368D7ED9"/>
    <w:rsid w:val="36B17F24"/>
    <w:rsid w:val="36B67FE7"/>
    <w:rsid w:val="36C30511"/>
    <w:rsid w:val="36D60301"/>
    <w:rsid w:val="36EF0C23"/>
    <w:rsid w:val="36F27A0F"/>
    <w:rsid w:val="36FB5C7D"/>
    <w:rsid w:val="37055B02"/>
    <w:rsid w:val="37147DA6"/>
    <w:rsid w:val="37293CDE"/>
    <w:rsid w:val="3732531B"/>
    <w:rsid w:val="375D4CFA"/>
    <w:rsid w:val="376B674D"/>
    <w:rsid w:val="376D46B9"/>
    <w:rsid w:val="379416F0"/>
    <w:rsid w:val="37A50CB4"/>
    <w:rsid w:val="37D47116"/>
    <w:rsid w:val="37EE01E8"/>
    <w:rsid w:val="37F76398"/>
    <w:rsid w:val="38157491"/>
    <w:rsid w:val="38326A43"/>
    <w:rsid w:val="384723A6"/>
    <w:rsid w:val="38486C0E"/>
    <w:rsid w:val="384F16F7"/>
    <w:rsid w:val="385D0493"/>
    <w:rsid w:val="386B43B1"/>
    <w:rsid w:val="386E04D3"/>
    <w:rsid w:val="387C4CF6"/>
    <w:rsid w:val="38CE513F"/>
    <w:rsid w:val="38D51304"/>
    <w:rsid w:val="38E613B2"/>
    <w:rsid w:val="38EF6969"/>
    <w:rsid w:val="397A03C6"/>
    <w:rsid w:val="397D4570"/>
    <w:rsid w:val="399B557B"/>
    <w:rsid w:val="39A214E3"/>
    <w:rsid w:val="3A297330"/>
    <w:rsid w:val="3A300757"/>
    <w:rsid w:val="3A3054F2"/>
    <w:rsid w:val="3A445B3B"/>
    <w:rsid w:val="3A6073DC"/>
    <w:rsid w:val="3A632F13"/>
    <w:rsid w:val="3A6E217A"/>
    <w:rsid w:val="3A747A99"/>
    <w:rsid w:val="3AA970F9"/>
    <w:rsid w:val="3AAC454A"/>
    <w:rsid w:val="3AB2757A"/>
    <w:rsid w:val="3AB5751F"/>
    <w:rsid w:val="3AB90DA4"/>
    <w:rsid w:val="3B011991"/>
    <w:rsid w:val="3B3435EC"/>
    <w:rsid w:val="3B385830"/>
    <w:rsid w:val="3B673DF6"/>
    <w:rsid w:val="3B8E080F"/>
    <w:rsid w:val="3B9044B6"/>
    <w:rsid w:val="3BBA51C4"/>
    <w:rsid w:val="3BCA68BB"/>
    <w:rsid w:val="3BE755B4"/>
    <w:rsid w:val="3C172AFD"/>
    <w:rsid w:val="3C2E1A95"/>
    <w:rsid w:val="3C3E127F"/>
    <w:rsid w:val="3C7553B7"/>
    <w:rsid w:val="3C8520EB"/>
    <w:rsid w:val="3CBC3054"/>
    <w:rsid w:val="3CC81E09"/>
    <w:rsid w:val="3CCA7E6A"/>
    <w:rsid w:val="3CE40ED1"/>
    <w:rsid w:val="3CE87D42"/>
    <w:rsid w:val="3CF02060"/>
    <w:rsid w:val="3D0C1467"/>
    <w:rsid w:val="3D324D36"/>
    <w:rsid w:val="3D3B56F0"/>
    <w:rsid w:val="3D651E5A"/>
    <w:rsid w:val="3D87726D"/>
    <w:rsid w:val="3DD220BD"/>
    <w:rsid w:val="3DE20A28"/>
    <w:rsid w:val="3DE75DDF"/>
    <w:rsid w:val="3DFB305E"/>
    <w:rsid w:val="3E2A511F"/>
    <w:rsid w:val="3E2A54D1"/>
    <w:rsid w:val="3E3C3F47"/>
    <w:rsid w:val="3E3F2247"/>
    <w:rsid w:val="3E3F5224"/>
    <w:rsid w:val="3E5974A1"/>
    <w:rsid w:val="3E71390E"/>
    <w:rsid w:val="3E786EBC"/>
    <w:rsid w:val="3EA02E3C"/>
    <w:rsid w:val="3EB3301F"/>
    <w:rsid w:val="3EC0681C"/>
    <w:rsid w:val="3ECF6905"/>
    <w:rsid w:val="3EE7003B"/>
    <w:rsid w:val="3F0428B3"/>
    <w:rsid w:val="3F0F4B61"/>
    <w:rsid w:val="3F291B91"/>
    <w:rsid w:val="3F315198"/>
    <w:rsid w:val="3F43216C"/>
    <w:rsid w:val="3F586F91"/>
    <w:rsid w:val="3F6A58EE"/>
    <w:rsid w:val="3FAD052D"/>
    <w:rsid w:val="3FCD0EB1"/>
    <w:rsid w:val="40074B14"/>
    <w:rsid w:val="400B2BC2"/>
    <w:rsid w:val="40591CCA"/>
    <w:rsid w:val="405A2EFB"/>
    <w:rsid w:val="407606F8"/>
    <w:rsid w:val="40890784"/>
    <w:rsid w:val="409278D3"/>
    <w:rsid w:val="40934CC9"/>
    <w:rsid w:val="409C6D12"/>
    <w:rsid w:val="40A733EC"/>
    <w:rsid w:val="40CD5437"/>
    <w:rsid w:val="40CE2206"/>
    <w:rsid w:val="40F313C9"/>
    <w:rsid w:val="40F56CE0"/>
    <w:rsid w:val="40FA7389"/>
    <w:rsid w:val="40FB4023"/>
    <w:rsid w:val="4101023F"/>
    <w:rsid w:val="41250FEC"/>
    <w:rsid w:val="4165471F"/>
    <w:rsid w:val="41785EAD"/>
    <w:rsid w:val="41806E2F"/>
    <w:rsid w:val="418159BB"/>
    <w:rsid w:val="419138BC"/>
    <w:rsid w:val="419D1F93"/>
    <w:rsid w:val="41A4601A"/>
    <w:rsid w:val="41C5246F"/>
    <w:rsid w:val="41C64A5C"/>
    <w:rsid w:val="41DE732B"/>
    <w:rsid w:val="41FC0F6A"/>
    <w:rsid w:val="42101DD3"/>
    <w:rsid w:val="421F04AA"/>
    <w:rsid w:val="42261FDB"/>
    <w:rsid w:val="42A40083"/>
    <w:rsid w:val="42C51CC6"/>
    <w:rsid w:val="42C5790C"/>
    <w:rsid w:val="42E26D10"/>
    <w:rsid w:val="42EB7271"/>
    <w:rsid w:val="42F9408E"/>
    <w:rsid w:val="432261B1"/>
    <w:rsid w:val="4338616D"/>
    <w:rsid w:val="434E5750"/>
    <w:rsid w:val="43520B1C"/>
    <w:rsid w:val="435A23E2"/>
    <w:rsid w:val="435D2191"/>
    <w:rsid w:val="436B5F91"/>
    <w:rsid w:val="438C032F"/>
    <w:rsid w:val="43A04304"/>
    <w:rsid w:val="43A741A7"/>
    <w:rsid w:val="43BC20E7"/>
    <w:rsid w:val="43CE457A"/>
    <w:rsid w:val="43D47F1B"/>
    <w:rsid w:val="43DA0C83"/>
    <w:rsid w:val="43EB701F"/>
    <w:rsid w:val="44470380"/>
    <w:rsid w:val="445676DD"/>
    <w:rsid w:val="44644BAA"/>
    <w:rsid w:val="44766C04"/>
    <w:rsid w:val="448229A2"/>
    <w:rsid w:val="448C7537"/>
    <w:rsid w:val="44AB0C4A"/>
    <w:rsid w:val="44B4082E"/>
    <w:rsid w:val="44CE6128"/>
    <w:rsid w:val="44CF6095"/>
    <w:rsid w:val="44D208B7"/>
    <w:rsid w:val="44EA2908"/>
    <w:rsid w:val="44FD2AC6"/>
    <w:rsid w:val="45014B29"/>
    <w:rsid w:val="45494C26"/>
    <w:rsid w:val="45541653"/>
    <w:rsid w:val="45666450"/>
    <w:rsid w:val="458F3622"/>
    <w:rsid w:val="45954C2A"/>
    <w:rsid w:val="45B77759"/>
    <w:rsid w:val="45DF4769"/>
    <w:rsid w:val="45F70769"/>
    <w:rsid w:val="460B4C41"/>
    <w:rsid w:val="460E55D4"/>
    <w:rsid w:val="46323F38"/>
    <w:rsid w:val="463C129A"/>
    <w:rsid w:val="46622BC3"/>
    <w:rsid w:val="4672394C"/>
    <w:rsid w:val="469724B7"/>
    <w:rsid w:val="469A5BC8"/>
    <w:rsid w:val="46AC5AA6"/>
    <w:rsid w:val="46D13843"/>
    <w:rsid w:val="46D839AD"/>
    <w:rsid w:val="470166AE"/>
    <w:rsid w:val="47270D0F"/>
    <w:rsid w:val="475032FC"/>
    <w:rsid w:val="476F5D7B"/>
    <w:rsid w:val="47760603"/>
    <w:rsid w:val="47762FC7"/>
    <w:rsid w:val="47864FA6"/>
    <w:rsid w:val="478926B5"/>
    <w:rsid w:val="479063C5"/>
    <w:rsid w:val="47EA75B2"/>
    <w:rsid w:val="47FE3718"/>
    <w:rsid w:val="483F6900"/>
    <w:rsid w:val="484B1829"/>
    <w:rsid w:val="48872FF1"/>
    <w:rsid w:val="48B21583"/>
    <w:rsid w:val="48C07E11"/>
    <w:rsid w:val="49132284"/>
    <w:rsid w:val="491E4681"/>
    <w:rsid w:val="49285CEB"/>
    <w:rsid w:val="492A49CB"/>
    <w:rsid w:val="49432803"/>
    <w:rsid w:val="49470ABB"/>
    <w:rsid w:val="496324D1"/>
    <w:rsid w:val="49743095"/>
    <w:rsid w:val="49822F19"/>
    <w:rsid w:val="49B000EC"/>
    <w:rsid w:val="49B6451B"/>
    <w:rsid w:val="49D015E8"/>
    <w:rsid w:val="49D73E6D"/>
    <w:rsid w:val="49E06489"/>
    <w:rsid w:val="49EF2AC2"/>
    <w:rsid w:val="49FA102F"/>
    <w:rsid w:val="4A0C7076"/>
    <w:rsid w:val="4A1950C0"/>
    <w:rsid w:val="4A2D798B"/>
    <w:rsid w:val="4A3A15DE"/>
    <w:rsid w:val="4A412404"/>
    <w:rsid w:val="4A4E6393"/>
    <w:rsid w:val="4A6050EB"/>
    <w:rsid w:val="4A64025F"/>
    <w:rsid w:val="4A640C39"/>
    <w:rsid w:val="4A8E4861"/>
    <w:rsid w:val="4AAE6348"/>
    <w:rsid w:val="4AC650E4"/>
    <w:rsid w:val="4ACD3DFB"/>
    <w:rsid w:val="4AD532AA"/>
    <w:rsid w:val="4ADF6830"/>
    <w:rsid w:val="4AF01B27"/>
    <w:rsid w:val="4AFB3DEB"/>
    <w:rsid w:val="4B3803E4"/>
    <w:rsid w:val="4B4E5335"/>
    <w:rsid w:val="4B5E1457"/>
    <w:rsid w:val="4B751F58"/>
    <w:rsid w:val="4B8E07C1"/>
    <w:rsid w:val="4B9C6C90"/>
    <w:rsid w:val="4BA17B5D"/>
    <w:rsid w:val="4BDD3DD1"/>
    <w:rsid w:val="4C106872"/>
    <w:rsid w:val="4C1241CA"/>
    <w:rsid w:val="4C125012"/>
    <w:rsid w:val="4C142DA6"/>
    <w:rsid w:val="4C1C050B"/>
    <w:rsid w:val="4C445D06"/>
    <w:rsid w:val="4C483ACF"/>
    <w:rsid w:val="4C66733E"/>
    <w:rsid w:val="4C80571A"/>
    <w:rsid w:val="4C851D32"/>
    <w:rsid w:val="4CC15DCE"/>
    <w:rsid w:val="4CD91888"/>
    <w:rsid w:val="4CE76CFB"/>
    <w:rsid w:val="4D3054B4"/>
    <w:rsid w:val="4D4814BA"/>
    <w:rsid w:val="4D616846"/>
    <w:rsid w:val="4D741090"/>
    <w:rsid w:val="4D7E6ED6"/>
    <w:rsid w:val="4D9626D8"/>
    <w:rsid w:val="4DC42AF9"/>
    <w:rsid w:val="4DE83AF6"/>
    <w:rsid w:val="4DFD78D3"/>
    <w:rsid w:val="4E116438"/>
    <w:rsid w:val="4E2A571D"/>
    <w:rsid w:val="4E5772FB"/>
    <w:rsid w:val="4E6457EE"/>
    <w:rsid w:val="4E676345"/>
    <w:rsid w:val="4E723164"/>
    <w:rsid w:val="4EB66A11"/>
    <w:rsid w:val="4EC7173E"/>
    <w:rsid w:val="4EF745F7"/>
    <w:rsid w:val="4F051422"/>
    <w:rsid w:val="4F34504A"/>
    <w:rsid w:val="4F3505B5"/>
    <w:rsid w:val="4F3E6E24"/>
    <w:rsid w:val="4F4412D7"/>
    <w:rsid w:val="4F4B25E4"/>
    <w:rsid w:val="4F540331"/>
    <w:rsid w:val="4F59765D"/>
    <w:rsid w:val="4F773909"/>
    <w:rsid w:val="4FBD17B0"/>
    <w:rsid w:val="4FDC64F8"/>
    <w:rsid w:val="4FF64F2D"/>
    <w:rsid w:val="4FFD1242"/>
    <w:rsid w:val="500018DB"/>
    <w:rsid w:val="50080273"/>
    <w:rsid w:val="500C3F9D"/>
    <w:rsid w:val="502B5150"/>
    <w:rsid w:val="504C38CC"/>
    <w:rsid w:val="50822177"/>
    <w:rsid w:val="50A76BEC"/>
    <w:rsid w:val="50A77A6E"/>
    <w:rsid w:val="50AA4E49"/>
    <w:rsid w:val="50B27C31"/>
    <w:rsid w:val="50B643E9"/>
    <w:rsid w:val="50BB3EF0"/>
    <w:rsid w:val="50D02333"/>
    <w:rsid w:val="50DA7012"/>
    <w:rsid w:val="50E42485"/>
    <w:rsid w:val="50E45343"/>
    <w:rsid w:val="50EB4717"/>
    <w:rsid w:val="50F7259E"/>
    <w:rsid w:val="51145BE4"/>
    <w:rsid w:val="51185F19"/>
    <w:rsid w:val="511F2490"/>
    <w:rsid w:val="515125F6"/>
    <w:rsid w:val="515D6A9F"/>
    <w:rsid w:val="516914BC"/>
    <w:rsid w:val="51713509"/>
    <w:rsid w:val="518A42D8"/>
    <w:rsid w:val="519A53F7"/>
    <w:rsid w:val="51AC3791"/>
    <w:rsid w:val="520C4646"/>
    <w:rsid w:val="52322C1C"/>
    <w:rsid w:val="52422DBC"/>
    <w:rsid w:val="5263094B"/>
    <w:rsid w:val="52724D01"/>
    <w:rsid w:val="52870F94"/>
    <w:rsid w:val="528F1931"/>
    <w:rsid w:val="529F5EBC"/>
    <w:rsid w:val="53053BDC"/>
    <w:rsid w:val="53075D4D"/>
    <w:rsid w:val="53642810"/>
    <w:rsid w:val="537C62A7"/>
    <w:rsid w:val="53805984"/>
    <w:rsid w:val="53AB2889"/>
    <w:rsid w:val="53D25B55"/>
    <w:rsid w:val="53D74D46"/>
    <w:rsid w:val="53DC358D"/>
    <w:rsid w:val="54096CEA"/>
    <w:rsid w:val="540F0507"/>
    <w:rsid w:val="54190401"/>
    <w:rsid w:val="5449248C"/>
    <w:rsid w:val="546D38F8"/>
    <w:rsid w:val="549703F7"/>
    <w:rsid w:val="54C354BD"/>
    <w:rsid w:val="54EC0843"/>
    <w:rsid w:val="54EF1D54"/>
    <w:rsid w:val="550109EB"/>
    <w:rsid w:val="551749A1"/>
    <w:rsid w:val="55302816"/>
    <w:rsid w:val="553F299B"/>
    <w:rsid w:val="554144BA"/>
    <w:rsid w:val="556A0A84"/>
    <w:rsid w:val="556D4337"/>
    <w:rsid w:val="55796A6E"/>
    <w:rsid w:val="55814627"/>
    <w:rsid w:val="559C4103"/>
    <w:rsid w:val="55AA3D91"/>
    <w:rsid w:val="55E64F51"/>
    <w:rsid w:val="55FD6117"/>
    <w:rsid w:val="56020A19"/>
    <w:rsid w:val="56124D39"/>
    <w:rsid w:val="561636DF"/>
    <w:rsid w:val="56181E34"/>
    <w:rsid w:val="56254D57"/>
    <w:rsid w:val="562A1040"/>
    <w:rsid w:val="56366290"/>
    <w:rsid w:val="567373DB"/>
    <w:rsid w:val="568B6C18"/>
    <w:rsid w:val="56AD772B"/>
    <w:rsid w:val="56B048FE"/>
    <w:rsid w:val="56B453CE"/>
    <w:rsid w:val="56BC1C24"/>
    <w:rsid w:val="56C41727"/>
    <w:rsid w:val="56DC4392"/>
    <w:rsid w:val="56E067F1"/>
    <w:rsid w:val="57070C15"/>
    <w:rsid w:val="572E337B"/>
    <w:rsid w:val="5737293E"/>
    <w:rsid w:val="573A5879"/>
    <w:rsid w:val="574C43DE"/>
    <w:rsid w:val="57903A45"/>
    <w:rsid w:val="57A045A4"/>
    <w:rsid w:val="57A132EA"/>
    <w:rsid w:val="57A948C6"/>
    <w:rsid w:val="57C7451B"/>
    <w:rsid w:val="57E24E6D"/>
    <w:rsid w:val="57EF2F07"/>
    <w:rsid w:val="57F84285"/>
    <w:rsid w:val="583640C7"/>
    <w:rsid w:val="58481577"/>
    <w:rsid w:val="58501DB1"/>
    <w:rsid w:val="585F65D8"/>
    <w:rsid w:val="589046A5"/>
    <w:rsid w:val="5898637D"/>
    <w:rsid w:val="58AA38A4"/>
    <w:rsid w:val="58D34226"/>
    <w:rsid w:val="59225513"/>
    <w:rsid w:val="595B0143"/>
    <w:rsid w:val="59897E96"/>
    <w:rsid w:val="59A17FCC"/>
    <w:rsid w:val="59A33182"/>
    <w:rsid w:val="59B44FF7"/>
    <w:rsid w:val="59E359A5"/>
    <w:rsid w:val="5A6538C9"/>
    <w:rsid w:val="5A6D7655"/>
    <w:rsid w:val="5A8C2C8F"/>
    <w:rsid w:val="5AA25907"/>
    <w:rsid w:val="5AA93B9C"/>
    <w:rsid w:val="5ABB7006"/>
    <w:rsid w:val="5AD64275"/>
    <w:rsid w:val="5AE511E6"/>
    <w:rsid w:val="5AED7FAD"/>
    <w:rsid w:val="5AF27774"/>
    <w:rsid w:val="5B0A787A"/>
    <w:rsid w:val="5B1A1276"/>
    <w:rsid w:val="5B2760AD"/>
    <w:rsid w:val="5B2F2893"/>
    <w:rsid w:val="5B442316"/>
    <w:rsid w:val="5B6D063E"/>
    <w:rsid w:val="5B7B1438"/>
    <w:rsid w:val="5BCD5EE0"/>
    <w:rsid w:val="5BE36BF5"/>
    <w:rsid w:val="5C000DE3"/>
    <w:rsid w:val="5C095C56"/>
    <w:rsid w:val="5C2641B3"/>
    <w:rsid w:val="5C3F3E64"/>
    <w:rsid w:val="5C965D13"/>
    <w:rsid w:val="5CB96042"/>
    <w:rsid w:val="5CC360A7"/>
    <w:rsid w:val="5CC44DA4"/>
    <w:rsid w:val="5CD264D8"/>
    <w:rsid w:val="5CF30DF5"/>
    <w:rsid w:val="5CF81070"/>
    <w:rsid w:val="5D1D2913"/>
    <w:rsid w:val="5D1E1A64"/>
    <w:rsid w:val="5D2A3F62"/>
    <w:rsid w:val="5D337F09"/>
    <w:rsid w:val="5D402818"/>
    <w:rsid w:val="5D94315C"/>
    <w:rsid w:val="5DAC322F"/>
    <w:rsid w:val="5DBB68F7"/>
    <w:rsid w:val="5DCF5572"/>
    <w:rsid w:val="5DFA42C2"/>
    <w:rsid w:val="5E2C11F0"/>
    <w:rsid w:val="5E4B6A7E"/>
    <w:rsid w:val="5E647818"/>
    <w:rsid w:val="5E747409"/>
    <w:rsid w:val="5E763B4E"/>
    <w:rsid w:val="5E7B5030"/>
    <w:rsid w:val="5E812C2F"/>
    <w:rsid w:val="5E893FDC"/>
    <w:rsid w:val="5EB715FD"/>
    <w:rsid w:val="5EC7547E"/>
    <w:rsid w:val="5EED49DD"/>
    <w:rsid w:val="5EFB677C"/>
    <w:rsid w:val="5F284057"/>
    <w:rsid w:val="5F2B0CC9"/>
    <w:rsid w:val="5F673E40"/>
    <w:rsid w:val="5F884ADC"/>
    <w:rsid w:val="5FB366C3"/>
    <w:rsid w:val="5FB47EB2"/>
    <w:rsid w:val="5FCF5318"/>
    <w:rsid w:val="5FDD333C"/>
    <w:rsid w:val="6004305F"/>
    <w:rsid w:val="60120D1D"/>
    <w:rsid w:val="601754C3"/>
    <w:rsid w:val="60190D01"/>
    <w:rsid w:val="602B2D41"/>
    <w:rsid w:val="60A76C44"/>
    <w:rsid w:val="60B06319"/>
    <w:rsid w:val="60D847A8"/>
    <w:rsid w:val="60F05CF5"/>
    <w:rsid w:val="610175F7"/>
    <w:rsid w:val="61062E54"/>
    <w:rsid w:val="610C1703"/>
    <w:rsid w:val="61206705"/>
    <w:rsid w:val="6142609F"/>
    <w:rsid w:val="6149226C"/>
    <w:rsid w:val="61617D08"/>
    <w:rsid w:val="61702679"/>
    <w:rsid w:val="617A059E"/>
    <w:rsid w:val="61A359AB"/>
    <w:rsid w:val="61AD5A7C"/>
    <w:rsid w:val="61B43512"/>
    <w:rsid w:val="61B5748C"/>
    <w:rsid w:val="61CE31A0"/>
    <w:rsid w:val="61F60D71"/>
    <w:rsid w:val="6223385A"/>
    <w:rsid w:val="627851F6"/>
    <w:rsid w:val="62A07788"/>
    <w:rsid w:val="62C21AE2"/>
    <w:rsid w:val="62EC3B36"/>
    <w:rsid w:val="62EF6D8B"/>
    <w:rsid w:val="6305393F"/>
    <w:rsid w:val="63243DA2"/>
    <w:rsid w:val="6328604A"/>
    <w:rsid w:val="633D207A"/>
    <w:rsid w:val="636F3A8A"/>
    <w:rsid w:val="63767C26"/>
    <w:rsid w:val="639B1660"/>
    <w:rsid w:val="63A86BDE"/>
    <w:rsid w:val="64102317"/>
    <w:rsid w:val="64196C68"/>
    <w:rsid w:val="64573A42"/>
    <w:rsid w:val="646436A4"/>
    <w:rsid w:val="647F062E"/>
    <w:rsid w:val="648802BD"/>
    <w:rsid w:val="649E6BD8"/>
    <w:rsid w:val="649F14DE"/>
    <w:rsid w:val="64AB69F4"/>
    <w:rsid w:val="64B33903"/>
    <w:rsid w:val="64BE75E5"/>
    <w:rsid w:val="64D36736"/>
    <w:rsid w:val="64EC2CA8"/>
    <w:rsid w:val="65470C9A"/>
    <w:rsid w:val="654C651C"/>
    <w:rsid w:val="655E0C30"/>
    <w:rsid w:val="657E17B2"/>
    <w:rsid w:val="65990E60"/>
    <w:rsid w:val="659C092C"/>
    <w:rsid w:val="65A51429"/>
    <w:rsid w:val="65CA5B71"/>
    <w:rsid w:val="65D14EBC"/>
    <w:rsid w:val="65D862C1"/>
    <w:rsid w:val="65F0121B"/>
    <w:rsid w:val="65F31FBB"/>
    <w:rsid w:val="66091DFB"/>
    <w:rsid w:val="660E7DF3"/>
    <w:rsid w:val="6636692A"/>
    <w:rsid w:val="66424C18"/>
    <w:rsid w:val="667423E5"/>
    <w:rsid w:val="667461DC"/>
    <w:rsid w:val="66894C64"/>
    <w:rsid w:val="669C3832"/>
    <w:rsid w:val="66B02350"/>
    <w:rsid w:val="66C03715"/>
    <w:rsid w:val="66F60314"/>
    <w:rsid w:val="67191078"/>
    <w:rsid w:val="672F41F6"/>
    <w:rsid w:val="676A7141"/>
    <w:rsid w:val="678216A2"/>
    <w:rsid w:val="67C84DC0"/>
    <w:rsid w:val="67D20840"/>
    <w:rsid w:val="67E51CB2"/>
    <w:rsid w:val="67EE4EA8"/>
    <w:rsid w:val="68072469"/>
    <w:rsid w:val="680D589A"/>
    <w:rsid w:val="68462A6E"/>
    <w:rsid w:val="68630527"/>
    <w:rsid w:val="686346D1"/>
    <w:rsid w:val="6864524C"/>
    <w:rsid w:val="686D205F"/>
    <w:rsid w:val="68983461"/>
    <w:rsid w:val="68B47DCA"/>
    <w:rsid w:val="68F94C01"/>
    <w:rsid w:val="693E3594"/>
    <w:rsid w:val="694B1C2B"/>
    <w:rsid w:val="697F233D"/>
    <w:rsid w:val="69BE442E"/>
    <w:rsid w:val="6A55309E"/>
    <w:rsid w:val="6A682DD1"/>
    <w:rsid w:val="6A6E3404"/>
    <w:rsid w:val="6AA86278"/>
    <w:rsid w:val="6ABD6175"/>
    <w:rsid w:val="6ACA0239"/>
    <w:rsid w:val="6ACA580E"/>
    <w:rsid w:val="6ACD77AE"/>
    <w:rsid w:val="6B1F5E79"/>
    <w:rsid w:val="6B431989"/>
    <w:rsid w:val="6B432C40"/>
    <w:rsid w:val="6B462909"/>
    <w:rsid w:val="6B47361F"/>
    <w:rsid w:val="6B495068"/>
    <w:rsid w:val="6B4D78E6"/>
    <w:rsid w:val="6B7C01E9"/>
    <w:rsid w:val="6B7C112A"/>
    <w:rsid w:val="6B8007F9"/>
    <w:rsid w:val="6B9C461B"/>
    <w:rsid w:val="6BA850A2"/>
    <w:rsid w:val="6BB41F0F"/>
    <w:rsid w:val="6BC64587"/>
    <w:rsid w:val="6BF07A71"/>
    <w:rsid w:val="6BF56847"/>
    <w:rsid w:val="6BFF7822"/>
    <w:rsid w:val="6C09164D"/>
    <w:rsid w:val="6C2527C3"/>
    <w:rsid w:val="6C337F2A"/>
    <w:rsid w:val="6C3D5FA0"/>
    <w:rsid w:val="6C531CB0"/>
    <w:rsid w:val="6C6A4AE5"/>
    <w:rsid w:val="6CC56193"/>
    <w:rsid w:val="6CCD08ED"/>
    <w:rsid w:val="6CCF631B"/>
    <w:rsid w:val="6CD766D9"/>
    <w:rsid w:val="6D15344C"/>
    <w:rsid w:val="6D450812"/>
    <w:rsid w:val="6D4A69C9"/>
    <w:rsid w:val="6D683E1C"/>
    <w:rsid w:val="6D931AAC"/>
    <w:rsid w:val="6D987B98"/>
    <w:rsid w:val="6D9C1C6D"/>
    <w:rsid w:val="6D9C2C3F"/>
    <w:rsid w:val="6D9F2289"/>
    <w:rsid w:val="6DC80189"/>
    <w:rsid w:val="6DD234B0"/>
    <w:rsid w:val="6DDA47FC"/>
    <w:rsid w:val="6DF37729"/>
    <w:rsid w:val="6DF54592"/>
    <w:rsid w:val="6E0732BA"/>
    <w:rsid w:val="6E0B7E2D"/>
    <w:rsid w:val="6E3826D5"/>
    <w:rsid w:val="6E427874"/>
    <w:rsid w:val="6E493498"/>
    <w:rsid w:val="6E6C212D"/>
    <w:rsid w:val="6E734D48"/>
    <w:rsid w:val="6E7905C6"/>
    <w:rsid w:val="6E7E0B9F"/>
    <w:rsid w:val="6E886E55"/>
    <w:rsid w:val="6EA054C7"/>
    <w:rsid w:val="6EAF3DF3"/>
    <w:rsid w:val="6EBF30B5"/>
    <w:rsid w:val="6ED50EAD"/>
    <w:rsid w:val="6EE17FF4"/>
    <w:rsid w:val="6EE379D4"/>
    <w:rsid w:val="6EE946C5"/>
    <w:rsid w:val="6F103FEE"/>
    <w:rsid w:val="6F285B39"/>
    <w:rsid w:val="6F2E4042"/>
    <w:rsid w:val="6F526B0E"/>
    <w:rsid w:val="6F5916C5"/>
    <w:rsid w:val="6FB32FEB"/>
    <w:rsid w:val="6FC85E57"/>
    <w:rsid w:val="6FD1581C"/>
    <w:rsid w:val="70081BF9"/>
    <w:rsid w:val="70227184"/>
    <w:rsid w:val="70377D35"/>
    <w:rsid w:val="70500918"/>
    <w:rsid w:val="706958CD"/>
    <w:rsid w:val="70817CB5"/>
    <w:rsid w:val="70AC6C8E"/>
    <w:rsid w:val="70B801C8"/>
    <w:rsid w:val="70E10814"/>
    <w:rsid w:val="70EA3AB8"/>
    <w:rsid w:val="70EF7475"/>
    <w:rsid w:val="710E6DC7"/>
    <w:rsid w:val="71167DF0"/>
    <w:rsid w:val="711B5C2F"/>
    <w:rsid w:val="712E53E1"/>
    <w:rsid w:val="71372159"/>
    <w:rsid w:val="714E4570"/>
    <w:rsid w:val="71537FBA"/>
    <w:rsid w:val="715867CE"/>
    <w:rsid w:val="7170650A"/>
    <w:rsid w:val="718F4BD2"/>
    <w:rsid w:val="71AE4A2B"/>
    <w:rsid w:val="71C40BE5"/>
    <w:rsid w:val="71DD2114"/>
    <w:rsid w:val="71E64873"/>
    <w:rsid w:val="72464ACE"/>
    <w:rsid w:val="724B4C64"/>
    <w:rsid w:val="726E2EE6"/>
    <w:rsid w:val="72706FD8"/>
    <w:rsid w:val="72A907E6"/>
    <w:rsid w:val="72AE42E3"/>
    <w:rsid w:val="72D417BF"/>
    <w:rsid w:val="731409B3"/>
    <w:rsid w:val="731F2077"/>
    <w:rsid w:val="7339611F"/>
    <w:rsid w:val="733D6D3F"/>
    <w:rsid w:val="735044EE"/>
    <w:rsid w:val="735A32F7"/>
    <w:rsid w:val="739A7D73"/>
    <w:rsid w:val="73A07372"/>
    <w:rsid w:val="73CF3FA9"/>
    <w:rsid w:val="73EB6096"/>
    <w:rsid w:val="73EF1BE8"/>
    <w:rsid w:val="73F6292C"/>
    <w:rsid w:val="73FD2CDB"/>
    <w:rsid w:val="741B0EB4"/>
    <w:rsid w:val="741F75A2"/>
    <w:rsid w:val="74266827"/>
    <w:rsid w:val="742B5985"/>
    <w:rsid w:val="744C7084"/>
    <w:rsid w:val="744F677A"/>
    <w:rsid w:val="74536E8F"/>
    <w:rsid w:val="74640B32"/>
    <w:rsid w:val="747456D9"/>
    <w:rsid w:val="748B3EC7"/>
    <w:rsid w:val="74AF5257"/>
    <w:rsid w:val="74B30E82"/>
    <w:rsid w:val="74CC21AE"/>
    <w:rsid w:val="74DB0B55"/>
    <w:rsid w:val="750617FB"/>
    <w:rsid w:val="750917E1"/>
    <w:rsid w:val="751B5CE0"/>
    <w:rsid w:val="75492B10"/>
    <w:rsid w:val="759B78B9"/>
    <w:rsid w:val="759F2115"/>
    <w:rsid w:val="75B05D37"/>
    <w:rsid w:val="75D461E7"/>
    <w:rsid w:val="75EB580D"/>
    <w:rsid w:val="760F044E"/>
    <w:rsid w:val="761214D4"/>
    <w:rsid w:val="76296619"/>
    <w:rsid w:val="76431773"/>
    <w:rsid w:val="767C0F1F"/>
    <w:rsid w:val="76865A66"/>
    <w:rsid w:val="768D60AD"/>
    <w:rsid w:val="76A46053"/>
    <w:rsid w:val="76A50DE4"/>
    <w:rsid w:val="76CD7FF0"/>
    <w:rsid w:val="76EE28B0"/>
    <w:rsid w:val="77477558"/>
    <w:rsid w:val="77843214"/>
    <w:rsid w:val="77A23FDA"/>
    <w:rsid w:val="77D30C4F"/>
    <w:rsid w:val="77F13495"/>
    <w:rsid w:val="7822613A"/>
    <w:rsid w:val="7825311A"/>
    <w:rsid w:val="784E7A31"/>
    <w:rsid w:val="787A0C89"/>
    <w:rsid w:val="78874D6A"/>
    <w:rsid w:val="78925CF2"/>
    <w:rsid w:val="78A80952"/>
    <w:rsid w:val="78CF230C"/>
    <w:rsid w:val="78FE14D4"/>
    <w:rsid w:val="790B2317"/>
    <w:rsid w:val="795450AA"/>
    <w:rsid w:val="79571231"/>
    <w:rsid w:val="79816E01"/>
    <w:rsid w:val="798C15CB"/>
    <w:rsid w:val="79A44420"/>
    <w:rsid w:val="79A94489"/>
    <w:rsid w:val="79B41898"/>
    <w:rsid w:val="79B65F65"/>
    <w:rsid w:val="79BB3A02"/>
    <w:rsid w:val="79BD362A"/>
    <w:rsid w:val="79C0191C"/>
    <w:rsid w:val="79C37F16"/>
    <w:rsid w:val="79C83B06"/>
    <w:rsid w:val="79CA1F78"/>
    <w:rsid w:val="79CD67A5"/>
    <w:rsid w:val="79CD78A7"/>
    <w:rsid w:val="79D47FB8"/>
    <w:rsid w:val="79D724C9"/>
    <w:rsid w:val="7A112E83"/>
    <w:rsid w:val="7A2D5B76"/>
    <w:rsid w:val="7A4C330E"/>
    <w:rsid w:val="7A4C39A0"/>
    <w:rsid w:val="7A6E220F"/>
    <w:rsid w:val="7A880C3C"/>
    <w:rsid w:val="7AA339B1"/>
    <w:rsid w:val="7AB66A57"/>
    <w:rsid w:val="7ACA4094"/>
    <w:rsid w:val="7ACD61B5"/>
    <w:rsid w:val="7AE32DB2"/>
    <w:rsid w:val="7AEF309B"/>
    <w:rsid w:val="7AF87886"/>
    <w:rsid w:val="7B3E07D2"/>
    <w:rsid w:val="7B6E3414"/>
    <w:rsid w:val="7B7213D1"/>
    <w:rsid w:val="7BC6204D"/>
    <w:rsid w:val="7BD92376"/>
    <w:rsid w:val="7C383C6C"/>
    <w:rsid w:val="7C3E7EE5"/>
    <w:rsid w:val="7C406DF9"/>
    <w:rsid w:val="7C4165B6"/>
    <w:rsid w:val="7C7A4F21"/>
    <w:rsid w:val="7C916B38"/>
    <w:rsid w:val="7CE10310"/>
    <w:rsid w:val="7D030BB3"/>
    <w:rsid w:val="7D441D47"/>
    <w:rsid w:val="7D6174DF"/>
    <w:rsid w:val="7D72325C"/>
    <w:rsid w:val="7D873901"/>
    <w:rsid w:val="7D883F06"/>
    <w:rsid w:val="7D957A4D"/>
    <w:rsid w:val="7DBC0F36"/>
    <w:rsid w:val="7E03029E"/>
    <w:rsid w:val="7E063776"/>
    <w:rsid w:val="7E0B3D48"/>
    <w:rsid w:val="7E111C61"/>
    <w:rsid w:val="7E2547CF"/>
    <w:rsid w:val="7E266DD3"/>
    <w:rsid w:val="7E2E5DB0"/>
    <w:rsid w:val="7E346A11"/>
    <w:rsid w:val="7E42190C"/>
    <w:rsid w:val="7E454A8A"/>
    <w:rsid w:val="7E4C232A"/>
    <w:rsid w:val="7E4F5BD0"/>
    <w:rsid w:val="7E691F7C"/>
    <w:rsid w:val="7E7E089B"/>
    <w:rsid w:val="7E8D3E86"/>
    <w:rsid w:val="7EA26D62"/>
    <w:rsid w:val="7EDC636B"/>
    <w:rsid w:val="7EDF5F66"/>
    <w:rsid w:val="7EE5649F"/>
    <w:rsid w:val="7EEE4FA9"/>
    <w:rsid w:val="7EEE6D3B"/>
    <w:rsid w:val="7F033148"/>
    <w:rsid w:val="7F392754"/>
    <w:rsid w:val="7F4314C9"/>
    <w:rsid w:val="7F613ED4"/>
    <w:rsid w:val="7F6E2E38"/>
    <w:rsid w:val="7F7209B9"/>
    <w:rsid w:val="7F723663"/>
    <w:rsid w:val="7F9E1A24"/>
    <w:rsid w:val="7FAB3302"/>
    <w:rsid w:val="7FB65A15"/>
    <w:rsid w:val="7FE456CE"/>
    <w:rsid w:val="7FE51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0" w:semiHidden="0" w:name="toc 2"/>
    <w:lsdException w:qFormat="1" w:unhideWhenUsed="0" w:uiPriority="0"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nhideWhenUsed="0"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99" w:semiHidden="0" w:name="Body Text First Indent 2"/>
    <w:lsdException w:uiPriority="99" w:name="Note Heading"/>
    <w:lsdException w:qFormat="1" w:uiPriority="0" w:semiHidden="0" w:name="Body Text 2"/>
    <w:lsdException w:qFormat="1" w:unhideWhenUsed="0" w:uiPriority="0" w:semiHidden="0" w:name="Body Text 3"/>
    <w:lsdException w:uiPriority="99" w:name="Body Text Indent 2"/>
    <w:lsdException w:qFormat="1" w:uiPriority="99" w:semiHidden="0" w:name="Body Text Indent 3"/>
    <w:lsdException w:qFormat="1"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fr-FR" w:eastAsia="zh-CN" w:bidi="ar-SA"/>
    </w:rPr>
  </w:style>
  <w:style w:type="paragraph" w:styleId="2">
    <w:name w:val="heading 1"/>
    <w:basedOn w:val="1"/>
    <w:next w:val="1"/>
    <w:link w:val="269"/>
    <w:qFormat/>
    <w:uiPriority w:val="9"/>
    <w:pPr>
      <w:keepNext/>
      <w:keepLines/>
      <w:spacing w:before="340" w:after="330" w:line="576" w:lineRule="auto"/>
      <w:outlineLvl w:val="0"/>
    </w:pPr>
    <w:rPr>
      <w:b/>
      <w:kern w:val="44"/>
      <w:sz w:val="44"/>
    </w:rPr>
  </w:style>
  <w:style w:type="paragraph" w:styleId="3">
    <w:name w:val="heading 2"/>
    <w:basedOn w:val="4"/>
    <w:next w:val="1"/>
    <w:link w:val="46"/>
    <w:qFormat/>
    <w:uiPriority w:val="0"/>
    <w:pPr>
      <w:keepNext/>
      <w:outlineLvl w:val="1"/>
    </w:pPr>
    <w:rPr>
      <w:sz w:val="28"/>
    </w:rPr>
  </w:style>
  <w:style w:type="paragraph" w:styleId="5">
    <w:name w:val="heading 3"/>
    <w:basedOn w:val="1"/>
    <w:next w:val="1"/>
    <w:qFormat/>
    <w:uiPriority w:val="0"/>
    <w:pPr>
      <w:keepNext/>
      <w:keepLines/>
      <w:spacing w:line="415" w:lineRule="auto"/>
      <w:outlineLvl w:val="2"/>
    </w:pPr>
    <w:rPr>
      <w:b/>
      <w:bCs/>
      <w:sz w:val="32"/>
      <w:szCs w:val="32"/>
    </w:rPr>
  </w:style>
  <w:style w:type="paragraph" w:styleId="6">
    <w:name w:val="heading 4"/>
    <w:basedOn w:val="1"/>
    <w:next w:val="1"/>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9"/>
    <w:pPr>
      <w:keepNext/>
      <w:keepLines/>
      <w:spacing w:before="280" w:after="290" w:line="372" w:lineRule="auto"/>
      <w:outlineLvl w:val="4"/>
    </w:pPr>
    <w:rPr>
      <w:b/>
      <w:sz w:val="28"/>
    </w:rPr>
  </w:style>
  <w:style w:type="character" w:default="1" w:styleId="36">
    <w:name w:val="Default Paragraph Font"/>
    <w:semiHidden/>
    <w:unhideWhenUsed/>
    <w:qFormat/>
    <w:uiPriority w:val="1"/>
  </w:style>
  <w:style w:type="table" w:default="1" w:styleId="34">
    <w:name w:val="Normal Table"/>
    <w:semiHidden/>
    <w:unhideWhenUsed/>
    <w:uiPriority w:val="99"/>
    <w:tblPr>
      <w:tblCellMar>
        <w:top w:w="0" w:type="dxa"/>
        <w:left w:w="108" w:type="dxa"/>
        <w:bottom w:w="0" w:type="dxa"/>
        <w:right w:w="108" w:type="dxa"/>
      </w:tblCellMar>
    </w:tblPr>
  </w:style>
  <w:style w:type="paragraph" w:styleId="4">
    <w:name w:val="Title"/>
    <w:basedOn w:val="1"/>
    <w:next w:val="1"/>
    <w:qFormat/>
    <w:uiPriority w:val="10"/>
    <w:pPr>
      <w:adjustRightInd w:val="0"/>
      <w:spacing w:before="240" w:after="60" w:line="420" w:lineRule="atLeast"/>
      <w:jc w:val="center"/>
      <w:textAlignment w:val="baseline"/>
      <w:outlineLvl w:val="0"/>
    </w:pPr>
    <w:rPr>
      <w:rFonts w:ascii="Arial" w:hAnsi="Arial"/>
      <w:b/>
      <w:kern w:val="0"/>
      <w:sz w:val="32"/>
    </w:rPr>
  </w:style>
  <w:style w:type="paragraph" w:styleId="8">
    <w:name w:val="toc 7"/>
    <w:basedOn w:val="1"/>
    <w:next w:val="1"/>
    <w:unhideWhenUsed/>
    <w:qFormat/>
    <w:uiPriority w:val="39"/>
    <w:pPr>
      <w:ind w:left="2520" w:leftChars="1200"/>
    </w:pPr>
  </w:style>
  <w:style w:type="paragraph" w:styleId="9">
    <w:name w:val="Normal Indent"/>
    <w:basedOn w:val="1"/>
    <w:unhideWhenUsed/>
    <w:qFormat/>
    <w:uiPriority w:val="99"/>
    <w:pPr>
      <w:adjustRightInd w:val="0"/>
      <w:spacing w:line="410" w:lineRule="atLeast"/>
      <w:ind w:firstLine="420"/>
      <w:jc w:val="left"/>
    </w:pPr>
    <w:rPr>
      <w:rFonts w:ascii="宋体"/>
      <w:kern w:val="0"/>
      <w:sz w:val="24"/>
    </w:rPr>
  </w:style>
  <w:style w:type="paragraph" w:styleId="10">
    <w:name w:val="annotation text"/>
    <w:basedOn w:val="1"/>
    <w:link w:val="270"/>
    <w:unhideWhenUsed/>
    <w:qFormat/>
    <w:uiPriority w:val="99"/>
    <w:pPr>
      <w:jc w:val="left"/>
    </w:pPr>
  </w:style>
  <w:style w:type="paragraph" w:styleId="11">
    <w:name w:val="Body Text 3"/>
    <w:basedOn w:val="1"/>
    <w:qFormat/>
    <w:uiPriority w:val="0"/>
    <w:pPr>
      <w:spacing w:after="120"/>
    </w:pPr>
    <w:rPr>
      <w:sz w:val="16"/>
      <w:szCs w:val="16"/>
    </w:rPr>
  </w:style>
  <w:style w:type="paragraph" w:styleId="12">
    <w:name w:val="Body Text"/>
    <w:basedOn w:val="1"/>
    <w:next w:val="1"/>
    <w:qFormat/>
    <w:uiPriority w:val="0"/>
    <w:pPr>
      <w:spacing w:after="120"/>
    </w:pPr>
  </w:style>
  <w:style w:type="paragraph" w:styleId="13">
    <w:name w:val="Body Text Indent"/>
    <w:basedOn w:val="1"/>
    <w:qFormat/>
    <w:uiPriority w:val="0"/>
    <w:pPr>
      <w:adjustRightInd w:val="0"/>
      <w:spacing w:line="360" w:lineRule="auto"/>
      <w:ind w:firstLine="600"/>
    </w:pPr>
    <w:rPr>
      <w:sz w:val="28"/>
      <w:szCs w:val="28"/>
    </w:rPr>
  </w:style>
  <w:style w:type="paragraph" w:styleId="14">
    <w:name w:val="Block Text"/>
    <w:basedOn w:val="1"/>
    <w:unhideWhenUsed/>
    <w:qFormat/>
    <w:uiPriority w:val="99"/>
    <w:pPr>
      <w:spacing w:after="120"/>
      <w:ind w:left="1440" w:leftChars="700" w:right="1440" w:rightChars="700"/>
    </w:pPr>
    <w:rPr>
      <w:szCs w:val="24"/>
    </w:rPr>
  </w:style>
  <w:style w:type="paragraph" w:styleId="15">
    <w:name w:val="toc 5"/>
    <w:basedOn w:val="1"/>
    <w:next w:val="1"/>
    <w:unhideWhenUsed/>
    <w:qFormat/>
    <w:uiPriority w:val="39"/>
    <w:pPr>
      <w:ind w:left="1680" w:leftChars="800"/>
    </w:pPr>
  </w:style>
  <w:style w:type="paragraph" w:styleId="16">
    <w:name w:val="toc 3"/>
    <w:basedOn w:val="1"/>
    <w:next w:val="1"/>
    <w:qFormat/>
    <w:uiPriority w:val="0"/>
    <w:pPr>
      <w:ind w:left="840" w:leftChars="400"/>
    </w:pPr>
  </w:style>
  <w:style w:type="paragraph" w:styleId="17">
    <w:name w:val="Plain Text"/>
    <w:basedOn w:val="1"/>
    <w:qFormat/>
    <w:uiPriority w:val="0"/>
  </w:style>
  <w:style w:type="paragraph" w:styleId="18">
    <w:name w:val="toc 8"/>
    <w:basedOn w:val="1"/>
    <w:next w:val="1"/>
    <w:unhideWhenUsed/>
    <w:qFormat/>
    <w:uiPriority w:val="39"/>
    <w:pPr>
      <w:ind w:left="2940" w:leftChars="1400"/>
    </w:pPr>
  </w:style>
  <w:style w:type="paragraph" w:styleId="19">
    <w:name w:val="Date"/>
    <w:basedOn w:val="1"/>
    <w:next w:val="1"/>
    <w:unhideWhenUsed/>
    <w:qFormat/>
    <w:uiPriority w:val="99"/>
    <w:pPr>
      <w:ind w:left="2500" w:leftChars="2500"/>
    </w:pPr>
  </w:style>
  <w:style w:type="paragraph" w:styleId="20">
    <w:name w:val="Balloon Text"/>
    <w:basedOn w:val="1"/>
    <w:link w:val="47"/>
    <w:unhideWhenUsed/>
    <w:qFormat/>
    <w:uiPriority w:val="99"/>
    <w:rPr>
      <w:sz w:val="18"/>
      <w:szCs w:val="18"/>
    </w:rPr>
  </w:style>
  <w:style w:type="paragraph" w:styleId="21">
    <w:name w:val="footer"/>
    <w:basedOn w:val="1"/>
    <w:link w:val="268"/>
    <w:qFormat/>
    <w:uiPriority w:val="0"/>
    <w:pPr>
      <w:tabs>
        <w:tab w:val="center" w:pos="4153"/>
        <w:tab w:val="right" w:pos="8306"/>
      </w:tabs>
      <w:snapToGrid w:val="0"/>
      <w:jc w:val="left"/>
    </w:pPr>
    <w:rPr>
      <w:sz w:val="18"/>
    </w:rPr>
  </w:style>
  <w:style w:type="paragraph" w:styleId="22">
    <w:name w:val="header"/>
    <w:basedOn w:val="1"/>
    <w:link w:val="4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3">
    <w:name w:val="toc 1"/>
    <w:basedOn w:val="1"/>
    <w:next w:val="1"/>
    <w:unhideWhenUsed/>
    <w:qFormat/>
    <w:uiPriority w:val="39"/>
  </w:style>
  <w:style w:type="paragraph" w:styleId="24">
    <w:name w:val="toc 4"/>
    <w:basedOn w:val="1"/>
    <w:next w:val="1"/>
    <w:unhideWhenUsed/>
    <w:qFormat/>
    <w:uiPriority w:val="39"/>
    <w:pPr>
      <w:ind w:left="1260" w:leftChars="600"/>
    </w:pPr>
  </w:style>
  <w:style w:type="paragraph" w:styleId="25">
    <w:name w:val="toc 6"/>
    <w:basedOn w:val="1"/>
    <w:next w:val="1"/>
    <w:unhideWhenUsed/>
    <w:qFormat/>
    <w:uiPriority w:val="39"/>
    <w:pPr>
      <w:ind w:left="2100" w:leftChars="1000"/>
    </w:pPr>
  </w:style>
  <w:style w:type="paragraph" w:styleId="26">
    <w:name w:val="Body Text Indent 3"/>
    <w:basedOn w:val="1"/>
    <w:unhideWhenUsed/>
    <w:qFormat/>
    <w:uiPriority w:val="99"/>
    <w:pPr>
      <w:spacing w:after="120"/>
      <w:ind w:left="420" w:leftChars="200"/>
    </w:pPr>
    <w:rPr>
      <w:sz w:val="16"/>
      <w:szCs w:val="16"/>
    </w:rPr>
  </w:style>
  <w:style w:type="paragraph" w:styleId="27">
    <w:name w:val="toc 2"/>
    <w:basedOn w:val="1"/>
    <w:next w:val="1"/>
    <w:qFormat/>
    <w:uiPriority w:val="0"/>
    <w:pPr>
      <w:ind w:left="420" w:leftChars="200"/>
    </w:pPr>
  </w:style>
  <w:style w:type="paragraph" w:styleId="28">
    <w:name w:val="toc 9"/>
    <w:basedOn w:val="1"/>
    <w:next w:val="1"/>
    <w:unhideWhenUsed/>
    <w:qFormat/>
    <w:uiPriority w:val="39"/>
    <w:pPr>
      <w:ind w:left="3360" w:leftChars="1600"/>
    </w:pPr>
  </w:style>
  <w:style w:type="paragraph" w:styleId="29">
    <w:name w:val="Body Text 2"/>
    <w:basedOn w:val="1"/>
    <w:unhideWhenUsed/>
    <w:qFormat/>
    <w:uiPriority w:val="0"/>
    <w:pPr>
      <w:spacing w:line="360" w:lineRule="auto"/>
    </w:pPr>
    <w:rPr>
      <w:rFonts w:ascii="仿宋_GB2312" w:hAnsi="宋体" w:eastAsia="仿宋_GB2312"/>
      <w:color w:val="0000FF"/>
    </w:rPr>
  </w:style>
  <w:style w:type="paragraph" w:styleId="30">
    <w:name w:val="Normal (Web)"/>
    <w:basedOn w:val="1"/>
    <w:unhideWhenUsed/>
    <w:qFormat/>
    <w:uiPriority w:val="99"/>
    <w:pPr>
      <w:spacing w:before="100" w:beforeAutospacing="1" w:after="100" w:afterAutospacing="1"/>
      <w:jc w:val="left"/>
    </w:pPr>
    <w:rPr>
      <w:kern w:val="0"/>
      <w:sz w:val="24"/>
      <w:lang w:val="en-US"/>
    </w:rPr>
  </w:style>
  <w:style w:type="paragraph" w:styleId="31">
    <w:name w:val="annotation subject"/>
    <w:basedOn w:val="10"/>
    <w:next w:val="10"/>
    <w:link w:val="271"/>
    <w:semiHidden/>
    <w:unhideWhenUsed/>
    <w:qFormat/>
    <w:uiPriority w:val="99"/>
    <w:pPr>
      <w:jc w:val="both"/>
    </w:pPr>
    <w:rPr>
      <w:b/>
      <w:bCs/>
      <w:sz w:val="20"/>
    </w:rPr>
  </w:style>
  <w:style w:type="paragraph" w:styleId="32">
    <w:name w:val="Body Text First Indent"/>
    <w:basedOn w:val="12"/>
    <w:next w:val="1"/>
    <w:qFormat/>
    <w:uiPriority w:val="0"/>
    <w:pPr>
      <w:tabs>
        <w:tab w:val="left" w:pos="720"/>
      </w:tabs>
      <w:adjustRightInd w:val="0"/>
      <w:spacing w:line="410" w:lineRule="atLeast"/>
      <w:ind w:firstLine="420" w:firstLineChars="100"/>
      <w:jc w:val="left"/>
      <w:textAlignment w:val="baseline"/>
    </w:pPr>
    <w:rPr>
      <w:rFonts w:ascii="宋体" w:hAnsi="宋体"/>
      <w:color w:val="000000"/>
      <w:kern w:val="0"/>
    </w:rPr>
  </w:style>
  <w:style w:type="paragraph" w:styleId="33">
    <w:name w:val="Body Text First Indent 2"/>
    <w:basedOn w:val="13"/>
    <w:link w:val="267"/>
    <w:qFormat/>
    <w:uiPriority w:val="99"/>
    <w:pPr>
      <w:tabs>
        <w:tab w:val="left" w:pos="1218"/>
        <w:tab w:val="left" w:pos="3544"/>
      </w:tabs>
      <w:ind w:firstLine="420" w:firstLineChars="200"/>
    </w:pPr>
    <w:rPr>
      <w:szCs w:val="24"/>
    </w:rPr>
  </w:style>
  <w:style w:type="table" w:styleId="35">
    <w:name w:val="Table Grid"/>
    <w:basedOn w:val="34"/>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qFormat/>
    <w:uiPriority w:val="22"/>
    <w:rPr>
      <w:b/>
      <w:bCs/>
    </w:rPr>
  </w:style>
  <w:style w:type="character" w:styleId="38">
    <w:name w:val="page number"/>
    <w:unhideWhenUsed/>
    <w:qFormat/>
    <w:uiPriority w:val="99"/>
  </w:style>
  <w:style w:type="character" w:styleId="39">
    <w:name w:val="FollowedHyperlink"/>
    <w:unhideWhenUsed/>
    <w:qFormat/>
    <w:uiPriority w:val="99"/>
    <w:rPr>
      <w:color w:val="1D6B6B"/>
      <w:u w:val="none"/>
    </w:rPr>
  </w:style>
  <w:style w:type="character" w:styleId="40">
    <w:name w:val="HTML Definition"/>
    <w:unhideWhenUsed/>
    <w:qFormat/>
    <w:uiPriority w:val="99"/>
  </w:style>
  <w:style w:type="character" w:styleId="41">
    <w:name w:val="HTML Variable"/>
    <w:unhideWhenUsed/>
    <w:qFormat/>
    <w:uiPriority w:val="99"/>
  </w:style>
  <w:style w:type="character" w:styleId="42">
    <w:name w:val="Hyperlink"/>
    <w:unhideWhenUsed/>
    <w:qFormat/>
    <w:uiPriority w:val="99"/>
    <w:rPr>
      <w:color w:val="0563C1"/>
      <w:u w:val="single"/>
    </w:rPr>
  </w:style>
  <w:style w:type="character" w:styleId="43">
    <w:name w:val="HTML Code"/>
    <w:unhideWhenUsed/>
    <w:qFormat/>
    <w:uiPriority w:val="99"/>
    <w:rPr>
      <w:rFonts w:ascii="微软雅黑" w:hAnsi="微软雅黑" w:eastAsia="微软雅黑" w:cs="微软雅黑"/>
      <w:sz w:val="20"/>
    </w:rPr>
  </w:style>
  <w:style w:type="character" w:styleId="44">
    <w:name w:val="annotation reference"/>
    <w:semiHidden/>
    <w:unhideWhenUsed/>
    <w:qFormat/>
    <w:uiPriority w:val="99"/>
    <w:rPr>
      <w:sz w:val="16"/>
      <w:szCs w:val="16"/>
    </w:rPr>
  </w:style>
  <w:style w:type="character" w:styleId="45">
    <w:name w:val="HTML Cite"/>
    <w:unhideWhenUsed/>
    <w:qFormat/>
    <w:uiPriority w:val="99"/>
  </w:style>
  <w:style w:type="character" w:customStyle="1" w:styleId="46">
    <w:name w:val="标题 2 Char"/>
    <w:link w:val="3"/>
    <w:qFormat/>
    <w:uiPriority w:val="0"/>
    <w:rPr>
      <w:b/>
      <w:sz w:val="28"/>
    </w:rPr>
  </w:style>
  <w:style w:type="character" w:customStyle="1" w:styleId="47">
    <w:name w:val="批注框文本 Char"/>
    <w:link w:val="20"/>
    <w:semiHidden/>
    <w:qFormat/>
    <w:uiPriority w:val="99"/>
    <w:rPr>
      <w:kern w:val="2"/>
      <w:sz w:val="18"/>
      <w:szCs w:val="18"/>
    </w:rPr>
  </w:style>
  <w:style w:type="character" w:customStyle="1" w:styleId="48">
    <w:name w:val="页眉 Char"/>
    <w:link w:val="22"/>
    <w:qFormat/>
    <w:uiPriority w:val="99"/>
    <w:rPr>
      <w:kern w:val="2"/>
      <w:sz w:val="18"/>
    </w:rPr>
  </w:style>
  <w:style w:type="character" w:customStyle="1" w:styleId="49">
    <w:name w:val="addaffix"/>
    <w:qFormat/>
    <w:uiPriority w:val="0"/>
  </w:style>
  <w:style w:type="character" w:customStyle="1" w:styleId="50">
    <w:name w:val="icontext1"/>
    <w:qFormat/>
    <w:uiPriority w:val="0"/>
  </w:style>
  <w:style w:type="character" w:customStyle="1" w:styleId="51">
    <w:name w:val="hover20"/>
    <w:qFormat/>
    <w:uiPriority w:val="0"/>
  </w:style>
  <w:style w:type="character" w:customStyle="1" w:styleId="52">
    <w:name w:val="nobutton"/>
    <w:qFormat/>
    <w:uiPriority w:val="0"/>
  </w:style>
  <w:style w:type="character" w:customStyle="1" w:styleId="53">
    <w:name w:val="addresses_group2"/>
    <w:qFormat/>
    <w:uiPriority w:val="0"/>
  </w:style>
  <w:style w:type="character" w:customStyle="1" w:styleId="54">
    <w:name w:val="mid"/>
    <w:qFormat/>
    <w:uiPriority w:val="0"/>
  </w:style>
  <w:style w:type="character" w:customStyle="1" w:styleId="55">
    <w:name w:val="after"/>
    <w:qFormat/>
    <w:uiPriority w:val="0"/>
    <w:rPr>
      <w:sz w:val="16"/>
      <w:szCs w:val="0"/>
    </w:rPr>
  </w:style>
  <w:style w:type="character" w:customStyle="1" w:styleId="56">
    <w:name w:val="hover41"/>
    <w:qFormat/>
    <w:uiPriority w:val="0"/>
    <w:rPr>
      <w:color w:val="FFFFFF"/>
    </w:rPr>
  </w:style>
  <w:style w:type="character" w:customStyle="1" w:styleId="57">
    <w:name w:val="ico_open"/>
    <w:qFormat/>
    <w:uiPriority w:val="0"/>
  </w:style>
  <w:style w:type="character" w:customStyle="1" w:styleId="58">
    <w:name w:val="ico1655"/>
    <w:qFormat/>
    <w:uiPriority w:val="0"/>
  </w:style>
  <w:style w:type="character" w:customStyle="1" w:styleId="59">
    <w:name w:val="fc-event-bg"/>
    <w:qFormat/>
    <w:uiPriority w:val="0"/>
    <w:rPr>
      <w:shd w:val="clear" w:color="auto" w:fill="FFFFFF"/>
    </w:rPr>
  </w:style>
  <w:style w:type="character" w:customStyle="1" w:styleId="60">
    <w:name w:val="remind"/>
    <w:qFormat/>
    <w:uiPriority w:val="0"/>
  </w:style>
  <w:style w:type="character" w:customStyle="1" w:styleId="61">
    <w:name w:val="refresh"/>
    <w:qFormat/>
    <w:uiPriority w:val="0"/>
  </w:style>
  <w:style w:type="character" w:customStyle="1" w:styleId="62">
    <w:name w:val="choosename"/>
    <w:qFormat/>
    <w:uiPriority w:val="0"/>
  </w:style>
  <w:style w:type="character" w:customStyle="1" w:styleId="63">
    <w:name w:val="up"/>
    <w:qFormat/>
    <w:uiPriority w:val="0"/>
  </w:style>
  <w:style w:type="character" w:customStyle="1" w:styleId="64">
    <w:name w:val="active5"/>
    <w:qFormat/>
    <w:uiPriority w:val="0"/>
    <w:rPr>
      <w:color w:val="FFFFFF"/>
      <w:shd w:val="clear" w:color="auto" w:fill="6EABB1"/>
    </w:rPr>
  </w:style>
  <w:style w:type="character" w:customStyle="1" w:styleId="65">
    <w:name w:val="person"/>
    <w:qFormat/>
    <w:uiPriority w:val="0"/>
  </w:style>
  <w:style w:type="character" w:customStyle="1" w:styleId="66">
    <w:name w:val="down"/>
    <w:qFormat/>
    <w:uiPriority w:val="0"/>
  </w:style>
  <w:style w:type="character" w:customStyle="1" w:styleId="67">
    <w:name w:val="fc-event-title"/>
    <w:qFormat/>
    <w:uiPriority w:val="0"/>
  </w:style>
  <w:style w:type="character" w:customStyle="1" w:styleId="68">
    <w:name w:val="ico_system"/>
    <w:qFormat/>
    <w:uiPriority w:val="0"/>
  </w:style>
  <w:style w:type="character" w:customStyle="1" w:styleId="69">
    <w:name w:val="active4"/>
    <w:qFormat/>
    <w:uiPriority w:val="0"/>
    <w:rPr>
      <w:color w:val="FFFFFF"/>
    </w:rPr>
  </w:style>
  <w:style w:type="character" w:customStyle="1" w:styleId="70">
    <w:name w:val="state"/>
    <w:qFormat/>
    <w:uiPriority w:val="0"/>
  </w:style>
  <w:style w:type="character" w:customStyle="1" w:styleId="71">
    <w:name w:val="print"/>
    <w:qFormat/>
    <w:uiPriority w:val="0"/>
  </w:style>
  <w:style w:type="character" w:customStyle="1" w:styleId="72">
    <w:name w:val="no_background"/>
    <w:qFormat/>
    <w:uiPriority w:val="0"/>
  </w:style>
  <w:style w:type="character" w:customStyle="1" w:styleId="73">
    <w:name w:val="active7"/>
    <w:qFormat/>
    <w:uiPriority w:val="0"/>
  </w:style>
  <w:style w:type="character" w:customStyle="1" w:styleId="74">
    <w:name w:val="creater"/>
    <w:qFormat/>
    <w:uiPriority w:val="0"/>
  </w:style>
  <w:style w:type="character" w:customStyle="1" w:styleId="75">
    <w:name w:val="layui-layer-tabnow"/>
    <w:qFormat/>
    <w:uiPriority w:val="0"/>
    <w:rPr>
      <w:bdr w:val="single" w:color="CCCCCC" w:sz="6" w:space="0"/>
      <w:shd w:val="clear" w:color="auto" w:fill="FFFFFF"/>
    </w:rPr>
  </w:style>
  <w:style w:type="character" w:customStyle="1" w:styleId="76">
    <w:name w:val="urgent"/>
    <w:qFormat/>
    <w:uiPriority w:val="0"/>
    <w:rPr>
      <w:color w:val="000000"/>
    </w:rPr>
  </w:style>
  <w:style w:type="character" w:customStyle="1" w:styleId="77">
    <w:name w:val="advanced_item"/>
    <w:qFormat/>
    <w:uiPriority w:val="0"/>
  </w:style>
  <w:style w:type="character" w:customStyle="1" w:styleId="78">
    <w:name w:val="xdrichtextbox2"/>
    <w:qFormat/>
    <w:uiPriority w:val="0"/>
  </w:style>
  <w:style w:type="character" w:customStyle="1" w:styleId="79">
    <w:name w:val="complete"/>
    <w:qFormat/>
    <w:uiPriority w:val="0"/>
  </w:style>
  <w:style w:type="character" w:customStyle="1" w:styleId="80">
    <w:name w:val="hover18"/>
    <w:qFormat/>
    <w:uiPriority w:val="0"/>
  </w:style>
  <w:style w:type="character" w:customStyle="1" w:styleId="81">
    <w:name w:val="common"/>
    <w:qFormat/>
    <w:uiPriority w:val="0"/>
  </w:style>
  <w:style w:type="character" w:customStyle="1" w:styleId="82">
    <w:name w:val="setlist_ico"/>
    <w:qFormat/>
    <w:uiPriority w:val="0"/>
  </w:style>
  <w:style w:type="character" w:customStyle="1" w:styleId="83">
    <w:name w:val="share"/>
    <w:qFormat/>
    <w:uiPriority w:val="0"/>
  </w:style>
  <w:style w:type="character" w:customStyle="1" w:styleId="84">
    <w:name w:val="portal_setico"/>
    <w:qFormat/>
    <w:uiPriority w:val="0"/>
  </w:style>
  <w:style w:type="character" w:customStyle="1" w:styleId="85">
    <w:name w:val="cy"/>
    <w:qFormat/>
    <w:uiPriority w:val="0"/>
  </w:style>
  <w:style w:type="character" w:customStyle="1" w:styleId="86">
    <w:name w:val="type"/>
    <w:qFormat/>
    <w:uiPriority w:val="0"/>
  </w:style>
  <w:style w:type="character" w:customStyle="1" w:styleId="87">
    <w:name w:val="associateddata"/>
    <w:qFormat/>
    <w:uiPriority w:val="0"/>
    <w:rPr>
      <w:shd w:val="clear" w:color="auto" w:fill="50A6F9"/>
    </w:rPr>
  </w:style>
  <w:style w:type="character" w:customStyle="1" w:styleId="88">
    <w:name w:val="icontext3"/>
    <w:qFormat/>
    <w:uiPriority w:val="0"/>
  </w:style>
  <w:style w:type="character" w:customStyle="1" w:styleId="89">
    <w:name w:val="ico_fold2"/>
    <w:qFormat/>
    <w:uiPriority w:val="0"/>
  </w:style>
  <w:style w:type="character" w:customStyle="1" w:styleId="90">
    <w:name w:val="score2"/>
    <w:qFormat/>
    <w:uiPriority w:val="0"/>
  </w:style>
  <w:style w:type="character" w:customStyle="1" w:styleId="91">
    <w:name w:val="cdropright"/>
    <w:qFormat/>
    <w:uiPriority w:val="0"/>
  </w:style>
  <w:style w:type="character" w:customStyle="1" w:styleId="92">
    <w:name w:val="setmenu"/>
    <w:qFormat/>
    <w:uiPriority w:val="0"/>
  </w:style>
  <w:style w:type="character" w:customStyle="1" w:styleId="93">
    <w:name w:val="time_overtime"/>
    <w:qFormat/>
    <w:uiPriority w:val="0"/>
  </w:style>
  <w:style w:type="character" w:customStyle="1" w:styleId="94">
    <w:name w:val="owner"/>
    <w:qFormat/>
    <w:uiPriority w:val="0"/>
  </w:style>
  <w:style w:type="character" w:customStyle="1" w:styleId="95">
    <w:name w:val="time1"/>
    <w:qFormat/>
    <w:uiPriority w:val="0"/>
    <w:rPr>
      <w:color w:val="6A8386"/>
    </w:rPr>
  </w:style>
  <w:style w:type="character" w:customStyle="1" w:styleId="96">
    <w:name w:val="time"/>
    <w:qFormat/>
    <w:uiPriority w:val="0"/>
  </w:style>
  <w:style w:type="character" w:customStyle="1" w:styleId="97">
    <w:name w:val="close"/>
    <w:qFormat/>
    <w:uiPriority w:val="0"/>
  </w:style>
  <w:style w:type="character" w:customStyle="1" w:styleId="98">
    <w:name w:val="design_class"/>
    <w:qFormat/>
    <w:uiPriority w:val="0"/>
  </w:style>
  <w:style w:type="character" w:customStyle="1" w:styleId="99">
    <w:name w:val="close1"/>
    <w:qFormat/>
    <w:uiPriority w:val="0"/>
  </w:style>
  <w:style w:type="character" w:customStyle="1" w:styleId="100">
    <w:name w:val="infomation"/>
    <w:qFormat/>
    <w:uiPriority w:val="0"/>
  </w:style>
  <w:style w:type="character" w:customStyle="1" w:styleId="101">
    <w:name w:val="sort"/>
    <w:qFormat/>
    <w:uiPriority w:val="0"/>
    <w:rPr>
      <w:bdr w:val="single" w:color="D3E8DF" w:sz="6" w:space="0"/>
    </w:rPr>
  </w:style>
  <w:style w:type="character" w:customStyle="1" w:styleId="102">
    <w:name w:val="senddate"/>
    <w:qFormat/>
    <w:uiPriority w:val="0"/>
  </w:style>
  <w:style w:type="character" w:customStyle="1" w:styleId="103">
    <w:name w:val="del"/>
    <w:qFormat/>
    <w:uiPriority w:val="0"/>
  </w:style>
  <w:style w:type="character" w:customStyle="1" w:styleId="104">
    <w:name w:val="hide2"/>
    <w:qFormat/>
    <w:uiPriority w:val="0"/>
    <w:rPr>
      <w:vanish/>
    </w:rPr>
  </w:style>
  <w:style w:type="character" w:customStyle="1" w:styleId="105">
    <w:name w:val="biggerthanmax"/>
    <w:qFormat/>
    <w:uiPriority w:val="0"/>
    <w:rPr>
      <w:shd w:val="clear" w:color="auto" w:fill="FFFF00"/>
    </w:rPr>
  </w:style>
  <w:style w:type="character" w:customStyle="1" w:styleId="106">
    <w:name w:val="w32"/>
    <w:qFormat/>
    <w:uiPriority w:val="0"/>
  </w:style>
  <w:style w:type="character" w:customStyle="1" w:styleId="107">
    <w:name w:val="placeholder"/>
    <w:qFormat/>
    <w:uiPriority w:val="0"/>
  </w:style>
  <w:style w:type="character" w:customStyle="1" w:styleId="108">
    <w:name w:val="edit_type"/>
    <w:qFormat/>
    <w:uiPriority w:val="0"/>
  </w:style>
  <w:style w:type="character" w:customStyle="1" w:styleId="109">
    <w:name w:val="name"/>
    <w:qFormat/>
    <w:uiPriority w:val="0"/>
  </w:style>
  <w:style w:type="character" w:customStyle="1" w:styleId="110">
    <w:name w:val="enddate"/>
    <w:qFormat/>
    <w:uiPriority w:val="0"/>
  </w:style>
  <w:style w:type="character" w:customStyle="1" w:styleId="111">
    <w:name w:val="hover19"/>
    <w:qFormat/>
    <w:uiPriority w:val="0"/>
    <w:rPr>
      <w:color w:val="1B57B9"/>
    </w:rPr>
  </w:style>
  <w:style w:type="character" w:customStyle="1" w:styleId="112">
    <w:name w:val="form"/>
    <w:qFormat/>
    <w:uiPriority w:val="0"/>
  </w:style>
  <w:style w:type="character" w:customStyle="1" w:styleId="113">
    <w:name w:val="icontext11"/>
    <w:qFormat/>
    <w:uiPriority w:val="0"/>
  </w:style>
  <w:style w:type="character" w:customStyle="1" w:styleId="114">
    <w:name w:val="active"/>
    <w:qFormat/>
    <w:uiPriority w:val="0"/>
    <w:rPr>
      <w:color w:val="00FF00"/>
      <w:shd w:val="clear" w:color="auto" w:fill="111111"/>
    </w:rPr>
  </w:style>
  <w:style w:type="character" w:customStyle="1" w:styleId="115">
    <w:name w:val="pagechatarealistclose_box"/>
    <w:qFormat/>
    <w:uiPriority w:val="0"/>
  </w:style>
  <w:style w:type="character" w:customStyle="1" w:styleId="116">
    <w:name w:val="portal_setico1"/>
    <w:qFormat/>
    <w:uiPriority w:val="0"/>
  </w:style>
  <w:style w:type="character" w:customStyle="1" w:styleId="117">
    <w:name w:val="ui_title_wrap_title"/>
    <w:qFormat/>
    <w:uiPriority w:val="0"/>
  </w:style>
  <w:style w:type="character" w:customStyle="1" w:styleId="118">
    <w:name w:val="hover22"/>
    <w:qFormat/>
    <w:uiPriority w:val="0"/>
  </w:style>
  <w:style w:type="character" w:customStyle="1" w:styleId="119">
    <w:name w:val="ico_open1"/>
    <w:qFormat/>
    <w:uiPriority w:val="0"/>
  </w:style>
  <w:style w:type="character" w:customStyle="1" w:styleId="120">
    <w:name w:val="publisher"/>
    <w:qFormat/>
    <w:uiPriority w:val="0"/>
  </w:style>
  <w:style w:type="character" w:customStyle="1" w:styleId="121">
    <w:name w:val="icontext12"/>
    <w:qFormat/>
    <w:uiPriority w:val="0"/>
  </w:style>
  <w:style w:type="character" w:customStyle="1" w:styleId="122">
    <w:name w:val="iconline2"/>
    <w:qFormat/>
    <w:uiPriority w:val="0"/>
  </w:style>
  <w:style w:type="character" w:customStyle="1" w:styleId="123">
    <w:name w:val="left"/>
    <w:qFormat/>
    <w:uiPriority w:val="0"/>
  </w:style>
  <w:style w:type="character" w:customStyle="1" w:styleId="124">
    <w:name w:val="button4"/>
    <w:qFormat/>
    <w:uiPriority w:val="0"/>
  </w:style>
  <w:style w:type="character" w:customStyle="1" w:styleId="125">
    <w:name w:val="time_logo"/>
    <w:qFormat/>
    <w:uiPriority w:val="0"/>
  </w:style>
  <w:style w:type="character" w:customStyle="1" w:styleId="126">
    <w:name w:val="first-child"/>
    <w:qFormat/>
    <w:uiPriority w:val="0"/>
  </w:style>
  <w:style w:type="character" w:customStyle="1" w:styleId="127">
    <w:name w:val="drapbtn"/>
    <w:qFormat/>
    <w:uiPriority w:val="0"/>
  </w:style>
  <w:style w:type="character" w:customStyle="1" w:styleId="128">
    <w:name w:val="time_select4"/>
    <w:qFormat/>
    <w:uiPriority w:val="0"/>
  </w:style>
  <w:style w:type="character" w:customStyle="1" w:styleId="129">
    <w:name w:val="iconline21"/>
    <w:qFormat/>
    <w:uiPriority w:val="0"/>
  </w:style>
  <w:style w:type="character" w:customStyle="1" w:styleId="130">
    <w:name w:val="fc-event-time12"/>
    <w:qFormat/>
    <w:uiPriority w:val="0"/>
    <w:rPr>
      <w:sz w:val="15"/>
      <w:szCs w:val="15"/>
    </w:rPr>
  </w:style>
  <w:style w:type="character" w:customStyle="1" w:styleId="131">
    <w:name w:val="close3"/>
    <w:qFormat/>
    <w:uiPriority w:val="0"/>
    <w:rPr>
      <w:vanish/>
    </w:rPr>
  </w:style>
  <w:style w:type="character" w:customStyle="1" w:styleId="132">
    <w:name w:val="button"/>
    <w:qFormat/>
    <w:uiPriority w:val="0"/>
  </w:style>
  <w:style w:type="character" w:customStyle="1" w:styleId="133">
    <w:name w:val="sender"/>
    <w:qFormat/>
    <w:uiPriority w:val="0"/>
  </w:style>
  <w:style w:type="character" w:customStyle="1" w:styleId="134">
    <w:name w:val="unselect"/>
    <w:qFormat/>
    <w:uiPriority w:val="0"/>
  </w:style>
  <w:style w:type="character" w:customStyle="1" w:styleId="135">
    <w:name w:val="hover21"/>
    <w:qFormat/>
    <w:uiPriority w:val="0"/>
  </w:style>
  <w:style w:type="character" w:customStyle="1" w:styleId="136">
    <w:name w:val="number"/>
    <w:qFormat/>
    <w:uiPriority w:val="0"/>
    <w:rPr>
      <w:b/>
      <w:sz w:val="22"/>
      <w:szCs w:val="22"/>
    </w:rPr>
  </w:style>
  <w:style w:type="character" w:customStyle="1" w:styleId="137">
    <w:name w:val="xdrichtextbox"/>
    <w:qFormat/>
    <w:uiPriority w:val="0"/>
    <w:rPr>
      <w:color w:val="auto"/>
      <w:sz w:val="18"/>
      <w:szCs w:val="18"/>
      <w:u w:val="none"/>
      <w:bdr w:val="single" w:color="DCDCDC" w:sz="8" w:space="0"/>
      <w:shd w:val="clear" w:color="auto" w:fill="auto"/>
    </w:rPr>
  </w:style>
  <w:style w:type="character" w:customStyle="1" w:styleId="138">
    <w:name w:val="hilite"/>
    <w:qFormat/>
    <w:uiPriority w:val="0"/>
    <w:rPr>
      <w:color w:val="FFFFFF"/>
      <w:shd w:val="clear" w:color="auto" w:fill="666666"/>
    </w:rPr>
  </w:style>
  <w:style w:type="character" w:customStyle="1" w:styleId="139">
    <w:name w:val="ico1654"/>
    <w:qFormat/>
    <w:uiPriority w:val="0"/>
  </w:style>
  <w:style w:type="character" w:customStyle="1" w:styleId="140">
    <w:name w:val="scope"/>
    <w:qFormat/>
    <w:uiPriority w:val="0"/>
  </w:style>
  <w:style w:type="character" w:customStyle="1" w:styleId="141">
    <w:name w:val="icontext2"/>
    <w:qFormat/>
    <w:uiPriority w:val="0"/>
  </w:style>
  <w:style w:type="character" w:customStyle="1" w:styleId="142">
    <w:name w:val="hover36"/>
    <w:qFormat/>
    <w:uiPriority w:val="0"/>
    <w:rPr>
      <w:color w:val="FFFFFF"/>
    </w:rPr>
  </w:style>
  <w:style w:type="character" w:customStyle="1" w:styleId="143">
    <w:name w:val="reminders"/>
    <w:qFormat/>
    <w:uiPriority w:val="0"/>
  </w:style>
  <w:style w:type="character" w:customStyle="1" w:styleId="144">
    <w:name w:val="browse_class&gt;span"/>
    <w:qFormat/>
    <w:uiPriority w:val="0"/>
  </w:style>
  <w:style w:type="character" w:customStyle="1" w:styleId="145">
    <w:name w:val="remindgray"/>
    <w:qFormat/>
    <w:uiPriority w:val="0"/>
  </w:style>
  <w:style w:type="character" w:customStyle="1" w:styleId="146">
    <w:name w:val="pagechatarealistclose_box1"/>
    <w:qFormat/>
    <w:uiPriority w:val="0"/>
  </w:style>
  <w:style w:type="character" w:customStyle="1" w:styleId="147">
    <w:name w:val="edit_class"/>
    <w:qFormat/>
    <w:uiPriority w:val="0"/>
  </w:style>
  <w:style w:type="character" w:customStyle="1" w:styleId="148">
    <w:name w:val="select"/>
    <w:qFormat/>
    <w:uiPriority w:val="0"/>
  </w:style>
  <w:style w:type="character" w:customStyle="1" w:styleId="149">
    <w:name w:val="close2"/>
    <w:qFormat/>
    <w:uiPriority w:val="0"/>
  </w:style>
  <w:style w:type="character" w:customStyle="1" w:styleId="150">
    <w:name w:val="cdropleft"/>
    <w:qFormat/>
    <w:uiPriority w:val="0"/>
  </w:style>
  <w:style w:type="character" w:customStyle="1" w:styleId="151">
    <w:name w:val="tmpztreemove_arrow"/>
    <w:qFormat/>
    <w:uiPriority w:val="0"/>
  </w:style>
  <w:style w:type="character" w:customStyle="1" w:styleId="152">
    <w:name w:val="startdate"/>
    <w:qFormat/>
    <w:uiPriority w:val="0"/>
  </w:style>
  <w:style w:type="character" w:customStyle="1" w:styleId="153">
    <w:name w:val="fold_open"/>
    <w:qFormat/>
    <w:uiPriority w:val="0"/>
  </w:style>
  <w:style w:type="character" w:customStyle="1" w:styleId="154">
    <w:name w:val="createdate"/>
    <w:qFormat/>
    <w:uiPriority w:val="0"/>
    <w:rPr>
      <w:color w:val="6A8386"/>
    </w:rPr>
  </w:style>
  <w:style w:type="paragraph" w:customStyle="1" w:styleId="155">
    <w:name w:val="标准"/>
    <w:basedOn w:val="1"/>
    <w:qFormat/>
    <w:uiPriority w:val="0"/>
    <w:pPr>
      <w:adjustRightInd w:val="0"/>
      <w:spacing w:line="312" w:lineRule="atLeast"/>
    </w:pPr>
    <w:rPr>
      <w:kern w:val="0"/>
      <w:sz w:val="24"/>
    </w:rPr>
  </w:style>
  <w:style w:type="paragraph" w:customStyle="1" w:styleId="156">
    <w:name w:val="_Style 4"/>
    <w:next w:v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7">
    <w:name w:val="段"/>
    <w:qFormat/>
    <w:locked/>
    <w:uiPriority w:val="0"/>
    <w:pPr>
      <w:ind w:firstLine="200" w:firstLineChars="200"/>
      <w:jc w:val="both"/>
    </w:pPr>
    <w:rPr>
      <w:rFonts w:ascii="宋体" w:hAnsi="Times New Roman" w:eastAsia="宋体" w:cs="Times New Roman"/>
      <w:sz w:val="21"/>
      <w:szCs w:val="22"/>
      <w:lang w:val="en-US" w:eastAsia="zh-CN" w:bidi="ar-SA"/>
    </w:rPr>
  </w:style>
  <w:style w:type="paragraph" w:customStyle="1" w:styleId="158">
    <w:name w:val="正文文本缩进1"/>
    <w:basedOn w:val="1"/>
    <w:qFormat/>
    <w:uiPriority w:val="0"/>
    <w:pPr>
      <w:ind w:left="200" w:leftChars="200"/>
    </w:pPr>
  </w:style>
  <w:style w:type="paragraph" w:customStyle="1" w:styleId="159">
    <w:name w:val="Table Paragraph"/>
    <w:basedOn w:val="1"/>
    <w:qFormat/>
    <w:uiPriority w:val="1"/>
    <w:pPr>
      <w:jc w:val="left"/>
    </w:pPr>
    <w:rPr>
      <w:rFonts w:ascii="Calibri" w:hAnsi="Calibri"/>
      <w:kern w:val="0"/>
      <w:sz w:val="22"/>
      <w:lang w:eastAsia="en-US"/>
    </w:rPr>
  </w:style>
  <w:style w:type="paragraph" w:customStyle="1" w:styleId="160">
    <w:name w:val="列表段落1"/>
    <w:basedOn w:val="1"/>
    <w:qFormat/>
    <w:uiPriority w:val="34"/>
    <w:pPr>
      <w:ind w:firstLine="420" w:firstLineChars="200"/>
    </w:pPr>
    <w:rPr>
      <w:rFonts w:ascii="Calibri" w:hAnsi="Calibri"/>
      <w:szCs w:val="22"/>
    </w:rPr>
  </w:style>
  <w:style w:type="paragraph" w:styleId="16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62">
    <w:name w:val="正文首行缩进 21"/>
    <w:basedOn w:val="158"/>
    <w:next w:val="30"/>
    <w:qFormat/>
    <w:uiPriority w:val="0"/>
    <w:pPr>
      <w:ind w:firstLine="200" w:firstLineChars="200"/>
    </w:pPr>
  </w:style>
  <w:style w:type="paragraph" w:customStyle="1" w:styleId="163">
    <w:name w:val="无间隔11"/>
    <w:qFormat/>
    <w:uiPriority w:val="1"/>
    <w:pPr>
      <w:widowControl w:val="0"/>
      <w:jc w:val="both"/>
    </w:pPr>
    <w:rPr>
      <w:rFonts w:hint="eastAsia" w:ascii="Times New Roman" w:hAnsi="Times New Roman" w:eastAsia="华文中宋" w:cs="Times New Roman"/>
      <w:kern w:val="2"/>
      <w:sz w:val="21"/>
      <w:szCs w:val="22"/>
      <w:lang w:val="en-US" w:eastAsia="zh-CN" w:bidi="ar-SA"/>
    </w:rPr>
  </w:style>
  <w:style w:type="paragraph" w:customStyle="1" w:styleId="164">
    <w:name w:val="四级标题"/>
    <w:basedOn w:val="19"/>
    <w:qFormat/>
    <w:uiPriority w:val="0"/>
    <w:rPr>
      <w:rFonts w:eastAsia="黑体"/>
    </w:rPr>
  </w:style>
  <w:style w:type="paragraph" w:customStyle="1" w:styleId="165">
    <w:name w:val="Normal Indent1"/>
    <w:basedOn w:val="1"/>
    <w:qFormat/>
    <w:uiPriority w:val="0"/>
    <w:pPr>
      <w:ind w:firstLine="420"/>
    </w:pPr>
  </w:style>
  <w:style w:type="paragraph" w:customStyle="1" w:styleId="166">
    <w:name w:val="BlockQuote"/>
    <w:basedOn w:val="1"/>
    <w:qFormat/>
    <w:uiPriority w:val="0"/>
    <w:pPr>
      <w:spacing w:line="600" w:lineRule="exact"/>
      <w:ind w:firstLine="880" w:firstLineChars="200"/>
    </w:pPr>
    <w:rPr>
      <w:rFonts w:eastAsia="仿宋"/>
      <w:sz w:val="32"/>
    </w:rPr>
  </w:style>
  <w:style w:type="paragraph" w:customStyle="1" w:styleId="167">
    <w:name w:val="样式1"/>
    <w:basedOn w:val="5"/>
    <w:next w:val="6"/>
    <w:qFormat/>
    <w:uiPriority w:val="0"/>
    <w:rPr>
      <w:rFonts w:eastAsia="Arial"/>
    </w:rPr>
  </w:style>
  <w:style w:type="table" w:customStyle="1" w:styleId="168">
    <w:name w:val="常规 291"/>
    <w:basedOn w:val="34"/>
    <w:qFormat/>
    <w:uiPriority w:val="0"/>
    <w:pPr>
      <w:textAlignment w:val="center"/>
    </w:pPr>
    <w:rPr>
      <w:rFonts w:hint="eastAsia" w:ascii="宋体" w:hAnsi="宋体" w:cs="宋体"/>
      <w:color w:val="000000"/>
      <w:sz w:val="22"/>
      <w:szCs w:val="22"/>
    </w:rPr>
    <w:tblPr>
      <w:tblCellMar>
        <w:top w:w="0" w:type="dxa"/>
        <w:left w:w="108" w:type="dxa"/>
        <w:bottom w:w="0" w:type="dxa"/>
        <w:right w:w="108" w:type="dxa"/>
      </w:tblCellMar>
    </w:tblPr>
    <w:tcPr>
      <w:vAlign w:val="center"/>
    </w:tcPr>
  </w:style>
  <w:style w:type="table" w:customStyle="1" w:styleId="169">
    <w:name w:val="常规_检修_28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70">
    <w:name w:val="常规1"/>
    <w:basedOn w:val="34"/>
    <w:qFormat/>
    <w:uiPriority w:val="0"/>
    <w:pPr>
      <w:textAlignment w:val="bottom"/>
    </w:pPr>
    <w:rPr>
      <w:sz w:val="24"/>
      <w:szCs w:val="24"/>
    </w:rPr>
    <w:tblPr>
      <w:tblCellMar>
        <w:top w:w="0" w:type="dxa"/>
        <w:left w:w="108" w:type="dxa"/>
        <w:bottom w:w="0" w:type="dxa"/>
        <w:right w:w="108" w:type="dxa"/>
      </w:tblCellMar>
    </w:tblPr>
    <w:tcPr>
      <w:vAlign w:val="bottom"/>
    </w:tcPr>
  </w:style>
  <w:style w:type="table" w:customStyle="1" w:styleId="171">
    <w:name w:val="常规_检修_19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72">
    <w:name w:val="常规 13 21"/>
    <w:basedOn w:val="34"/>
    <w:qFormat/>
    <w:uiPriority w:val="0"/>
    <w:pPr>
      <w:textAlignment w:val="bottom"/>
    </w:pPr>
    <w:rPr>
      <w:rFonts w:ascii="Tahoma" w:hAnsi="Tahoma" w:eastAsia="Tahoma" w:cs="Tahoma"/>
      <w:color w:val="000000"/>
      <w:sz w:val="22"/>
      <w:szCs w:val="22"/>
    </w:rPr>
    <w:tblPr>
      <w:tblCellMar>
        <w:top w:w="0" w:type="dxa"/>
        <w:left w:w="108" w:type="dxa"/>
        <w:bottom w:w="0" w:type="dxa"/>
        <w:right w:w="108" w:type="dxa"/>
      </w:tblCellMar>
    </w:tblPr>
    <w:tcPr>
      <w:vAlign w:val="bottom"/>
    </w:tcPr>
  </w:style>
  <w:style w:type="table" w:customStyle="1" w:styleId="173">
    <w:name w:val="常规 7 21"/>
    <w:basedOn w:val="34"/>
    <w:qFormat/>
    <w:uiPriority w:val="0"/>
    <w:pPr>
      <w:textAlignment w:val="bottom"/>
    </w:pPr>
    <w:rPr>
      <w:rFonts w:ascii="Tahoma" w:hAnsi="Tahoma" w:eastAsia="Tahoma" w:cs="Tahoma"/>
      <w:color w:val="000000"/>
      <w:sz w:val="22"/>
      <w:szCs w:val="22"/>
    </w:rPr>
    <w:tblPr>
      <w:tblCellMar>
        <w:top w:w="0" w:type="dxa"/>
        <w:left w:w="108" w:type="dxa"/>
        <w:bottom w:w="0" w:type="dxa"/>
        <w:right w:w="108" w:type="dxa"/>
      </w:tblCellMar>
    </w:tblPr>
    <w:tcPr>
      <w:vAlign w:val="bottom"/>
    </w:tcPr>
  </w:style>
  <w:style w:type="table" w:customStyle="1" w:styleId="174">
    <w:name w:val="常规 151"/>
    <w:basedOn w:val="34"/>
    <w:qFormat/>
    <w:uiPriority w:val="0"/>
    <w:pPr>
      <w:textAlignment w:val="center"/>
    </w:pPr>
    <w:rPr>
      <w:rFonts w:hint="eastAsia" w:ascii="宋体" w:hAnsi="宋体" w:cs="宋体"/>
      <w:sz w:val="24"/>
      <w:szCs w:val="24"/>
    </w:rPr>
    <w:tblPr>
      <w:tblCellMar>
        <w:top w:w="0" w:type="dxa"/>
        <w:left w:w="108" w:type="dxa"/>
        <w:bottom w:w="0" w:type="dxa"/>
        <w:right w:w="108" w:type="dxa"/>
      </w:tblCellMar>
    </w:tblPr>
    <w:tcPr>
      <w:vAlign w:val="center"/>
    </w:tcPr>
  </w:style>
  <w:style w:type="table" w:customStyle="1" w:styleId="175">
    <w:name w:val="常规_检修_322"/>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76">
    <w:name w:val="常规_检修_2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77">
    <w:name w:val="常规_检修_17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78">
    <w:name w:val="常规_检修_8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79">
    <w:name w:val="常规_检修_25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80">
    <w:name w:val="常规2"/>
    <w:basedOn w:val="34"/>
    <w:qFormat/>
    <w:uiPriority w:val="0"/>
    <w:pPr>
      <w:textAlignment w:val="bottom"/>
    </w:pPr>
    <w:rPr>
      <w:sz w:val="24"/>
      <w:szCs w:val="24"/>
    </w:rPr>
    <w:tblPr>
      <w:tblCellMar>
        <w:top w:w="0" w:type="dxa"/>
        <w:left w:w="108" w:type="dxa"/>
        <w:bottom w:w="0" w:type="dxa"/>
        <w:right w:w="108" w:type="dxa"/>
      </w:tblCellMar>
    </w:tblPr>
    <w:tcPr>
      <w:vAlign w:val="bottom"/>
    </w:tcPr>
  </w:style>
  <w:style w:type="table" w:customStyle="1" w:styleId="181">
    <w:name w:val="常规_检修_38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82">
    <w:name w:val="常规_检修_18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83">
    <w:name w:val="常规_检修_20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84">
    <w:name w:val="常规_Sheet1_13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85">
    <w:name w:val="常规_Sheet1_2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86">
    <w:name w:val="常规 19 21"/>
    <w:basedOn w:val="34"/>
    <w:qFormat/>
    <w:uiPriority w:val="0"/>
    <w:pPr>
      <w:textAlignment w:val="bottom"/>
    </w:pPr>
    <w:rPr>
      <w:rFonts w:ascii="Tahoma" w:hAnsi="Tahoma" w:eastAsia="Tahoma" w:cs="Tahoma"/>
      <w:color w:val="000000"/>
      <w:sz w:val="22"/>
      <w:szCs w:val="22"/>
    </w:rPr>
    <w:tblPr>
      <w:tblCellMar>
        <w:top w:w="0" w:type="dxa"/>
        <w:left w:w="108" w:type="dxa"/>
        <w:bottom w:w="0" w:type="dxa"/>
        <w:right w:w="108" w:type="dxa"/>
      </w:tblCellMar>
    </w:tblPr>
    <w:tcPr>
      <w:vAlign w:val="bottom"/>
    </w:tcPr>
  </w:style>
  <w:style w:type="table" w:customStyle="1" w:styleId="187">
    <w:name w:val="常规_检修_15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88">
    <w:name w:val="常规_检修_42"/>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89">
    <w:name w:val="常规_表二_22"/>
    <w:basedOn w:val="34"/>
    <w:qFormat/>
    <w:uiPriority w:val="0"/>
    <w:pPr>
      <w:textAlignment w:val="center"/>
    </w:pPr>
    <w:rPr>
      <w:rFonts w:hint="eastAsia" w:ascii="宋体" w:hAnsi="宋体" w:cs="宋体"/>
      <w:sz w:val="24"/>
      <w:szCs w:val="24"/>
    </w:rPr>
    <w:tblPr>
      <w:tblCellMar>
        <w:top w:w="0" w:type="dxa"/>
        <w:left w:w="108" w:type="dxa"/>
        <w:bottom w:w="0" w:type="dxa"/>
        <w:right w:w="108" w:type="dxa"/>
      </w:tblCellMar>
    </w:tblPr>
    <w:tcPr>
      <w:vAlign w:val="center"/>
    </w:tcPr>
  </w:style>
  <w:style w:type="table" w:customStyle="1" w:styleId="190">
    <w:name w:val="常规_检修_35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91">
    <w:name w:val="常规 2 31"/>
    <w:basedOn w:val="34"/>
    <w:qFormat/>
    <w:uiPriority w:val="0"/>
    <w:pPr>
      <w:textAlignment w:val="bottom"/>
    </w:pPr>
    <w:rPr>
      <w:rFonts w:ascii="Tahoma" w:hAnsi="Tahoma" w:eastAsia="Tahoma" w:cs="Tahoma"/>
      <w:color w:val="000000"/>
      <w:sz w:val="22"/>
      <w:szCs w:val="22"/>
    </w:rPr>
    <w:tblPr>
      <w:tblCellMar>
        <w:top w:w="0" w:type="dxa"/>
        <w:left w:w="108" w:type="dxa"/>
        <w:bottom w:w="0" w:type="dxa"/>
        <w:right w:w="108" w:type="dxa"/>
      </w:tblCellMar>
    </w:tblPr>
    <w:tcPr>
      <w:vAlign w:val="bottom"/>
    </w:tcPr>
  </w:style>
  <w:style w:type="table" w:customStyle="1" w:styleId="192">
    <w:name w:val="常规_检修_29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93">
    <w:name w:val="常规_检修_222"/>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94">
    <w:name w:val="常规 5 21"/>
    <w:basedOn w:val="34"/>
    <w:qFormat/>
    <w:uiPriority w:val="0"/>
    <w:pPr>
      <w:textAlignment w:val="bottom"/>
    </w:pPr>
    <w:rPr>
      <w:rFonts w:ascii="Tahoma" w:hAnsi="Tahoma" w:eastAsia="Tahoma" w:cs="Tahoma"/>
      <w:color w:val="000000"/>
      <w:sz w:val="22"/>
      <w:szCs w:val="22"/>
    </w:rPr>
    <w:tblPr>
      <w:tblCellMar>
        <w:top w:w="0" w:type="dxa"/>
        <w:left w:w="108" w:type="dxa"/>
        <w:bottom w:w="0" w:type="dxa"/>
        <w:right w:w="108" w:type="dxa"/>
      </w:tblCellMar>
    </w:tblPr>
    <w:tcPr>
      <w:vAlign w:val="bottom"/>
    </w:tcPr>
  </w:style>
  <w:style w:type="table" w:customStyle="1" w:styleId="195">
    <w:name w:val="常规_检修_3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96">
    <w:name w:val="常规_Sheet1_142"/>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97">
    <w:name w:val="常规 3 21"/>
    <w:basedOn w:val="34"/>
    <w:qFormat/>
    <w:uiPriority w:val="0"/>
    <w:pPr>
      <w:textAlignment w:val="bottom"/>
    </w:pPr>
    <w:rPr>
      <w:rFonts w:ascii="Tahoma" w:hAnsi="Tahoma" w:eastAsia="Tahoma" w:cs="Tahoma"/>
      <w:color w:val="000000"/>
      <w:sz w:val="22"/>
      <w:szCs w:val="22"/>
    </w:rPr>
    <w:tblPr>
      <w:tblCellMar>
        <w:top w:w="0" w:type="dxa"/>
        <w:left w:w="108" w:type="dxa"/>
        <w:bottom w:w="0" w:type="dxa"/>
        <w:right w:w="108" w:type="dxa"/>
      </w:tblCellMar>
    </w:tblPr>
    <w:tcPr>
      <w:vAlign w:val="bottom"/>
    </w:tcPr>
  </w:style>
  <w:style w:type="table" w:customStyle="1" w:styleId="198">
    <w:name w:val="常规_检修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199">
    <w:name w:val="常规_检修_7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00">
    <w:name w:val="常规 141"/>
    <w:basedOn w:val="34"/>
    <w:qFormat/>
    <w:uiPriority w:val="0"/>
    <w:pPr>
      <w:textAlignment w:val="center"/>
    </w:pPr>
    <w:rPr>
      <w:rFonts w:hint="eastAsia" w:ascii="宋体" w:hAnsi="宋体" w:cs="宋体"/>
      <w:sz w:val="24"/>
      <w:szCs w:val="24"/>
    </w:rPr>
    <w:tblPr>
      <w:tblCellMar>
        <w:top w:w="0" w:type="dxa"/>
        <w:left w:w="108" w:type="dxa"/>
        <w:bottom w:w="0" w:type="dxa"/>
        <w:right w:w="108" w:type="dxa"/>
      </w:tblCellMar>
    </w:tblPr>
    <w:tcPr>
      <w:vAlign w:val="center"/>
    </w:tcPr>
  </w:style>
  <w:style w:type="table" w:customStyle="1" w:styleId="201">
    <w:name w:val="常规_检修_40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02">
    <w:name w:val="常规_检修_112"/>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03">
    <w:name w:val="常规_Sheet1_7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04">
    <w:name w:val="常规 9 21"/>
    <w:basedOn w:val="34"/>
    <w:qFormat/>
    <w:uiPriority w:val="0"/>
    <w:pPr>
      <w:textAlignment w:val="bottom"/>
    </w:pPr>
    <w:rPr>
      <w:rFonts w:ascii="Tahoma" w:hAnsi="Tahoma" w:eastAsia="Tahoma" w:cs="Tahoma"/>
      <w:color w:val="000000"/>
      <w:sz w:val="22"/>
      <w:szCs w:val="22"/>
    </w:rPr>
    <w:tblPr>
      <w:tblCellMar>
        <w:top w:w="0" w:type="dxa"/>
        <w:left w:w="108" w:type="dxa"/>
        <w:bottom w:w="0" w:type="dxa"/>
        <w:right w:w="108" w:type="dxa"/>
      </w:tblCellMar>
    </w:tblPr>
    <w:tcPr>
      <w:vAlign w:val="bottom"/>
    </w:tcPr>
  </w:style>
  <w:style w:type="table" w:customStyle="1" w:styleId="205">
    <w:name w:val="常规_Sheet1_16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06">
    <w:name w:val="常规_Sheet1_15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07">
    <w:name w:val="常规_检修_36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08">
    <w:name w:val="常规_检修_10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09">
    <w:name w:val="货币2"/>
    <w:basedOn w:val="34"/>
    <w:qFormat/>
    <w:uiPriority w:val="0"/>
    <w:tblPr>
      <w:tblCellMar>
        <w:top w:w="0" w:type="dxa"/>
        <w:left w:w="108" w:type="dxa"/>
        <w:bottom w:w="0" w:type="dxa"/>
        <w:right w:w="108" w:type="dxa"/>
      </w:tblCellMar>
    </w:tblPr>
  </w:style>
  <w:style w:type="table" w:customStyle="1" w:styleId="210">
    <w:name w:val="常规_检修_23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11">
    <w:name w:val="常规_检修_34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12">
    <w:name w:val="常规_检修_9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13">
    <w:name w:val="常规_Sheet1_11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14">
    <w:name w:val="常规 16 21"/>
    <w:basedOn w:val="34"/>
    <w:qFormat/>
    <w:uiPriority w:val="0"/>
    <w:pPr>
      <w:textAlignment w:val="bottom"/>
    </w:pPr>
    <w:rPr>
      <w:rFonts w:ascii="Tahoma" w:hAnsi="Tahoma" w:eastAsia="Tahoma" w:cs="Tahoma"/>
      <w:color w:val="000000"/>
      <w:sz w:val="22"/>
      <w:szCs w:val="22"/>
    </w:rPr>
    <w:tblPr>
      <w:tblCellMar>
        <w:top w:w="0" w:type="dxa"/>
        <w:left w:w="108" w:type="dxa"/>
        <w:bottom w:w="0" w:type="dxa"/>
        <w:right w:w="108" w:type="dxa"/>
      </w:tblCellMar>
    </w:tblPr>
    <w:tcPr>
      <w:vAlign w:val="bottom"/>
    </w:tcPr>
  </w:style>
  <w:style w:type="table" w:customStyle="1" w:styleId="215">
    <w:name w:val="常规_Sheet12"/>
    <w:basedOn w:val="34"/>
    <w:qFormat/>
    <w:uiPriority w:val="0"/>
    <w:pPr>
      <w:textAlignment w:val="bottom"/>
    </w:pPr>
    <w:rPr>
      <w:rFonts w:hint="eastAsia" w:ascii="宋体" w:hAnsi="宋体" w:cs="宋体"/>
      <w:sz w:val="24"/>
      <w:szCs w:val="24"/>
    </w:rPr>
    <w:tblPr>
      <w:tblCellMar>
        <w:top w:w="0" w:type="dxa"/>
        <w:left w:w="108" w:type="dxa"/>
        <w:bottom w:w="0" w:type="dxa"/>
        <w:right w:w="108" w:type="dxa"/>
      </w:tblCellMar>
    </w:tblPr>
    <w:tcPr>
      <w:vAlign w:val="bottom"/>
    </w:tcPr>
  </w:style>
  <w:style w:type="table" w:customStyle="1" w:styleId="216">
    <w:name w:val="常规_检修_41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17">
    <w:name w:val="常规_Sheet11"/>
    <w:basedOn w:val="34"/>
    <w:qFormat/>
    <w:uiPriority w:val="0"/>
    <w:pPr>
      <w:textAlignment w:val="bottom"/>
    </w:pPr>
    <w:rPr>
      <w:rFonts w:hint="eastAsia" w:ascii="宋体" w:hAnsi="宋体" w:cs="宋体"/>
      <w:sz w:val="24"/>
      <w:szCs w:val="24"/>
    </w:rPr>
    <w:tblPr>
      <w:tblCellMar>
        <w:top w:w="0" w:type="dxa"/>
        <w:left w:w="108" w:type="dxa"/>
        <w:bottom w:w="0" w:type="dxa"/>
        <w:right w:w="108" w:type="dxa"/>
      </w:tblCellMar>
    </w:tblPr>
    <w:tcPr>
      <w:vAlign w:val="bottom"/>
    </w:tcPr>
  </w:style>
  <w:style w:type="table" w:customStyle="1" w:styleId="218">
    <w:name w:val="常规 261"/>
    <w:basedOn w:val="34"/>
    <w:qFormat/>
    <w:uiPriority w:val="0"/>
    <w:pPr>
      <w:textAlignment w:val="center"/>
    </w:pPr>
    <w:rPr>
      <w:rFonts w:hint="eastAsia" w:ascii="宋体" w:hAnsi="宋体" w:cs="宋体"/>
      <w:sz w:val="24"/>
      <w:szCs w:val="24"/>
    </w:rPr>
    <w:tblPr>
      <w:tblCellMar>
        <w:top w:w="0" w:type="dxa"/>
        <w:left w:w="108" w:type="dxa"/>
        <w:bottom w:w="0" w:type="dxa"/>
        <w:right w:w="108" w:type="dxa"/>
      </w:tblCellMar>
    </w:tblPr>
    <w:tcPr>
      <w:vAlign w:val="center"/>
    </w:tcPr>
  </w:style>
  <w:style w:type="table" w:customStyle="1" w:styleId="219">
    <w:name w:val="常规 11 21"/>
    <w:basedOn w:val="34"/>
    <w:qFormat/>
    <w:uiPriority w:val="0"/>
    <w:pPr>
      <w:textAlignment w:val="bottom"/>
    </w:pPr>
    <w:rPr>
      <w:rFonts w:ascii="Tahoma" w:hAnsi="Tahoma" w:eastAsia="Tahoma" w:cs="Tahoma"/>
      <w:color w:val="000000"/>
      <w:sz w:val="22"/>
      <w:szCs w:val="22"/>
    </w:rPr>
    <w:tblPr>
      <w:tblCellMar>
        <w:top w:w="0" w:type="dxa"/>
        <w:left w:w="108" w:type="dxa"/>
        <w:bottom w:w="0" w:type="dxa"/>
        <w:right w:w="108" w:type="dxa"/>
      </w:tblCellMar>
    </w:tblPr>
    <w:tcPr>
      <w:vAlign w:val="bottom"/>
    </w:tcPr>
  </w:style>
  <w:style w:type="table" w:customStyle="1" w:styleId="220">
    <w:name w:val="常规_Sheet1_9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21">
    <w:name w:val="常规_Sheet1_3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22">
    <w:name w:val="常规_15晋北铝业公司集团计划内1"/>
    <w:basedOn w:val="34"/>
    <w:qFormat/>
    <w:uiPriority w:val="0"/>
    <w:pPr>
      <w:textAlignment w:val="center"/>
    </w:pPr>
    <w:rPr>
      <w:rFonts w:hint="eastAsia" w:ascii="宋体" w:hAnsi="宋体" w:cs="宋体"/>
      <w:sz w:val="24"/>
      <w:szCs w:val="24"/>
    </w:rPr>
    <w:tblPr>
      <w:tblCellMar>
        <w:top w:w="0" w:type="dxa"/>
        <w:left w:w="108" w:type="dxa"/>
        <w:bottom w:w="0" w:type="dxa"/>
        <w:right w:w="108" w:type="dxa"/>
      </w:tblCellMar>
    </w:tblPr>
    <w:tcPr>
      <w:vAlign w:val="center"/>
    </w:tcPr>
  </w:style>
  <w:style w:type="table" w:customStyle="1" w:styleId="223">
    <w:name w:val="常规 18 21"/>
    <w:basedOn w:val="34"/>
    <w:qFormat/>
    <w:uiPriority w:val="0"/>
    <w:pPr>
      <w:textAlignment w:val="bottom"/>
    </w:pPr>
    <w:rPr>
      <w:rFonts w:ascii="Tahoma" w:hAnsi="Tahoma" w:eastAsia="Tahoma" w:cs="Tahoma"/>
      <w:color w:val="000000"/>
      <w:sz w:val="22"/>
      <w:szCs w:val="22"/>
    </w:rPr>
    <w:tblPr>
      <w:tblCellMar>
        <w:top w:w="0" w:type="dxa"/>
        <w:left w:w="108" w:type="dxa"/>
        <w:bottom w:w="0" w:type="dxa"/>
        <w:right w:w="108" w:type="dxa"/>
      </w:tblCellMar>
    </w:tblPr>
    <w:tcPr>
      <w:vAlign w:val="bottom"/>
    </w:tcPr>
  </w:style>
  <w:style w:type="table" w:customStyle="1" w:styleId="224">
    <w:name w:val="常规_Sheet1_10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25">
    <w:name w:val="常规_检修_14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26">
    <w:name w:val="常规_检修_37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27">
    <w:name w:val="常规_检修_16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28">
    <w:name w:val="常规 6 21"/>
    <w:basedOn w:val="34"/>
    <w:qFormat/>
    <w:uiPriority w:val="0"/>
    <w:pPr>
      <w:textAlignment w:val="bottom"/>
    </w:pPr>
    <w:rPr>
      <w:rFonts w:ascii="Tahoma" w:hAnsi="Tahoma" w:eastAsia="Tahoma" w:cs="Tahoma"/>
      <w:color w:val="000000"/>
      <w:sz w:val="22"/>
      <w:szCs w:val="22"/>
    </w:rPr>
    <w:tblPr>
      <w:tblCellMar>
        <w:top w:w="0" w:type="dxa"/>
        <w:left w:w="108" w:type="dxa"/>
        <w:bottom w:w="0" w:type="dxa"/>
        <w:right w:w="108" w:type="dxa"/>
      </w:tblCellMar>
    </w:tblPr>
    <w:tcPr>
      <w:vAlign w:val="bottom"/>
    </w:tcPr>
  </w:style>
  <w:style w:type="table" w:customStyle="1" w:styleId="229">
    <w:name w:val="常规_检修_212"/>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30">
    <w:name w:val="常规 251"/>
    <w:basedOn w:val="34"/>
    <w:qFormat/>
    <w:uiPriority w:val="0"/>
    <w:pPr>
      <w:textAlignment w:val="center"/>
    </w:pPr>
    <w:rPr>
      <w:rFonts w:hint="eastAsia" w:ascii="宋体" w:hAnsi="宋体" w:cs="宋体"/>
      <w:sz w:val="24"/>
      <w:szCs w:val="24"/>
    </w:rPr>
    <w:tblPr>
      <w:tblCellMar>
        <w:top w:w="0" w:type="dxa"/>
        <w:left w:w="108" w:type="dxa"/>
        <w:bottom w:w="0" w:type="dxa"/>
        <w:right w:w="108" w:type="dxa"/>
      </w:tblCellMar>
    </w:tblPr>
    <w:tcPr>
      <w:vAlign w:val="center"/>
    </w:tcPr>
  </w:style>
  <w:style w:type="table" w:customStyle="1" w:styleId="231">
    <w:name w:val="常规 8 21"/>
    <w:basedOn w:val="34"/>
    <w:qFormat/>
    <w:uiPriority w:val="0"/>
    <w:pPr>
      <w:textAlignment w:val="bottom"/>
    </w:pPr>
    <w:rPr>
      <w:rFonts w:ascii="Tahoma" w:hAnsi="Tahoma" w:eastAsia="Tahoma" w:cs="Tahoma"/>
      <w:color w:val="000000"/>
      <w:sz w:val="22"/>
      <w:szCs w:val="22"/>
    </w:rPr>
    <w:tblPr>
      <w:tblCellMar>
        <w:top w:w="0" w:type="dxa"/>
        <w:left w:w="108" w:type="dxa"/>
        <w:bottom w:w="0" w:type="dxa"/>
        <w:right w:w="108" w:type="dxa"/>
      </w:tblCellMar>
    </w:tblPr>
    <w:tcPr>
      <w:vAlign w:val="bottom"/>
    </w:tcPr>
  </w:style>
  <w:style w:type="table" w:customStyle="1" w:styleId="232">
    <w:name w:val="常规 311"/>
    <w:basedOn w:val="34"/>
    <w:qFormat/>
    <w:uiPriority w:val="0"/>
    <w:pPr>
      <w:textAlignment w:val="center"/>
    </w:pPr>
    <w:rPr>
      <w:rFonts w:hint="eastAsia" w:ascii="宋体" w:hAnsi="宋体" w:cs="宋体"/>
      <w:sz w:val="24"/>
      <w:szCs w:val="24"/>
    </w:rPr>
    <w:tblPr>
      <w:tblCellMar>
        <w:top w:w="0" w:type="dxa"/>
        <w:left w:w="108" w:type="dxa"/>
        <w:bottom w:w="0" w:type="dxa"/>
        <w:right w:w="108" w:type="dxa"/>
      </w:tblCellMar>
    </w:tblPr>
    <w:tcPr>
      <w:vAlign w:val="center"/>
    </w:tcPr>
  </w:style>
  <w:style w:type="table" w:customStyle="1" w:styleId="233">
    <w:name w:val="常规_检修_1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34">
    <w:name w:val="常规 10 21"/>
    <w:basedOn w:val="34"/>
    <w:qFormat/>
    <w:uiPriority w:val="0"/>
    <w:pPr>
      <w:textAlignment w:val="center"/>
    </w:pPr>
    <w:rPr>
      <w:rFonts w:hint="eastAsia" w:ascii="宋体" w:hAnsi="宋体" w:cs="宋体"/>
      <w:sz w:val="24"/>
      <w:szCs w:val="24"/>
    </w:rPr>
    <w:tblPr>
      <w:tblCellMar>
        <w:top w:w="0" w:type="dxa"/>
        <w:left w:w="108" w:type="dxa"/>
        <w:bottom w:w="0" w:type="dxa"/>
        <w:right w:w="108" w:type="dxa"/>
      </w:tblCellMar>
    </w:tblPr>
    <w:tcPr>
      <w:vAlign w:val="center"/>
    </w:tcPr>
  </w:style>
  <w:style w:type="table" w:customStyle="1" w:styleId="235">
    <w:name w:val="常规_表二_12"/>
    <w:basedOn w:val="34"/>
    <w:qFormat/>
    <w:uiPriority w:val="0"/>
    <w:pPr>
      <w:textAlignment w:val="center"/>
    </w:pPr>
    <w:rPr>
      <w:rFonts w:hint="eastAsia" w:ascii="宋体" w:hAnsi="宋体" w:cs="宋体"/>
      <w:sz w:val="24"/>
      <w:szCs w:val="24"/>
    </w:rPr>
    <w:tblPr>
      <w:tblCellMar>
        <w:top w:w="0" w:type="dxa"/>
        <w:left w:w="108" w:type="dxa"/>
        <w:bottom w:w="0" w:type="dxa"/>
        <w:right w:w="108" w:type="dxa"/>
      </w:tblCellMar>
    </w:tblPr>
    <w:tcPr>
      <w:vAlign w:val="center"/>
    </w:tcPr>
  </w:style>
  <w:style w:type="table" w:customStyle="1" w:styleId="236">
    <w:name w:val="常规_检修_312"/>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37">
    <w:name w:val="常规_表二_11"/>
    <w:basedOn w:val="34"/>
    <w:qFormat/>
    <w:uiPriority w:val="0"/>
    <w:pPr>
      <w:textAlignment w:val="center"/>
    </w:pPr>
    <w:rPr>
      <w:rFonts w:hint="eastAsia" w:ascii="宋体" w:hAnsi="宋体" w:cs="宋体"/>
      <w:sz w:val="24"/>
      <w:szCs w:val="24"/>
    </w:rPr>
    <w:tblPr>
      <w:tblCellMar>
        <w:top w:w="0" w:type="dxa"/>
        <w:left w:w="108" w:type="dxa"/>
        <w:bottom w:w="0" w:type="dxa"/>
        <w:right w:w="108" w:type="dxa"/>
      </w:tblCellMar>
    </w:tblPr>
    <w:tcPr>
      <w:vAlign w:val="center"/>
    </w:tcPr>
  </w:style>
  <w:style w:type="table" w:customStyle="1" w:styleId="238">
    <w:name w:val="常规_检修、实业、矿业1"/>
    <w:basedOn w:val="34"/>
    <w:qFormat/>
    <w:uiPriority w:val="0"/>
    <w:pPr>
      <w:textAlignment w:val="center"/>
    </w:pPr>
    <w:rPr>
      <w:rFonts w:hint="eastAsia" w:ascii="宋体" w:hAnsi="宋体" w:cs="宋体"/>
      <w:sz w:val="24"/>
      <w:szCs w:val="24"/>
    </w:rPr>
    <w:tblPr>
      <w:tblCellMar>
        <w:top w:w="0" w:type="dxa"/>
        <w:left w:w="108" w:type="dxa"/>
        <w:bottom w:w="0" w:type="dxa"/>
        <w:right w:w="108" w:type="dxa"/>
      </w:tblCellMar>
    </w:tblPr>
    <w:tcPr>
      <w:vAlign w:val="center"/>
    </w:tcPr>
  </w:style>
  <w:style w:type="table" w:customStyle="1" w:styleId="239">
    <w:name w:val="常规_检修_39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40">
    <w:name w:val="常规_Sheet1_8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41">
    <w:name w:val="常规_Sheet1_4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42">
    <w:name w:val="常规_检修_6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43">
    <w:name w:val="常规_Sheet1_12"/>
    <w:basedOn w:val="34"/>
    <w:qFormat/>
    <w:uiPriority w:val="0"/>
    <w:pPr>
      <w:textAlignment w:val="bottom"/>
    </w:pPr>
    <w:rPr>
      <w:rFonts w:hint="eastAsia" w:ascii="宋体" w:hAnsi="宋体" w:cs="宋体"/>
      <w:sz w:val="24"/>
      <w:szCs w:val="24"/>
    </w:rPr>
    <w:tblPr>
      <w:tblCellMar>
        <w:top w:w="0" w:type="dxa"/>
        <w:left w:w="108" w:type="dxa"/>
        <w:bottom w:w="0" w:type="dxa"/>
        <w:right w:w="108" w:type="dxa"/>
      </w:tblCellMar>
    </w:tblPr>
    <w:tcPr>
      <w:vAlign w:val="bottom"/>
    </w:tcPr>
  </w:style>
  <w:style w:type="table" w:customStyle="1" w:styleId="244">
    <w:name w:val="常规_检修_24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45">
    <w:name w:val="常规_检修_5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46">
    <w:name w:val="常规 12 21"/>
    <w:basedOn w:val="34"/>
    <w:qFormat/>
    <w:uiPriority w:val="0"/>
    <w:pPr>
      <w:textAlignment w:val="bottom"/>
    </w:pPr>
    <w:rPr>
      <w:rFonts w:ascii="Tahoma" w:hAnsi="Tahoma" w:eastAsia="Tahoma" w:cs="Tahoma"/>
      <w:color w:val="000000"/>
      <w:sz w:val="22"/>
      <w:szCs w:val="22"/>
    </w:rPr>
    <w:tblPr>
      <w:tblCellMar>
        <w:top w:w="0" w:type="dxa"/>
        <w:left w:w="108" w:type="dxa"/>
        <w:bottom w:w="0" w:type="dxa"/>
        <w:right w:w="108" w:type="dxa"/>
      </w:tblCellMar>
    </w:tblPr>
    <w:tcPr>
      <w:vAlign w:val="bottom"/>
    </w:tcPr>
  </w:style>
  <w:style w:type="table" w:customStyle="1" w:styleId="247">
    <w:name w:val="常规_检修_26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48">
    <w:name w:val="常规_检修_27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49">
    <w:name w:val="常规_Sheet1_5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50">
    <w:name w:val="常规 17 21"/>
    <w:basedOn w:val="34"/>
    <w:qFormat/>
    <w:uiPriority w:val="0"/>
    <w:pPr>
      <w:textAlignment w:val="bottom"/>
    </w:pPr>
    <w:rPr>
      <w:rFonts w:ascii="Tahoma" w:hAnsi="Tahoma" w:eastAsia="Tahoma" w:cs="Tahoma"/>
      <w:color w:val="000000"/>
      <w:sz w:val="22"/>
      <w:szCs w:val="22"/>
    </w:rPr>
    <w:tblPr>
      <w:tblCellMar>
        <w:top w:w="0" w:type="dxa"/>
        <w:left w:w="108" w:type="dxa"/>
        <w:bottom w:w="0" w:type="dxa"/>
        <w:right w:w="108" w:type="dxa"/>
      </w:tblCellMar>
    </w:tblPr>
    <w:tcPr>
      <w:vAlign w:val="bottom"/>
    </w:tcPr>
  </w:style>
  <w:style w:type="table" w:customStyle="1" w:styleId="251">
    <w:name w:val="常规_检修_33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52">
    <w:name w:val="常规_表二_21"/>
    <w:basedOn w:val="34"/>
    <w:qFormat/>
    <w:uiPriority w:val="0"/>
    <w:pPr>
      <w:textAlignment w:val="center"/>
    </w:pPr>
    <w:rPr>
      <w:rFonts w:hint="eastAsia" w:ascii="宋体" w:hAnsi="宋体" w:cs="宋体"/>
      <w:sz w:val="24"/>
      <w:szCs w:val="24"/>
    </w:rPr>
    <w:tblPr>
      <w:tblCellMar>
        <w:top w:w="0" w:type="dxa"/>
        <w:left w:w="108" w:type="dxa"/>
        <w:bottom w:w="0" w:type="dxa"/>
        <w:right w:w="108" w:type="dxa"/>
      </w:tblCellMar>
    </w:tblPr>
    <w:tcPr>
      <w:vAlign w:val="center"/>
    </w:tcPr>
  </w:style>
  <w:style w:type="table" w:customStyle="1" w:styleId="253">
    <w:name w:val="常规 271"/>
    <w:basedOn w:val="34"/>
    <w:qFormat/>
    <w:uiPriority w:val="0"/>
    <w:pPr>
      <w:textAlignment w:val="center"/>
    </w:pPr>
    <w:rPr>
      <w:rFonts w:hint="eastAsia" w:ascii="宋体" w:hAnsi="宋体" w:cs="宋体"/>
      <w:color w:val="000000"/>
      <w:sz w:val="22"/>
      <w:szCs w:val="22"/>
    </w:rPr>
    <w:tblPr>
      <w:tblCellMar>
        <w:top w:w="0" w:type="dxa"/>
        <w:left w:w="108" w:type="dxa"/>
        <w:bottom w:w="0" w:type="dxa"/>
        <w:right w:w="108" w:type="dxa"/>
      </w:tblCellMar>
    </w:tblPr>
    <w:tcPr>
      <w:vAlign w:val="center"/>
    </w:tcPr>
  </w:style>
  <w:style w:type="table" w:customStyle="1" w:styleId="254">
    <w:name w:val="常规 21"/>
    <w:basedOn w:val="34"/>
    <w:qFormat/>
    <w:uiPriority w:val="0"/>
    <w:pPr>
      <w:textAlignment w:val="center"/>
    </w:pPr>
    <w:rPr>
      <w:rFonts w:hint="eastAsia" w:ascii="宋体" w:hAnsi="宋体" w:cs="宋体"/>
      <w:sz w:val="24"/>
      <w:szCs w:val="24"/>
    </w:rPr>
    <w:tblPr>
      <w:tblCellMar>
        <w:top w:w="0" w:type="dxa"/>
        <w:left w:w="108" w:type="dxa"/>
        <w:bottom w:w="0" w:type="dxa"/>
        <w:right w:w="108" w:type="dxa"/>
      </w:tblCellMar>
    </w:tblPr>
    <w:tcPr>
      <w:vAlign w:val="center"/>
    </w:tcPr>
  </w:style>
  <w:style w:type="table" w:customStyle="1" w:styleId="255">
    <w:name w:val="超链接1"/>
    <w:basedOn w:val="34"/>
    <w:qFormat/>
    <w:uiPriority w:val="0"/>
    <w:rPr>
      <w:rFonts w:hint="eastAsia" w:ascii="宋体" w:hAnsi="宋体" w:cs="宋体"/>
      <w:color w:val="0000FF"/>
      <w:sz w:val="22"/>
      <w:szCs w:val="22"/>
      <w:u w:val="single"/>
    </w:rPr>
    <w:tblPr>
      <w:tblCellMar>
        <w:top w:w="0" w:type="dxa"/>
        <w:left w:w="108" w:type="dxa"/>
        <w:bottom w:w="0" w:type="dxa"/>
        <w:right w:w="108" w:type="dxa"/>
      </w:tblCellMar>
    </w:tblPr>
  </w:style>
  <w:style w:type="table" w:customStyle="1" w:styleId="256">
    <w:name w:val="常规 10 31"/>
    <w:basedOn w:val="34"/>
    <w:qFormat/>
    <w:uiPriority w:val="0"/>
    <w:pPr>
      <w:textAlignment w:val="bottom"/>
    </w:pPr>
    <w:rPr>
      <w:rFonts w:ascii="Tahoma" w:hAnsi="Tahoma" w:eastAsia="Tahoma" w:cs="Tahoma"/>
      <w:color w:val="000000"/>
      <w:sz w:val="22"/>
      <w:szCs w:val="22"/>
    </w:rPr>
    <w:tblPr>
      <w:tblCellMar>
        <w:top w:w="0" w:type="dxa"/>
        <w:left w:w="108" w:type="dxa"/>
        <w:bottom w:w="0" w:type="dxa"/>
        <w:right w:w="108" w:type="dxa"/>
      </w:tblCellMar>
    </w:tblPr>
    <w:tcPr>
      <w:vAlign w:val="bottom"/>
    </w:tcPr>
  </w:style>
  <w:style w:type="table" w:customStyle="1" w:styleId="257">
    <w:name w:val="常规_检修_30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58">
    <w:name w:val="常规_检修_122"/>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table" w:customStyle="1" w:styleId="259">
    <w:name w:val="常规 231"/>
    <w:basedOn w:val="34"/>
    <w:qFormat/>
    <w:uiPriority w:val="0"/>
    <w:pPr>
      <w:textAlignment w:val="center"/>
    </w:pPr>
    <w:rPr>
      <w:rFonts w:hint="eastAsia" w:ascii="宋体" w:hAnsi="宋体" w:cs="宋体"/>
      <w:sz w:val="24"/>
      <w:szCs w:val="24"/>
    </w:rPr>
    <w:tblPr>
      <w:tblCellMar>
        <w:top w:w="0" w:type="dxa"/>
        <w:left w:w="108" w:type="dxa"/>
        <w:bottom w:w="0" w:type="dxa"/>
        <w:right w:w="108" w:type="dxa"/>
      </w:tblCellMar>
    </w:tblPr>
    <w:tcPr>
      <w:vAlign w:val="center"/>
    </w:tcPr>
  </w:style>
  <w:style w:type="table" w:customStyle="1" w:styleId="260">
    <w:name w:val="常规 4 21"/>
    <w:basedOn w:val="34"/>
    <w:qFormat/>
    <w:uiPriority w:val="0"/>
    <w:pPr>
      <w:textAlignment w:val="bottom"/>
    </w:pPr>
    <w:rPr>
      <w:rFonts w:ascii="Tahoma" w:hAnsi="Tahoma" w:eastAsia="Tahoma" w:cs="Tahoma"/>
      <w:color w:val="000000"/>
      <w:sz w:val="22"/>
      <w:szCs w:val="22"/>
    </w:rPr>
    <w:tblPr>
      <w:tblCellMar>
        <w:top w:w="0" w:type="dxa"/>
        <w:left w:w="108" w:type="dxa"/>
        <w:bottom w:w="0" w:type="dxa"/>
        <w:right w:w="108" w:type="dxa"/>
      </w:tblCellMar>
    </w:tblPr>
    <w:tcPr>
      <w:vAlign w:val="bottom"/>
    </w:tcPr>
  </w:style>
  <w:style w:type="table" w:customStyle="1" w:styleId="261">
    <w:name w:val="常规_检修_131"/>
    <w:basedOn w:val="34"/>
    <w:qFormat/>
    <w:uiPriority w:val="0"/>
    <w:pPr>
      <w:textAlignment w:val="center"/>
    </w:pPr>
    <w:rPr>
      <w:rFonts w:hint="eastAsia" w:ascii="宋体" w:hAnsi="宋体" w:cs="宋体"/>
      <w:sz w:val="18"/>
      <w:szCs w:val="18"/>
    </w:rPr>
    <w:tblPr>
      <w:tblCellMar>
        <w:top w:w="0" w:type="dxa"/>
        <w:left w:w="108" w:type="dxa"/>
        <w:bottom w:w="0" w:type="dxa"/>
        <w:right w:w="108" w:type="dxa"/>
      </w:tblCellMar>
    </w:tblPr>
    <w:tcPr>
      <w:vAlign w:val="center"/>
    </w:tcPr>
  </w:style>
  <w:style w:type="paragraph" w:customStyle="1" w:styleId="262">
    <w:name w:val="无间隔1"/>
    <w:qFormat/>
    <w:uiPriority w:val="1"/>
    <w:pPr>
      <w:widowControl w:val="0"/>
      <w:jc w:val="both"/>
    </w:pPr>
    <w:rPr>
      <w:rFonts w:hint="eastAsia" w:ascii="Times New Roman" w:hAnsi="Times New Roman" w:eastAsia="华文中宋" w:cs="Times New Roman"/>
      <w:kern w:val="2"/>
      <w:sz w:val="21"/>
      <w:szCs w:val="22"/>
      <w:lang w:val="en-US" w:eastAsia="zh-CN" w:bidi="ar-SA"/>
    </w:rPr>
  </w:style>
  <w:style w:type="paragraph" w:customStyle="1" w:styleId="263">
    <w:name w:val="列表段落11"/>
    <w:basedOn w:val="1"/>
    <w:qFormat/>
    <w:uiPriority w:val="34"/>
    <w:pPr>
      <w:ind w:firstLine="420" w:firstLineChars="200"/>
    </w:pPr>
    <w:rPr>
      <w:rFonts w:ascii="Calibri" w:hAnsi="Calibri"/>
    </w:rPr>
  </w:style>
  <w:style w:type="character" w:customStyle="1" w:styleId="264">
    <w:name w:val="--l"/>
    <w:qFormat/>
    <w:uiPriority w:val="0"/>
  </w:style>
  <w:style w:type="character" w:customStyle="1" w:styleId="265">
    <w:name w:val="_Style 264"/>
    <w:semiHidden/>
    <w:unhideWhenUsed/>
    <w:qFormat/>
    <w:uiPriority w:val="99"/>
    <w:rPr>
      <w:color w:val="605E5C"/>
      <w:shd w:val="clear" w:color="auto" w:fill="E1DFDD"/>
    </w:rPr>
  </w:style>
  <w:style w:type="paragraph" w:customStyle="1" w:styleId="266">
    <w:name w:val="ds-markdown-paragraph"/>
    <w:basedOn w:val="1"/>
    <w:qFormat/>
    <w:uiPriority w:val="0"/>
    <w:pPr>
      <w:widowControl/>
      <w:spacing w:before="100" w:beforeAutospacing="1" w:after="100" w:afterAutospacing="1"/>
      <w:jc w:val="left"/>
    </w:pPr>
    <w:rPr>
      <w:rFonts w:eastAsia="Times New Roman"/>
      <w:kern w:val="0"/>
      <w:sz w:val="24"/>
      <w:szCs w:val="24"/>
    </w:rPr>
  </w:style>
  <w:style w:type="character" w:customStyle="1" w:styleId="267">
    <w:name w:val="正文首行缩进 2 Char"/>
    <w:link w:val="33"/>
    <w:qFormat/>
    <w:uiPriority w:val="99"/>
    <w:rPr>
      <w:kern w:val="2"/>
      <w:sz w:val="28"/>
      <w:szCs w:val="24"/>
    </w:rPr>
  </w:style>
  <w:style w:type="character" w:customStyle="1" w:styleId="268">
    <w:name w:val="页脚 Char"/>
    <w:link w:val="21"/>
    <w:qFormat/>
    <w:uiPriority w:val="0"/>
    <w:rPr>
      <w:kern w:val="2"/>
      <w:sz w:val="18"/>
    </w:rPr>
  </w:style>
  <w:style w:type="character" w:customStyle="1" w:styleId="269">
    <w:name w:val="标题 1 Char"/>
    <w:link w:val="2"/>
    <w:qFormat/>
    <w:uiPriority w:val="0"/>
    <w:rPr>
      <w:b/>
      <w:kern w:val="44"/>
      <w:sz w:val="44"/>
    </w:rPr>
  </w:style>
  <w:style w:type="character" w:customStyle="1" w:styleId="270">
    <w:name w:val="批注文字 Char"/>
    <w:link w:val="10"/>
    <w:qFormat/>
    <w:uiPriority w:val="99"/>
    <w:rPr>
      <w:kern w:val="2"/>
      <w:sz w:val="21"/>
    </w:rPr>
  </w:style>
  <w:style w:type="character" w:customStyle="1" w:styleId="271">
    <w:name w:val="批注主题 Char"/>
    <w:link w:val="31"/>
    <w:semiHidden/>
    <w:qFormat/>
    <w:uiPriority w:val="99"/>
    <w:rPr>
      <w:b/>
      <w:bCs/>
      <w:kern w:val="2"/>
      <w:sz w:val="21"/>
    </w:rPr>
  </w:style>
  <w:style w:type="paragraph" w:customStyle="1" w:styleId="272">
    <w:name w:val="_Style 271"/>
    <w:hidden/>
    <w:unhideWhenUsed/>
    <w:qFormat/>
    <w:uiPriority w:val="99"/>
    <w:rPr>
      <w:rFonts w:ascii="Times New Roman" w:hAnsi="Times New Roman" w:eastAsia="宋体" w:cs="Times New Roman"/>
      <w:kern w:val="2"/>
      <w:sz w:val="21"/>
      <w:lang w:val="fr-FR" w:eastAsia="zh-CN" w:bidi="ar-SA"/>
    </w:rPr>
  </w:style>
  <w:style w:type="paragraph" w:customStyle="1" w:styleId="273">
    <w:name w:val="修订1"/>
    <w:hidden/>
    <w:unhideWhenUsed/>
    <w:qFormat/>
    <w:uiPriority w:val="99"/>
    <w:rPr>
      <w:rFonts w:ascii="Times New Roman" w:hAnsi="Times New Roman" w:eastAsia="宋体" w:cs="Times New Roman"/>
      <w:kern w:val="2"/>
      <w:sz w:val="21"/>
      <w:lang w:val="fr-FR" w:eastAsia="zh-CN" w:bidi="ar-SA"/>
    </w:rPr>
  </w:style>
  <w:style w:type="paragraph" w:customStyle="1" w:styleId="274">
    <w:name w:val="修订2"/>
    <w:hidden/>
    <w:unhideWhenUsed/>
    <w:qFormat/>
    <w:uiPriority w:val="99"/>
    <w:rPr>
      <w:rFonts w:ascii="Times New Roman" w:hAnsi="Times New Roman" w:eastAsia="宋体" w:cs="Times New Roman"/>
      <w:kern w:val="2"/>
      <w:sz w:val="21"/>
      <w:lang w:val="fr-FR"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74"/>
    <customShpInfo spid="_x0000_s307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42162D-95F2-4483-8776-366CFACE156A}">
  <ds:schemaRefs/>
</ds:datastoreItem>
</file>

<file path=docProps/app.xml><?xml version="1.0" encoding="utf-8"?>
<Properties xmlns="http://schemas.openxmlformats.org/officeDocument/2006/extended-properties" xmlns:vt="http://schemas.openxmlformats.org/officeDocument/2006/docPropsVTypes">
  <Template>Normal</Template>
  <Pages>110</Pages>
  <Words>7029</Words>
  <Characters>21123</Characters>
  <Lines>1442</Lines>
  <Paragraphs>406</Paragraphs>
  <TotalTime>9</TotalTime>
  <ScaleCrop>false</ScaleCrop>
  <LinksUpToDate>false</LinksUpToDate>
  <CharactersWithSpaces>23833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2024-04-05T10:05:00Z</cp:lastPrinted>
  <dcterms:created xsi:type="dcterms:W3CDTF">2016-03-04T03:49:00Z</dcterms:created>
  <dcterms:modified xsi:type="dcterms:W3CDTF">2026-02-25T21:24:21Z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87344F54B23B45A2A8818F0ADC599597_13</vt:lpwstr>
  </property>
  <property fmtid="{D5CDD505-2E9C-101B-9397-08002B2CF9AE}" pid="4" name="KSOTemplateDocerSaveRecord">
    <vt:lpwstr>eyJoZGlkIjoiODViY2JkMjU3NGYzZTEwMzZmMGFkZWViYmNkYWU3NDIiLCJ1c2VySWQiOiIxMTQ3MzA3MjI0In0=</vt:lpwstr>
  </property>
</Properties>
</file>