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3"/>
          <w:rFonts w:ascii="Times New Roman" w:hAnsi="Times New Roman" w:eastAsia="仿宋" w:cs="Times New Roman"/>
          <w:b w:val="0"/>
          <w:color w:val="0F1115"/>
          <w:sz w:val="20"/>
          <w:szCs w:val="20"/>
          <w:shd w:val="clear" w:color="auto" w:fill="FFFFFF"/>
        </w:rPr>
        <w:t>Avis d’Appel d’</w:t>
      </w:r>
      <w:r>
        <w:rPr>
          <w:rStyle w:val="13"/>
          <w:rFonts w:ascii="Times New Roman" w:hAnsi="Times New Roman" w:eastAsia="仿宋" w:cs="Times New Roman"/>
          <w:b w:val="0"/>
          <w:color w:val="0F1115"/>
          <w:sz w:val="20"/>
          <w:szCs w:val="20"/>
          <w:shd w:val="clear" w:color="auto" w:fill="FFFFFF"/>
          <w:lang w:eastAsia="zh-CN"/>
        </w:rPr>
        <w:t>O</w:t>
      </w:r>
      <w:r>
        <w:rPr>
          <w:rStyle w:val="13"/>
          <w:rFonts w:ascii="Times New Roman" w:hAnsi="Times New Roman" w:eastAsia="仿宋" w:cs="Times New Roman"/>
          <w:b w:val="0"/>
          <w:color w:val="0F1115"/>
          <w:sz w:val="20"/>
          <w:szCs w:val="20"/>
          <w:shd w:val="clear" w:color="auto" w:fill="FFFFFF"/>
        </w:rPr>
        <w:t xml:space="preserve">ffres de la </w:t>
      </w:r>
      <w:r>
        <w:rPr>
          <w:rStyle w:val="13"/>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3"/>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w:t>
      </w:r>
      <w:bookmarkStart w:id="0" w:name="_GoBack"/>
      <w:bookmarkEnd w:id="0"/>
      <w:r>
        <w:rPr>
          <w:rFonts w:ascii="Times New Roman" w:hAnsi="Times New Roman" w:eastAsia="仿宋" w:cs="Times New Roman"/>
          <w:color w:val="3B3B3B"/>
          <w:w w:val="105"/>
          <w:sz w:val="20"/>
          <w:szCs w:val="20"/>
          <w:lang w:val="en-US" w:eastAsia="zh-CN"/>
        </w:rPr>
        <w:t>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采购产品：几内亚维嘉港口股份有限公司集装箱院搬迁项目询价文件（产品技术规格要求详见附件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highlight w:val="none"/>
          <w:lang w:eastAsia="zh-CN"/>
        </w:rPr>
        <w:t>Marchandises à acheter</w:t>
      </w:r>
      <w:r>
        <w:rPr>
          <w:rFonts w:ascii="Times New Roman" w:hAnsi="Times New Roman" w:eastAsia="仿宋" w:cs="Times New Roman"/>
          <w:color w:val="3B3B3B"/>
          <w:w w:val="105"/>
          <w:sz w:val="20"/>
          <w:szCs w:val="20"/>
          <w:lang w:eastAsia="zh-CN"/>
        </w:rPr>
        <w:t> :</w:t>
      </w:r>
      <w:r>
        <w:rPr>
          <w:rFonts w:ascii="Times New Roman" w:hAnsi="Times New Roman" w:eastAsia="仿宋" w:cs="Times New Roman"/>
          <w:color w:val="3B3B3B"/>
          <w:w w:val="105"/>
          <w:sz w:val="20"/>
          <w:szCs w:val="20"/>
          <w:highlight w:val="none"/>
          <w:lang w:eastAsia="zh-CN"/>
        </w:rPr>
        <w:t xml:space="preserve"> </w:t>
      </w:r>
      <w:r>
        <w:rPr>
          <w:rFonts w:hint="eastAsia" w:ascii="Times New Roman" w:hAnsi="Times New Roman" w:eastAsia="宋体" w:cs="Times New Roman"/>
          <w:color w:val="000000"/>
          <w:kern w:val="2"/>
          <w:sz w:val="21"/>
        </w:rPr>
        <w:t>Projet de relocalisation du terminal à conteneurs du port de Guinea Port Verga S.A.</w:t>
      </w:r>
      <w:r>
        <w:rPr>
          <w:rFonts w:ascii="Times New Roman" w:hAnsi="Times New Roman" w:eastAsia="仿宋" w:cs="Times New Roman"/>
          <w:color w:val="3B3B3B"/>
          <w:w w:val="105"/>
          <w:sz w:val="20"/>
          <w:szCs w:val="20"/>
          <w:lang w:eastAsia="zh-CN"/>
        </w:rPr>
        <w:t xml:space="preserve"> (Les exigences techniques et spécifications des produits sont détaillées dans l’annexe : « Document de consultation pour l’achat par appel d’offres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将港口库区的集装箱和附近物资搬运到光伏区域右侧，并按照发包人要求摆放</w:t>
      </w:r>
      <w:r>
        <w:rPr>
          <w:rFonts w:hint="eastAsia" w:ascii="Times New Roman" w:hAnsi="Times New Roman" w:eastAsia="仿宋" w:cs="Times New Roman"/>
          <w:color w:val="3B3B3B"/>
          <w:w w:val="105"/>
          <w:sz w:val="20"/>
          <w:szCs w:val="20"/>
          <w:lang w:val="fr-FR" w:eastAsia="zh-CN" w:bidi="ar-SA"/>
        </w:rPr>
        <w:t>。</w:t>
      </w:r>
    </w:p>
    <w:p>
      <w:pPr>
        <w:spacing w:before="151" w:line="256" w:lineRule="auto"/>
        <w:ind w:left="132" w:leftChars="0" w:right="988" w:firstLine="420"/>
        <w:rPr>
          <w:rFonts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highlight w:val="none"/>
          <w:lang w:eastAsia="zh-CN"/>
        </w:rPr>
        <w:t>Volume de travaux d’achat :</w:t>
      </w:r>
      <w:r>
        <w:rPr>
          <w:rFonts w:hint="eastAsia" w:ascii="Times New Roman" w:hAnsi="Times New Roman" w:eastAsia="仿宋" w:cs="Times New Roman"/>
          <w:color w:val="3B3B3B"/>
          <w:w w:val="105"/>
          <w:sz w:val="20"/>
          <w:szCs w:val="20"/>
          <w:highlight w:val="none"/>
          <w:lang w:eastAsia="zh-CN"/>
        </w:rPr>
        <w:t>Déplacez les conteneurs et les matériaux à proximité de la zone de stockage du port vers le côté droit de la zone photovoltaïque et disposez-les conformément aux instructions du pouvoir adjudicateur</w:t>
      </w:r>
      <w:r>
        <w:rPr>
          <w:rFonts w:ascii="Times New Roman" w:hAnsi="Times New Roman" w:eastAsia="仿宋" w:cs="Times New Roman"/>
          <w:color w:val="3B3B3B"/>
          <w:w w:val="105"/>
          <w:sz w:val="20"/>
          <w:szCs w:val="20"/>
          <w:highlight w:val="none"/>
          <w:lang w:eastAsia="zh-CN"/>
        </w:rPr>
        <w:t>.</w:t>
      </w:r>
    </w:p>
    <w:p>
      <w:pPr>
        <w:spacing w:before="5"/>
        <w:rPr>
          <w:rFonts w:ascii="Times New Roman" w:hAnsi="Times New Roman" w:eastAsia="仿宋" w:cs="Times New Roman"/>
          <w:b/>
          <w:bCs/>
        </w:rPr>
      </w:pPr>
    </w:p>
    <w:p>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）几内亚注册的公司营业执照需包含货物运输或设备运营维护范围；</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）Le certificat d'immatriculation commerciale de la société enregistrée en Guinée doit couvrir les activités de transport de marchandises ou d'exploitation et maintenance d'équipements</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）响应人具有2022年11月至2025年11月至少1个已完工的运输、装卸或类似服务项目业绩。（提供符合本采购要求的业绩合同扫描件，包括合同封面、合同范围页、签字页等）</w:t>
      </w:r>
    </w:p>
    <w:p>
      <w:pPr>
        <w:spacing w:before="151" w:line="256" w:lineRule="auto"/>
        <w:ind w:left="132" w:right="988" w:firstLine="420"/>
        <w:jc w:val="both"/>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宋体" w:eastAsia="宋体" w:cs="Times New Roman"/>
          <w:kern w:val="2"/>
          <w:sz w:val="21"/>
          <w:szCs w:val="20"/>
          <w:lang w:val="en-US" w:eastAsia="zh-CN" w:bidi="ar-SA"/>
        </w:rPr>
        <w:t>Le soumissionnaire doit justifier d'au moins un projet accompli dans les domaines du transport, du chargement/déchargement ou de services similaires, réalisé entre novembre 2022 et novembre 2025. (Veuillez fournir les copies numérisées des contrats attestant de ces réalisations, conformes aux exigences de cet appel d'offres, incluant notamment la page de couverture, les pages décrivant le champ d'application et les pages de signature.)</w:t>
      </w:r>
    </w:p>
    <w:p>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7"/>
        <w:rPr>
          <w:rFonts w:ascii="Calibri" w:hAnsi="Calibri" w:cs="Times New Roman" w:eastAsiaTheme="minorEastAsia"/>
          <w:sz w:val="25"/>
          <w:szCs w:val="25"/>
          <w:lang w:eastAsia="zh-CN"/>
        </w:rPr>
      </w:pPr>
    </w:p>
    <w:p>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2"/>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商的报价应为含税价且该价格包含送至采购人在博法项目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 xml:space="preserve">Le devis du soumissionnaire doit être un prix toutes taxes comprises (TTC) et inclure la livraison jusqu’au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w:t>
      </w:r>
      <w:r>
        <w:rPr>
          <w:rFonts w:ascii="Times New Roman" w:hAnsi="Times New Roman" w:eastAsia="仿宋" w:cs="Times New Roman"/>
          <w:color w:val="3B3B3B"/>
          <w:w w:val="105"/>
          <w:sz w:val="20"/>
          <w:szCs w:val="20"/>
          <w:lang w:eastAsia="zh-CN"/>
        </w:rPr>
        <w:t xml:space="preserve"> 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lang w:eastAsia="zh-CN"/>
        </w:rPr>
        <w:t xml:space="preserve">Lieu de livraison :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 </w:t>
      </w:r>
      <w:r>
        <w:rPr>
          <w:rFonts w:ascii="Times New Roman" w:hAnsi="Times New Roman" w:eastAsia="仿宋" w:cs="Times New Roman"/>
          <w:color w:val="3B3B3B"/>
          <w:w w:val="105"/>
          <w:sz w:val="20"/>
          <w:szCs w:val="20"/>
          <w:lang w:eastAsia="zh-CN"/>
        </w:rPr>
        <w:t>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12</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le </w:t>
      </w:r>
      <w:r>
        <w:rPr>
          <w:rFonts w:hint="eastAsia" w:ascii="Times New Roman" w:hAnsi="Times New Roman" w:eastAsia="仿宋" w:cs="Times New Roman"/>
          <w:color w:val="3B3B3B"/>
          <w:w w:val="105"/>
          <w:sz w:val="20"/>
          <w:szCs w:val="20"/>
          <w:lang w:val="en-US" w:eastAsia="zh-CN"/>
        </w:rPr>
        <w:t>2</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décembre</w:t>
      </w:r>
      <w:r>
        <w:rPr>
          <w:rFonts w:ascii="Times New Roman" w:hAnsi="Times New Roman" w:eastAsia="仿宋" w:cs="Times New Roman"/>
          <w:color w:val="3B3B3B"/>
          <w:w w:val="105"/>
          <w:sz w:val="20"/>
          <w:szCs w:val="20"/>
          <w:lang w:eastAsia="zh-CN"/>
        </w:rPr>
        <w:t xml:space="preserve"> 2025 à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h00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10"/>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4"/>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 xml:space="preserve">系人 ：唐 超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"mailto:kaitian-325510@qq.com"</w:instrText>
      </w:r>
      <w:r>
        <w:rPr>
          <w:rFonts w:ascii="Times New Roman" w:hAnsi="Times New Roman" w:eastAsia="仿宋" w:cs="Times New Roman"/>
          <w:color w:val="3B3B3B"/>
          <w:w w:val="105"/>
          <w:sz w:val="20"/>
          <w:szCs w:val="20"/>
          <w:lang w:eastAsia="zh-CN"/>
        </w:rPr>
        <w:fldChar w:fldCharType="separate"/>
      </w:r>
      <w:r>
        <w:rPr>
          <w:rStyle w:val="14"/>
          <w:rFonts w:ascii="Times New Roman" w:hAnsi="Times New Roman" w:eastAsia="仿宋" w:cs="Times New Roman"/>
          <w:w w:val="105"/>
          <w:sz w:val="20"/>
          <w:szCs w:val="20"/>
          <w:lang w:eastAsia="zh-CN"/>
        </w:rPr>
        <w:t>kaitian-325510@qq.com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ascii="Times New Roman" w:hAnsi="Times New Roman" w:eastAsia="仿宋" w:cs="Times New Roman"/>
          <w:color w:val="3B3B3B"/>
          <w:w w:val="97"/>
          <w:sz w:val="21"/>
          <w:szCs w:val="21"/>
          <w:lang w:eastAsia="zh-CN"/>
        </w:rPr>
        <w:t>626356344</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pPr>
        <w:pStyle w:val="10"/>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ascii="Times New Roman" w:hAnsi="Times New Roman" w:eastAsia="仿宋" w:cs="Times New Roman"/>
          <w:color w:val="3B3B3B"/>
          <w:sz w:val="21"/>
          <w:lang w:val="en-US" w:eastAsia="zh-CN"/>
        </w:rPr>
        <w:t xml:space="preserve">CHAO TANG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ascii="Times New Roman" w:hAnsi="Times New Roman" w:eastAsia="仿宋" w:cs="Times New Roman"/>
          <w:color w:val="3B3B3B"/>
          <w:w w:val="105"/>
          <w:sz w:val="20"/>
          <w:szCs w:val="20"/>
          <w:lang w:val="en-US"/>
        </w:rPr>
        <w:t xml:space="preserve"> </w:t>
      </w:r>
      <w:r>
        <w:rPr>
          <w:rFonts w:ascii="Times New Roman" w:hAnsi="Times New Roman" w:eastAsia="仿宋" w:cs="Times New Roman"/>
          <w:color w:val="3B3B3B"/>
          <w:w w:val="105"/>
          <w:sz w:val="20"/>
          <w:szCs w:val="20"/>
          <w:lang w:val="en-US"/>
        </w:rPr>
        <w:fldChar w:fldCharType="begin"/>
      </w:r>
      <w:r>
        <w:rPr>
          <w:rFonts w:ascii="Times New Roman" w:hAnsi="Times New Roman" w:eastAsia="仿宋" w:cs="Times New Roman"/>
          <w:color w:val="3B3B3B"/>
          <w:w w:val="105"/>
          <w:sz w:val="20"/>
          <w:szCs w:val="20"/>
          <w:lang w:val="en-US"/>
        </w:rPr>
        <w:instrText xml:space="preserve">HYPERLINK "mailto:kaitian-325510@qq.com"</w:instrText>
      </w:r>
      <w:r>
        <w:rPr>
          <w:rFonts w:ascii="Times New Roman" w:hAnsi="Times New Roman" w:eastAsia="仿宋" w:cs="Times New Roman"/>
          <w:color w:val="3B3B3B"/>
          <w:w w:val="105"/>
          <w:sz w:val="20"/>
          <w:szCs w:val="20"/>
          <w:lang w:val="en-US"/>
        </w:rPr>
        <w:fldChar w:fldCharType="separate"/>
      </w:r>
      <w:r>
        <w:rPr>
          <w:rStyle w:val="14"/>
          <w:rFonts w:ascii="Times New Roman" w:hAnsi="Times New Roman" w:eastAsia="仿宋"/>
          <w:lang w:val="en-US"/>
        </w:rPr>
        <w:t>kaitian-325510@qq.com</w:t>
      </w:r>
      <w:r>
        <w:rPr>
          <w:rFonts w:ascii="Times New Roman" w:hAnsi="Times New Roman" w:eastAsia="仿宋" w:cs="Times New Roman"/>
          <w:color w:val="3B3B3B"/>
          <w:w w:val="105"/>
          <w:sz w:val="20"/>
          <w:szCs w:val="20"/>
          <w:lang w:val="en-US"/>
        </w:rPr>
        <w:fldChar w:fldCharType="end"/>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ascii="Times New Roman" w:hAnsi="Times New Roman" w:eastAsia="仿宋" w:cs="Times New Roman"/>
          <w:color w:val="3B3B3B"/>
          <w:w w:val="97"/>
          <w:sz w:val="21"/>
          <w:szCs w:val="21"/>
          <w:lang w:val="en-US" w:eastAsia="zh-CN"/>
        </w:rPr>
        <w:t>626356344</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11</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28</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r>
        <w:rPr>
          <w:rFonts w:hint="eastAsia" w:ascii="Times New Roman" w:hAnsi="Times New Roman" w:eastAsia="仿宋" w:cs="Times New Roman"/>
          <w:color w:val="3B3B3B"/>
          <w:w w:val="105"/>
          <w:sz w:val="20"/>
          <w:szCs w:val="20"/>
          <w:lang w:val="en-US" w:eastAsia="zh-CN"/>
        </w:rPr>
        <w:t>28</w:t>
      </w:r>
      <w:r>
        <w:rPr>
          <w:rFonts w:ascii="Times New Roman" w:hAnsi="Times New Roman" w:eastAsia="仿宋" w:cs="Times New Roman"/>
          <w:color w:val="3B3B3B"/>
          <w:w w:val="105"/>
          <w:sz w:val="20"/>
          <w:szCs w:val="20"/>
          <w:lang w:eastAsia="zh-CN"/>
        </w:rPr>
        <w:t xml:space="preserve"> novembre 2025</w:t>
      </w:r>
      <w:r>
        <w:rPr>
          <w:rFonts w:hint="eastAsia" w:ascii="Times New Roman" w:hAnsi="Times New Roman" w:eastAsia="仿宋" w:cs="Times New Roman"/>
          <w:color w:val="3B3B3B"/>
          <w:w w:val="105"/>
          <w:sz w:val="20"/>
          <w:szCs w:val="20"/>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9BB24AA"/>
    <w:rsid w:val="0C2E659B"/>
    <w:rsid w:val="12B1333A"/>
    <w:rsid w:val="140745CE"/>
    <w:rsid w:val="1D581981"/>
    <w:rsid w:val="20941C0A"/>
    <w:rsid w:val="266425B2"/>
    <w:rsid w:val="27F84465"/>
    <w:rsid w:val="2A1C5B33"/>
    <w:rsid w:val="2D7C03C3"/>
    <w:rsid w:val="2EF5C4AB"/>
    <w:rsid w:val="302E3A3D"/>
    <w:rsid w:val="33047A3E"/>
    <w:rsid w:val="45D014E7"/>
    <w:rsid w:val="475717D4"/>
    <w:rsid w:val="504D2528"/>
    <w:rsid w:val="51086133"/>
    <w:rsid w:val="58522CB0"/>
    <w:rsid w:val="5D65278B"/>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内容 + 首行缩进:  2 字符1"/>
    <w:basedOn w:val="1"/>
    <w:qFormat/>
    <w:uiPriority w:val="0"/>
    <w:pPr>
      <w:spacing w:line="304" w:lineRule="exact"/>
    </w:pPr>
    <w:rPr>
      <w:rFonts w:ascii="Arial" w:hAnsi="Arial"/>
      <w:color w:val="000000"/>
      <w:szCs w:val="20"/>
    </w:rPr>
  </w:style>
  <w:style w:type="paragraph" w:styleId="6">
    <w:name w:val="annotation text"/>
    <w:basedOn w:val="1"/>
    <w:qFormat/>
    <w:uiPriority w:val="0"/>
  </w:style>
  <w:style w:type="paragraph" w:styleId="7">
    <w:name w:val="footer"/>
    <w:basedOn w:val="1"/>
    <w:next w:val="8"/>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9">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10">
    <w:name w:val="Normal (Web)"/>
    <w:basedOn w:val="1"/>
    <w:qFormat/>
    <w:uiPriority w:val="0"/>
    <w:pPr>
      <w:spacing w:beforeAutospacing="1" w:afterAutospacing="1"/>
    </w:pPr>
    <w:rPr>
      <w:rFonts w:cs="Times New Roman"/>
      <w:sz w:val="24"/>
      <w:lang w:val="en-US" w:eastAsia="zh-C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unhideWhenUsed/>
    <w:qFormat/>
    <w:uiPriority w:val="99"/>
    <w:rPr>
      <w:sz w:val="21"/>
      <w:szCs w:val="21"/>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7</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2025-11-27T23:35:03Z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